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FE47E2" w:rsidRPr="00FE47E2">
        <w:rPr>
          <w:rFonts w:ascii="Times New Roman" w:hAnsi="Times New Roman"/>
          <w:b/>
          <w:sz w:val="24"/>
          <w:szCs w:val="24"/>
        </w:rPr>
        <w:t>2612320095012 23200100100010000000244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847D3">
        <w:rPr>
          <w:rFonts w:ascii="Times New Roman" w:hAnsi="Times New Roman"/>
          <w:sz w:val="24"/>
          <w:szCs w:val="24"/>
        </w:rPr>
        <w:t xml:space="preserve">   </w:t>
      </w:r>
      <w:r w:rsidRPr="00F00B46">
        <w:rPr>
          <w:rFonts w:ascii="Times New Roman" w:hAnsi="Times New Roman"/>
          <w:sz w:val="24"/>
          <w:szCs w:val="24"/>
        </w:rPr>
        <w:t>«</w:t>
      </w:r>
      <w:proofErr w:type="gramEnd"/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200A29">
        <w:rPr>
          <w:rFonts w:ascii="Times New Roman" w:hAnsi="Times New Roman"/>
          <w:sz w:val="24"/>
          <w:szCs w:val="24"/>
        </w:rPr>
        <w:t>заместителя</w:t>
      </w:r>
      <w:r w:rsidR="007261B1" w:rsidRPr="007261B1">
        <w:rPr>
          <w:rFonts w:ascii="Times New Roman" w:hAnsi="Times New Roman"/>
          <w:sz w:val="24"/>
          <w:szCs w:val="24"/>
        </w:rPr>
        <w:t xml:space="preserve"> генерального директора </w:t>
      </w:r>
      <w:r w:rsidR="00200A29">
        <w:rPr>
          <w:rFonts w:ascii="Times New Roman" w:hAnsi="Times New Roman"/>
          <w:sz w:val="24"/>
          <w:szCs w:val="24"/>
        </w:rPr>
        <w:t xml:space="preserve">по планово-экономической работе </w:t>
      </w:r>
      <w:r w:rsidR="007B6AA4">
        <w:rPr>
          <w:rFonts w:ascii="Times New Roman" w:hAnsi="Times New Roman"/>
          <w:sz w:val="24"/>
          <w:szCs w:val="24"/>
        </w:rPr>
        <w:t>Герасимовой Натальи Евгеньевны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00A29">
        <w:rPr>
          <w:rFonts w:ascii="Times New Roman" w:hAnsi="Times New Roman"/>
          <w:sz w:val="24"/>
          <w:szCs w:val="24"/>
        </w:rPr>
        <w:t>доверенности № ТА 01-01/</w:t>
      </w:r>
      <w:r w:rsidR="00F55E9C">
        <w:rPr>
          <w:rFonts w:ascii="Times New Roman" w:hAnsi="Times New Roman"/>
          <w:sz w:val="24"/>
          <w:szCs w:val="24"/>
        </w:rPr>
        <w:t>1386</w:t>
      </w:r>
      <w:r w:rsidR="00200A29">
        <w:rPr>
          <w:rFonts w:ascii="Times New Roman" w:hAnsi="Times New Roman"/>
          <w:sz w:val="24"/>
          <w:szCs w:val="24"/>
        </w:rPr>
        <w:t xml:space="preserve"> от </w:t>
      </w:r>
      <w:r w:rsidR="00F55E9C">
        <w:rPr>
          <w:rFonts w:ascii="Times New Roman" w:hAnsi="Times New Roman"/>
          <w:sz w:val="24"/>
          <w:szCs w:val="24"/>
        </w:rPr>
        <w:t>29.12</w:t>
      </w:r>
      <w:r w:rsidR="00200A29">
        <w:rPr>
          <w:rFonts w:ascii="Times New Roman" w:hAnsi="Times New Roman"/>
          <w:sz w:val="24"/>
          <w:szCs w:val="24"/>
        </w:rPr>
        <w:t>.2025г.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ом срок осуществить поставку </w:t>
      </w:r>
      <w:r w:rsidR="00F55E9C">
        <w:rPr>
          <w:rFonts w:ascii="Times New Roman" w:hAnsi="Times New Roman"/>
          <w:bCs/>
          <w:color w:val="000000"/>
          <w:sz w:val="24"/>
          <w:szCs w:val="24"/>
          <w:lang w:eastAsia="zh-CN"/>
        </w:rPr>
        <w:t>товаров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указанн</w:t>
      </w:r>
      <w:r w:rsidR="00F55E9C">
        <w:rPr>
          <w:rFonts w:ascii="Times New Roman" w:hAnsi="Times New Roman"/>
          <w:bCs/>
          <w:color w:val="000000"/>
          <w:sz w:val="24"/>
          <w:szCs w:val="24"/>
          <w:lang w:eastAsia="zh-CN"/>
        </w:rPr>
        <w:t>ых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701"/>
        <w:gridCol w:w="709"/>
        <w:gridCol w:w="850"/>
        <w:gridCol w:w="1418"/>
        <w:gridCol w:w="1275"/>
      </w:tblGrid>
      <w:tr w:rsidR="002348E7" w:rsidTr="000D77D9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348E7" w:rsidRPr="00FE47E2" w:rsidRDefault="00234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FE47E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348E7" w:rsidRPr="00FE47E2" w:rsidRDefault="00234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FE47E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48E7" w:rsidRPr="00FE47E2" w:rsidRDefault="002348E7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FE47E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Страна происхождения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48E7" w:rsidRPr="00FE47E2" w:rsidRDefault="002348E7" w:rsidP="00FE47E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FE47E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КТРУ (ОКПД 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348E7" w:rsidRPr="00FE47E2" w:rsidRDefault="002348E7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:rsidR="002348E7" w:rsidRPr="00FE47E2" w:rsidRDefault="00234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FE47E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348E7" w:rsidRPr="00FE47E2" w:rsidRDefault="00234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FE47E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348E7" w:rsidRPr="00FE47E2" w:rsidRDefault="00234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FE47E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Цена за ед. руб. НДС ____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348E7" w:rsidRPr="00FE47E2" w:rsidRDefault="00234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FE47E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Итого, руб. НДС ______</w:t>
            </w:r>
          </w:p>
        </w:tc>
      </w:tr>
      <w:tr w:rsidR="002348E7" w:rsidTr="000D77D9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348E7" w:rsidRPr="00FE47E2" w:rsidRDefault="00234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FE47E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348E7" w:rsidRPr="000D77D9" w:rsidRDefault="000D77D9" w:rsidP="000D77D9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Дезинфицирующее средство КЛОРСЕПТ 25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48E7" w:rsidRPr="00FE47E2" w:rsidRDefault="00234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48E7" w:rsidRPr="00FE47E2" w:rsidRDefault="000D77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20.20.14.000-00000009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348E7" w:rsidRPr="00FE47E2" w:rsidRDefault="00234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348E7" w:rsidRPr="00FE47E2" w:rsidRDefault="000D77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58 500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2348E7" w:rsidRPr="00FE47E2" w:rsidRDefault="00234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348E7" w:rsidRPr="00FE47E2" w:rsidRDefault="00234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FE47E2" w:rsidTr="00FE47E2">
        <w:trPr>
          <w:trHeight w:val="459"/>
        </w:trPr>
        <w:tc>
          <w:tcPr>
            <w:tcW w:w="949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FE47E2" w:rsidRPr="00FE47E2" w:rsidRDefault="00FE47E2" w:rsidP="00F55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FE47E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E47E2" w:rsidRPr="00FE47E2" w:rsidRDefault="00FE47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8C4404"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 xml:space="preserve">Характеристики товара указаны в Техническом задании – Приложении №1 к настоящему Контракту. 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375AA7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326CC8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014958">
        <w:rPr>
          <w:rFonts w:ascii="Times New Roman" w:hAnsi="Times New Roman"/>
          <w:kern w:val="2"/>
          <w:sz w:val="24"/>
          <w:szCs w:val="24"/>
          <w:lang w:eastAsia="zh-CN"/>
        </w:rPr>
        <w:t>20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014958">
        <w:rPr>
          <w:rFonts w:ascii="Times New Roman" w:hAnsi="Times New Roman"/>
          <w:kern w:val="2"/>
          <w:sz w:val="24"/>
          <w:szCs w:val="24"/>
          <w:lang w:eastAsia="zh-CN"/>
        </w:rPr>
        <w:t>двадцати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81DD1">
        <w:rPr>
          <w:rFonts w:ascii="Times New Roman" w:hAnsi="Times New Roman"/>
          <w:kern w:val="2"/>
          <w:sz w:val="24"/>
          <w:szCs w:val="24"/>
          <w:lang w:eastAsia="zh-CN"/>
        </w:rPr>
        <w:t>д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с момента заключения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>а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</w:t>
      </w:r>
      <w:r w:rsidR="00D17A20">
        <w:rPr>
          <w:rFonts w:ascii="Times New Roman" w:hAnsi="Times New Roman"/>
          <w:bCs/>
          <w:sz w:val="24"/>
          <w:szCs w:val="24"/>
          <w:lang w:eastAsia="zh-CN"/>
        </w:rPr>
        <w:t xml:space="preserve"> (при наличии)</w:t>
      </w:r>
      <w:r w:rsidRPr="00F00B46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326CC8" w:rsidRPr="006B47D6" w:rsidRDefault="00326CC8" w:rsidP="006B47D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1D7168">
        <w:rPr>
          <w:rFonts w:ascii="Times New Roman" w:hAnsi="Times New Roman"/>
          <w:sz w:val="24"/>
          <w:szCs w:val="24"/>
          <w:lang w:eastAsia="ru-RU"/>
        </w:rPr>
        <w:t>.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7168">
        <w:rPr>
          <w:rFonts w:ascii="Times New Roman" w:hAnsi="Times New Roman"/>
          <w:sz w:val="24"/>
          <w:szCs w:val="24"/>
          <w:lang w:eastAsia="ru-RU"/>
        </w:rPr>
        <w:t>Заказчик в срок,</w:t>
      </w:r>
      <w:r w:rsidR="006B47D6" w:rsidRPr="00CB05E5">
        <w:rPr>
          <w:rFonts w:ascii="Times New Roman" w:hAnsi="Times New Roman"/>
          <w:sz w:val="24"/>
          <w:szCs w:val="24"/>
          <w:lang w:eastAsia="ru-RU"/>
        </w:rPr>
        <w:t xml:space="preserve"> не превышающий десяти рабочих дней</w:t>
      </w:r>
      <w:r w:rsidR="001D7168" w:rsidRPr="001D7168">
        <w:rPr>
          <w:rFonts w:ascii="Times New Roman" w:hAnsi="Times New Roman"/>
          <w:sz w:val="24"/>
          <w:szCs w:val="24"/>
          <w:lang w:eastAsia="ru-RU"/>
        </w:rPr>
        <w:t xml:space="preserve"> после передачи ему Товара, а также передачи Поставщиком документов, указанных в пункте 3.3. настоящего Договора</w:t>
      </w:r>
      <w:r w:rsidR="006B47D6">
        <w:rPr>
          <w:rFonts w:ascii="Times New Roman" w:hAnsi="Times New Roman"/>
          <w:sz w:val="24"/>
          <w:szCs w:val="24"/>
          <w:lang w:eastAsia="ru-RU"/>
        </w:rPr>
        <w:t>, осуществляет приемку товара</w:t>
      </w:r>
      <w:r w:rsidR="006B47D6" w:rsidRPr="00CB05E5">
        <w:rPr>
          <w:rFonts w:ascii="Times New Roman" w:hAnsi="Times New Roman"/>
          <w:sz w:val="24"/>
          <w:szCs w:val="24"/>
          <w:lang w:eastAsia="ru-RU"/>
        </w:rPr>
        <w:t>.</w:t>
      </w:r>
      <w:r w:rsidR="006B47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0B46">
        <w:rPr>
          <w:rFonts w:ascii="Times New Roman" w:hAnsi="Times New Roman"/>
          <w:sz w:val="24"/>
          <w:szCs w:val="24"/>
          <w:lang w:eastAsia="ru-RU"/>
        </w:rPr>
        <w:t>В случае обнаружения недостатков Товара Заказчик обязан направить Поставщику соответствующее уведомление (письменный мотивиро</w:t>
      </w:r>
      <w:r w:rsidR="001D7168">
        <w:rPr>
          <w:rFonts w:ascii="Times New Roman" w:hAnsi="Times New Roman"/>
          <w:sz w:val="24"/>
          <w:szCs w:val="24"/>
          <w:lang w:eastAsia="ru-RU"/>
        </w:rPr>
        <w:t>ванный отказ от приемки Товара)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Уведомление должно содержать перечень недостатков, а также сроки их устранения.</w:t>
      </w:r>
    </w:p>
    <w:p w:rsidR="00FE3341" w:rsidRDefault="00326CC8" w:rsidP="00FE33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</w:t>
      </w:r>
      <w:r w:rsidR="00DF2EA7" w:rsidRPr="00DF2EA7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Default="00FE3341" w:rsidP="00D45EE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6B47D6" w:rsidRPr="00D45EEC" w:rsidRDefault="006B47D6" w:rsidP="00D45EE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.3. Товар должен быть упакован и замаркирован в соответствии с действующими стандартами.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P1547"/>
      <w:bookmarkEnd w:id="1"/>
      <w:r w:rsidRPr="00375AA7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AF5099">
        <w:rPr>
          <w:rFonts w:ascii="Times New Roman" w:hAnsi="Times New Roman"/>
          <w:sz w:val="24"/>
          <w:szCs w:val="24"/>
          <w:lang w:eastAsia="ru-RU"/>
        </w:rPr>
        <w:t>начальник отдела номерного фонда Беляева О.А</w:t>
      </w:r>
      <w:r w:rsidR="00D529F4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0D77D9">
        <w:rPr>
          <w:rFonts w:ascii="Times New Roman" w:hAnsi="Times New Roman"/>
          <w:sz w:val="24"/>
          <w:szCs w:val="24"/>
          <w:lang w:eastAsia="ru-RU"/>
        </w:rPr>
        <w:t>8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составлен и подписан в двух экземплярах, имеющих одинаковую юридическую силу, по одному для каждой из сторон. </w:t>
      </w:r>
      <w:r w:rsidR="00375AA7" w:rsidRPr="00375AA7">
        <w:rPr>
          <w:rFonts w:ascii="Times New Roman" w:hAnsi="Times New Roman"/>
          <w:sz w:val="24"/>
          <w:szCs w:val="24"/>
          <w:lang w:eastAsia="ru-RU"/>
        </w:rPr>
        <w:t>Стороны согласовали возможность подписания настоящего контракта посредством использования системы электронного документооборота («</w:t>
      </w:r>
      <w:proofErr w:type="spellStart"/>
      <w:r w:rsidR="00375AA7" w:rsidRPr="00375AA7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375AA7" w:rsidRPr="00375AA7">
        <w:rPr>
          <w:rFonts w:ascii="Times New Roman" w:hAnsi="Times New Roman"/>
          <w:sz w:val="24"/>
          <w:szCs w:val="24"/>
          <w:lang w:eastAsia="ru-RU"/>
        </w:rPr>
        <w:t>», СБИС), а также последующего обмена документами с использованием систем ЭДО.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0D77D9" w:rsidRPr="000D77D9" w:rsidRDefault="000D77D9" w:rsidP="000D77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77D9">
              <w:rPr>
                <w:rFonts w:ascii="Times New Roman" w:hAnsi="Times New Roman"/>
                <w:b/>
                <w:bCs/>
                <w:lang w:eastAsia="ru-RU"/>
              </w:rPr>
              <w:t>ФБЛПУ «Санаторий «Радуга» ФНС России»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354008, г. Сочи, ул. Виноградная, 53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Тел.: (8622) 90-72-02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val="en-US" w:eastAsia="ru-RU"/>
              </w:rPr>
            </w:pPr>
            <w:r w:rsidRPr="000D77D9">
              <w:rPr>
                <w:rFonts w:ascii="Times New Roman" w:hAnsi="Times New Roman"/>
                <w:bCs/>
                <w:lang w:val="en-US" w:eastAsia="ru-RU"/>
              </w:rPr>
              <w:t>e-mail: omts@sochi-raduga.ru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ОГРН 1022302934873, ИНН 2320095012, КПП 232001001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D77D9">
              <w:rPr>
                <w:rFonts w:ascii="Times New Roman" w:hAnsi="Times New Roman"/>
                <w:b/>
                <w:bCs/>
                <w:lang w:eastAsia="ru-RU"/>
              </w:rPr>
              <w:t>Банковские реквизиты до 20.06.2026 года: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УФК по Краснодарскому краю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(ФБЛПУ «Санаторий «Радуга» ФНС России» л/счет 20186У07130)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40102810945370000010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Номер счета получателя (номер казначейского счета)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03214643000000011800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БИК 010349101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Банк: ОКЦ № 1 ЮГУ Банка России//УФК по Краснодарскому краю г. Краснодар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D77D9">
              <w:rPr>
                <w:rFonts w:ascii="Times New Roman" w:hAnsi="Times New Roman"/>
                <w:b/>
                <w:bCs/>
                <w:lang w:eastAsia="ru-RU"/>
              </w:rPr>
              <w:t>Банковские реквизиты с 21.06. 2026 года: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40102810745370000024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Номер счета получателя (номер казначейского счета)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03214643000000013241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БИК банка 012202102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Банк ОКЦ № 1 ВВГУ Банка России//УФК по Нижегородской области, г. Нижний Новгород</w:t>
            </w:r>
          </w:p>
          <w:p w:rsidR="000D77D9" w:rsidRPr="000D77D9" w:rsidRDefault="000D77D9" w:rsidP="000D77D9">
            <w:pPr>
              <w:tabs>
                <w:tab w:val="center" w:pos="2413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0D77D9">
              <w:rPr>
                <w:rFonts w:ascii="Times New Roman" w:hAnsi="Times New Roman"/>
                <w:bCs/>
                <w:lang w:eastAsia="ru-RU"/>
              </w:rPr>
              <w:t>л/счет 20186У07130</w:t>
            </w: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21784B" w:rsidP="002178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0D77D9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0D77D9" w:rsidRDefault="000D77D9" w:rsidP="00E61D2E">
            <w:pPr>
              <w:pStyle w:val="a0"/>
              <w:rPr>
                <w:color w:val="000000"/>
              </w:rPr>
            </w:pPr>
          </w:p>
          <w:p w:rsidR="000D77D9" w:rsidRDefault="000D77D9" w:rsidP="00E61D2E">
            <w:pPr>
              <w:pStyle w:val="a0"/>
              <w:rPr>
                <w:color w:val="000000"/>
              </w:rPr>
            </w:pPr>
          </w:p>
          <w:p w:rsidR="000D77D9" w:rsidRDefault="000D77D9" w:rsidP="00E61D2E">
            <w:pPr>
              <w:pStyle w:val="a0"/>
              <w:rPr>
                <w:color w:val="000000"/>
              </w:rPr>
            </w:pPr>
          </w:p>
          <w:p w:rsidR="000D77D9" w:rsidRDefault="000D77D9" w:rsidP="00E61D2E">
            <w:pPr>
              <w:pStyle w:val="a0"/>
              <w:rPr>
                <w:color w:val="000000"/>
              </w:rPr>
            </w:pPr>
          </w:p>
          <w:p w:rsidR="000D77D9" w:rsidRDefault="000D77D9" w:rsidP="00E61D2E">
            <w:pPr>
              <w:pStyle w:val="a0"/>
              <w:rPr>
                <w:color w:val="000000"/>
              </w:rPr>
            </w:pPr>
          </w:p>
          <w:p w:rsidR="000D77D9" w:rsidRDefault="000D77D9" w:rsidP="00E61D2E">
            <w:pPr>
              <w:pStyle w:val="a0"/>
              <w:rPr>
                <w:color w:val="000000"/>
              </w:rPr>
            </w:pPr>
          </w:p>
          <w:p w:rsidR="000D77D9" w:rsidRDefault="000D77D9" w:rsidP="00E61D2E">
            <w:pPr>
              <w:pStyle w:val="a0"/>
              <w:rPr>
                <w:color w:val="000000"/>
              </w:rPr>
            </w:pPr>
          </w:p>
          <w:p w:rsidR="000D77D9" w:rsidRDefault="000D77D9" w:rsidP="00E61D2E">
            <w:pPr>
              <w:pStyle w:val="a0"/>
              <w:rPr>
                <w:color w:val="000000"/>
              </w:rPr>
            </w:pPr>
          </w:p>
          <w:p w:rsidR="000D77D9" w:rsidRDefault="000D77D9" w:rsidP="00E61D2E">
            <w:pPr>
              <w:pStyle w:val="a0"/>
              <w:rPr>
                <w:color w:val="000000"/>
              </w:rPr>
            </w:pPr>
          </w:p>
          <w:p w:rsidR="000D77D9" w:rsidRDefault="000D77D9" w:rsidP="00E61D2E">
            <w:pPr>
              <w:pStyle w:val="a0"/>
              <w:rPr>
                <w:color w:val="000000"/>
              </w:rPr>
            </w:pPr>
          </w:p>
          <w:p w:rsidR="000D77D9" w:rsidRDefault="000D77D9" w:rsidP="00E61D2E">
            <w:pPr>
              <w:pStyle w:val="a0"/>
              <w:rPr>
                <w:color w:val="000000"/>
              </w:rPr>
            </w:pPr>
          </w:p>
          <w:p w:rsidR="002B5F67" w:rsidRPr="002B5F67" w:rsidRDefault="000D77D9" w:rsidP="00E61D2E">
            <w:pPr>
              <w:pStyle w:val="a0"/>
              <w:rPr>
                <w:b w:val="0"/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7261B1"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8C4404" w:rsidRDefault="008C4404" w:rsidP="00373462">
      <w:pPr>
        <w:tabs>
          <w:tab w:val="left" w:pos="2775"/>
        </w:tabs>
        <w:rPr>
          <w:rFonts w:ascii="Times New Roman" w:eastAsia="SimSun" w:hAnsi="Times New Roman"/>
          <w:sz w:val="20"/>
          <w:szCs w:val="20"/>
          <w:lang w:eastAsia="zh-CN" w:bidi="hi-IN"/>
        </w:rPr>
      </w:pPr>
    </w:p>
    <w:p w:rsidR="008C4404" w:rsidRPr="008C4404" w:rsidRDefault="008C4404" w:rsidP="008C4404">
      <w:pPr>
        <w:rPr>
          <w:rFonts w:ascii="Times New Roman" w:eastAsia="SimSun" w:hAnsi="Times New Roman"/>
          <w:sz w:val="20"/>
          <w:szCs w:val="20"/>
          <w:lang w:eastAsia="zh-CN" w:bidi="hi-IN"/>
        </w:rPr>
      </w:pPr>
    </w:p>
    <w:p w:rsidR="008C4404" w:rsidRPr="008C4404" w:rsidRDefault="008C4404" w:rsidP="008C4404">
      <w:pPr>
        <w:rPr>
          <w:rFonts w:ascii="Times New Roman" w:eastAsia="SimSun" w:hAnsi="Times New Roman"/>
          <w:sz w:val="20"/>
          <w:szCs w:val="20"/>
          <w:lang w:eastAsia="zh-CN" w:bidi="hi-IN"/>
        </w:rPr>
      </w:pPr>
    </w:p>
    <w:p w:rsidR="008C4404" w:rsidRPr="008C4404" w:rsidRDefault="008C4404" w:rsidP="008C4404">
      <w:pPr>
        <w:rPr>
          <w:rFonts w:ascii="Times New Roman" w:eastAsia="SimSun" w:hAnsi="Times New Roman"/>
          <w:sz w:val="20"/>
          <w:szCs w:val="20"/>
          <w:lang w:eastAsia="zh-CN" w:bidi="hi-IN"/>
        </w:rPr>
      </w:pPr>
    </w:p>
    <w:p w:rsidR="008C4404" w:rsidRDefault="008C4404" w:rsidP="008C4404">
      <w:pPr>
        <w:rPr>
          <w:rFonts w:ascii="Times New Roman" w:eastAsia="SimSun" w:hAnsi="Times New Roman"/>
          <w:sz w:val="20"/>
          <w:szCs w:val="20"/>
          <w:lang w:eastAsia="zh-CN" w:bidi="hi-IN"/>
        </w:rPr>
      </w:pPr>
    </w:p>
    <w:p w:rsidR="008C4404" w:rsidRDefault="008C4404" w:rsidP="008C4404">
      <w:pPr>
        <w:rPr>
          <w:rFonts w:ascii="Times New Roman" w:eastAsia="SimSun" w:hAnsi="Times New Roman"/>
          <w:sz w:val="20"/>
          <w:szCs w:val="20"/>
          <w:lang w:eastAsia="zh-CN" w:bidi="hi-IN"/>
        </w:rPr>
      </w:pPr>
    </w:p>
    <w:p w:rsidR="00373462" w:rsidRDefault="008C4404" w:rsidP="008C4404">
      <w:pPr>
        <w:tabs>
          <w:tab w:val="left" w:pos="1560"/>
        </w:tabs>
        <w:rPr>
          <w:rFonts w:ascii="Times New Roman" w:eastAsia="SimSun" w:hAnsi="Times New Roman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sz w:val="20"/>
          <w:szCs w:val="20"/>
          <w:lang w:eastAsia="zh-CN" w:bidi="hi-IN"/>
        </w:rPr>
        <w:tab/>
      </w:r>
    </w:p>
    <w:p w:rsidR="008C4404" w:rsidRDefault="008C4404" w:rsidP="008C4404">
      <w:pPr>
        <w:tabs>
          <w:tab w:val="left" w:pos="1560"/>
        </w:tabs>
        <w:rPr>
          <w:rFonts w:ascii="Times New Roman" w:eastAsia="SimSun" w:hAnsi="Times New Roman"/>
          <w:sz w:val="20"/>
          <w:szCs w:val="20"/>
          <w:lang w:eastAsia="zh-CN" w:bidi="hi-IN"/>
        </w:rPr>
      </w:pPr>
    </w:p>
    <w:p w:rsidR="008C4404" w:rsidRDefault="008C4404" w:rsidP="008C440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  <w:sectPr w:rsidR="008C4404" w:rsidSect="00373462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8C4404" w:rsidRDefault="008C4404" w:rsidP="008C4404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Приложение №1 к Контракту №1-___</w:t>
      </w:r>
    </w:p>
    <w:p w:rsidR="00771E4B" w:rsidRDefault="008C4404" w:rsidP="00771E4B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от </w:t>
      </w:r>
      <w:proofErr w:type="gramStart"/>
      <w:r>
        <w:rPr>
          <w:rFonts w:ascii="Times New Roman" w:hAnsi="Times New Roman"/>
          <w:b/>
          <w:sz w:val="24"/>
          <w:szCs w:val="24"/>
          <w:lang w:eastAsia="zh-CN"/>
        </w:rPr>
        <w:t xml:space="preserve">«  </w:t>
      </w:r>
      <w:proofErr w:type="gramEnd"/>
      <w:r>
        <w:rPr>
          <w:rFonts w:ascii="Times New Roman" w:hAnsi="Times New Roman"/>
          <w:b/>
          <w:sz w:val="24"/>
          <w:szCs w:val="24"/>
          <w:lang w:eastAsia="zh-CN"/>
        </w:rPr>
        <w:t xml:space="preserve">     » ____________ 2026г.</w:t>
      </w:r>
    </w:p>
    <w:p w:rsidR="008C4404" w:rsidRPr="008C4404" w:rsidRDefault="008C4404" w:rsidP="008C4404">
      <w:pPr>
        <w:suppressAutoHyphens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b/>
          <w:lang w:eastAsia="zh-CN"/>
        </w:rPr>
        <w:t>Техническое задание</w:t>
      </w:r>
    </w:p>
    <w:p w:rsidR="008C4404" w:rsidRPr="008C4404" w:rsidRDefault="008C4404" w:rsidP="00771E4B">
      <w:pPr>
        <w:suppressAutoHyphens/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lang w:eastAsia="zh-CN"/>
        </w:rPr>
        <w:t>на поставку дезинфицирующего средства для нужд Федерального бюджетного лечебно-профилактического учреждения «Санаторий «Радуга» Федеральной налоговой службы»</w:t>
      </w:r>
    </w:p>
    <w:p w:rsidR="008C4404" w:rsidRPr="008C4404" w:rsidRDefault="008C4404" w:rsidP="00771E4B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b/>
          <w:lang w:eastAsia="zh-CN"/>
        </w:rPr>
        <w:t>Место и время поставки товара.</w:t>
      </w:r>
    </w:p>
    <w:p w:rsidR="008C4404" w:rsidRPr="008C4404" w:rsidRDefault="008C4404" w:rsidP="008C440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lang w:eastAsia="zh-CN"/>
        </w:rPr>
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8-00 до 17-00 часов, пятницу с 8-00 до 16-00 часов. Обеденный перерыв в рабочие дни предусмотрен с 12-00 до 12-48 часов.</w:t>
      </w:r>
    </w:p>
    <w:p w:rsidR="008C4404" w:rsidRPr="008C4404" w:rsidRDefault="008C4404" w:rsidP="00771E4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lang w:eastAsia="zh-CN"/>
        </w:rPr>
        <w:t xml:space="preserve">Поставка дезинфицирующего средства (далее – Товар) осуществляется только после согласования с Заказчиком </w:t>
      </w:r>
    </w:p>
    <w:p w:rsidR="008C4404" w:rsidRPr="008C4404" w:rsidRDefault="008C4404" w:rsidP="00771E4B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b/>
          <w:lang w:eastAsia="zh-CN"/>
        </w:rPr>
        <w:t>Срок поставки товара.</w:t>
      </w:r>
    </w:p>
    <w:p w:rsidR="008C4404" w:rsidRPr="008C4404" w:rsidRDefault="008C4404" w:rsidP="008C4404">
      <w:pPr>
        <w:suppressAutoHyphens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shd w:val="clear" w:color="auto" w:fill="FFFFFF"/>
          <w:lang w:eastAsia="zh-CN"/>
        </w:rPr>
        <w:t>Срок поставки товара в течение 20 (двадцати) дней после подписания Контракта.</w:t>
      </w:r>
      <w:bookmarkStart w:id="2" w:name="_GoBack1"/>
      <w:bookmarkEnd w:id="2"/>
    </w:p>
    <w:p w:rsidR="008C4404" w:rsidRPr="008C4404" w:rsidRDefault="008C4404" w:rsidP="00771E4B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b/>
          <w:lang w:eastAsia="zh-CN"/>
        </w:rPr>
        <w:t xml:space="preserve"> Общие характеристики объекта закупки.</w:t>
      </w:r>
    </w:p>
    <w:tbl>
      <w:tblPr>
        <w:tblW w:w="157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2370"/>
        <w:gridCol w:w="5080"/>
        <w:gridCol w:w="567"/>
        <w:gridCol w:w="992"/>
        <w:gridCol w:w="2552"/>
        <w:gridCol w:w="3544"/>
      </w:tblGrid>
      <w:tr w:rsidR="008C4404" w:rsidRPr="008C4404" w:rsidTr="00771E4B"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2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0"/>
                <w:lang w:eastAsia="ru-RU"/>
              </w:rPr>
              <w:t xml:space="preserve">Наименование </w:t>
            </w:r>
            <w:r w:rsidRPr="008C4404">
              <w:rPr>
                <w:rFonts w:ascii="Times New Roman" w:hAnsi="Times New Roman"/>
                <w:lang w:eastAsia="zh-CN"/>
              </w:rPr>
              <w:t>товара</w:t>
            </w:r>
          </w:p>
        </w:tc>
        <w:tc>
          <w:tcPr>
            <w:tcW w:w="5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ind w:left="-108" w:right="-174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Описание </w:t>
            </w:r>
            <w:r w:rsidRPr="008C4404">
              <w:rPr>
                <w:rFonts w:ascii="Times New Roman" w:hAnsi="Times New Roman"/>
                <w:lang w:eastAsia="zh-CN"/>
              </w:rPr>
              <w:t>товара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ind w:left="-176" w:right="-106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8C4404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Ед. </w:t>
            </w:r>
          </w:p>
          <w:p w:rsidR="008C4404" w:rsidRPr="008C4404" w:rsidRDefault="008C4404" w:rsidP="008C4404">
            <w:pPr>
              <w:suppressAutoHyphens/>
              <w:spacing w:after="0" w:line="240" w:lineRule="auto"/>
              <w:ind w:left="-176" w:right="-106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bCs/>
                <w:color w:val="000000"/>
                <w:lang w:eastAsia="zh-CN"/>
              </w:rPr>
              <w:t>изм.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Кол-во 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ind w:left="-113" w:right="-107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0"/>
                <w:lang w:eastAsia="ru-RU"/>
              </w:rPr>
              <w:t xml:space="preserve">Характеристика </w:t>
            </w:r>
            <w:r w:rsidRPr="008C4404">
              <w:rPr>
                <w:rFonts w:ascii="Times New Roman" w:hAnsi="Times New Roman"/>
                <w:lang w:eastAsia="zh-CN"/>
              </w:rPr>
              <w:t>товара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0"/>
                <w:lang w:eastAsia="ru-RU"/>
              </w:rPr>
              <w:t xml:space="preserve">Значение характеристики </w:t>
            </w:r>
          </w:p>
        </w:tc>
      </w:tr>
      <w:tr w:rsidR="008C4404" w:rsidRPr="008C4404" w:rsidTr="00771E4B">
        <w:trPr>
          <w:trHeight w:val="664"/>
        </w:trPr>
        <w:tc>
          <w:tcPr>
            <w:tcW w:w="6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  <w:t xml:space="preserve">Дезинфицирующее средство </w:t>
            </w:r>
          </w:p>
          <w:p w:rsidR="008C4404" w:rsidRPr="008C4404" w:rsidRDefault="008C4404" w:rsidP="008C440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A"/>
                <w:shd w:val="clear" w:color="auto" w:fill="FFFFFF"/>
                <w:lang w:eastAsia="ru-RU"/>
              </w:rPr>
            </w:pPr>
          </w:p>
          <w:p w:rsidR="008C4404" w:rsidRPr="008C4404" w:rsidRDefault="008C4404" w:rsidP="008C440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i/>
                <w:iCs/>
                <w:color w:val="000000"/>
                <w:shd w:val="clear" w:color="auto" w:fill="FFFFFF"/>
                <w:lang w:eastAsia="ru-RU"/>
              </w:rPr>
              <w:t>Позиция КТРУ</w:t>
            </w:r>
          </w:p>
          <w:p w:rsidR="008C4404" w:rsidRPr="008C4404" w:rsidRDefault="008C4404" w:rsidP="008C440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A"/>
                <w:shd w:val="clear" w:color="auto" w:fill="FFFFFF"/>
                <w:lang w:eastAsia="ru-RU"/>
              </w:rPr>
            </w:pPr>
            <w:hyperlink r:id="rId9" w:history="1">
              <w:r w:rsidRPr="00771E4B">
                <w:rPr>
                  <w:rFonts w:ascii="Times New Roman" w:hAnsi="Times New Roman"/>
                  <w:i/>
                  <w:iCs/>
                  <w:color w:val="000000"/>
                  <w:shd w:val="clear" w:color="auto" w:fill="FFFFFF"/>
                  <w:lang w:eastAsia="ru-RU"/>
                </w:rPr>
                <w:t>20.20.14.000-00000009 - Средство дезинфицирующее</w:t>
              </w:r>
            </w:hyperlink>
          </w:p>
        </w:tc>
        <w:tc>
          <w:tcPr>
            <w:tcW w:w="50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exact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ru-RU"/>
              </w:rPr>
              <w:t>Хлорные таблетки «</w:t>
            </w:r>
            <w:proofErr w:type="spellStart"/>
            <w:r w:rsidRPr="008C4404">
              <w:rPr>
                <w:rFonts w:ascii="Times New Roman" w:hAnsi="Times New Roman"/>
                <w:b/>
                <w:bCs/>
                <w:iCs/>
                <w:color w:val="00000A"/>
                <w:shd w:val="clear" w:color="auto" w:fill="FFFFFF"/>
                <w:lang w:eastAsia="ru-RU"/>
              </w:rPr>
              <w:t>Клорсепт</w:t>
            </w:r>
            <w:proofErr w:type="spellEnd"/>
            <w:r w:rsidRPr="008C4404">
              <w:rPr>
                <w:rFonts w:ascii="Times New Roman" w:hAnsi="Times New Roman"/>
                <w:b/>
                <w:bCs/>
                <w:iCs/>
                <w:color w:val="00000A"/>
                <w:shd w:val="clear" w:color="auto" w:fill="FFFFFF"/>
                <w:lang w:eastAsia="ru-RU"/>
              </w:rPr>
              <w:t xml:space="preserve"> 25» </w:t>
            </w:r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ru-RU"/>
              </w:rPr>
              <w:t xml:space="preserve">предназначены для дезинфекции поверхностей в помещениях, предметов обстановки, санитарно-технического оборудования, изделий медицинского назначения из стекла, пластмасс, резин на основе силиконового и натурального каучука, </w:t>
            </w:r>
            <w:proofErr w:type="gramStart"/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ru-RU"/>
              </w:rPr>
              <w:t>коррозионно-стойких</w:t>
            </w:r>
            <w:proofErr w:type="gramEnd"/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ru-RU"/>
              </w:rPr>
              <w:t xml:space="preserve"> металлов (сплавы титана и др.), предметов ухода за больным, белья, посуды пищевой, лабораторной и аптечной способом протирания, орошения и погружения. </w:t>
            </w:r>
          </w:p>
          <w:p w:rsidR="008C4404" w:rsidRPr="008C4404" w:rsidRDefault="008C4404" w:rsidP="008C4404">
            <w:pPr>
              <w:suppressAutoHyphens/>
              <w:spacing w:after="0" w:line="240" w:lineRule="exact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zh-CN"/>
              </w:rPr>
              <w:t xml:space="preserve">Таблетки должны обладать бактерицидным (в том числе </w:t>
            </w:r>
            <w:proofErr w:type="spellStart"/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zh-CN"/>
              </w:rPr>
              <w:t>туберкулоцидным</w:t>
            </w:r>
            <w:proofErr w:type="spellEnd"/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zh-CN"/>
              </w:rPr>
              <w:t xml:space="preserve">), </w:t>
            </w:r>
            <w:proofErr w:type="spellStart"/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zh-CN"/>
              </w:rPr>
              <w:t>вирулицидным</w:t>
            </w:r>
            <w:proofErr w:type="spellEnd"/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zh-CN"/>
              </w:rPr>
              <w:t xml:space="preserve"> (в том числе в отношении вирусов гепатита В и ВИЧ) и </w:t>
            </w:r>
            <w:proofErr w:type="spellStart"/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zh-CN"/>
              </w:rPr>
              <w:t>фунгицидным</w:t>
            </w:r>
            <w:proofErr w:type="spellEnd"/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zh-CN"/>
              </w:rPr>
              <w:t xml:space="preserve"> (кандидозы и дерматомикозы) действием. </w:t>
            </w:r>
          </w:p>
          <w:p w:rsidR="008C4404" w:rsidRPr="008C4404" w:rsidRDefault="008C4404" w:rsidP="008C4404">
            <w:pPr>
              <w:suppressAutoHyphens/>
              <w:spacing w:after="0" w:line="240" w:lineRule="exact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zh-CN"/>
              </w:rPr>
              <w:t xml:space="preserve">Таблетки должны быть хорошо растворимы в воде. </w:t>
            </w:r>
            <w:r w:rsidR="00771E4B">
              <w:rPr>
                <w:rFonts w:ascii="Times New Roman" w:hAnsi="Times New Roman"/>
                <w:lang w:eastAsia="zh-CN"/>
              </w:rPr>
              <w:t>Остаточный с</w:t>
            </w:r>
            <w:r w:rsidRPr="008C4404">
              <w:rPr>
                <w:rFonts w:ascii="Times New Roman" w:hAnsi="Times New Roman"/>
                <w:color w:val="000000"/>
                <w:shd w:val="clear" w:color="auto" w:fill="FFFFFF"/>
                <w:lang w:eastAsia="zh-CN"/>
              </w:rPr>
              <w:t>рок годности</w:t>
            </w:r>
            <w:r w:rsidR="00771E4B">
              <w:rPr>
                <w:rFonts w:ascii="Times New Roman" w:hAnsi="Times New Roman"/>
                <w:color w:val="000000"/>
                <w:shd w:val="clear" w:color="auto" w:fill="FFFFFF"/>
                <w:lang w:eastAsia="zh-CN"/>
              </w:rPr>
              <w:t xml:space="preserve"> -</w:t>
            </w:r>
            <w:r w:rsidRPr="008C4404">
              <w:rPr>
                <w:rFonts w:ascii="Times New Roman" w:hAnsi="Times New Roman"/>
                <w:color w:val="000000"/>
                <w:shd w:val="clear" w:color="auto" w:fill="FFFFFF"/>
                <w:lang w:eastAsia="zh-CN"/>
              </w:rPr>
              <w:t xml:space="preserve"> не менее </w:t>
            </w:r>
            <w:r w:rsidR="00771E4B">
              <w:rPr>
                <w:rFonts w:ascii="Times New Roman" w:hAnsi="Times New Roman"/>
                <w:color w:val="000000"/>
                <w:shd w:val="clear" w:color="auto" w:fill="FFFFFF"/>
                <w:lang w:eastAsia="zh-CN"/>
              </w:rPr>
              <w:t xml:space="preserve">80% </w:t>
            </w:r>
            <w:r w:rsidR="00E24DB4">
              <w:rPr>
                <w:rFonts w:ascii="Times New Roman" w:hAnsi="Times New Roman"/>
                <w:color w:val="000000"/>
                <w:shd w:val="clear" w:color="auto" w:fill="FFFFFF"/>
                <w:lang w:eastAsia="zh-CN"/>
              </w:rPr>
              <w:t xml:space="preserve">от общего срока на </w:t>
            </w:r>
            <w:r w:rsidRPr="008C4404">
              <w:rPr>
                <w:rFonts w:ascii="Times New Roman" w:hAnsi="Times New Roman"/>
                <w:color w:val="000000"/>
                <w:shd w:val="clear" w:color="auto" w:fill="FFFFFF"/>
                <w:lang w:eastAsia="zh-CN"/>
              </w:rPr>
              <w:t>дат</w:t>
            </w:r>
            <w:r w:rsidR="00E24DB4">
              <w:rPr>
                <w:rFonts w:ascii="Times New Roman" w:hAnsi="Times New Roman"/>
                <w:color w:val="000000"/>
                <w:shd w:val="clear" w:color="auto" w:fill="FFFFFF"/>
                <w:lang w:eastAsia="zh-CN"/>
              </w:rPr>
              <w:t>у</w:t>
            </w:r>
            <w:r w:rsidRPr="008C4404">
              <w:rPr>
                <w:rFonts w:ascii="Times New Roman" w:hAnsi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="00E24DB4">
              <w:rPr>
                <w:rFonts w:ascii="Times New Roman" w:hAnsi="Times New Roman"/>
                <w:color w:val="000000"/>
                <w:shd w:val="clear" w:color="auto" w:fill="FFFFFF"/>
                <w:lang w:eastAsia="zh-CN"/>
              </w:rPr>
              <w:t>поставки товара</w:t>
            </w:r>
            <w:r w:rsidRPr="008C4404">
              <w:rPr>
                <w:rFonts w:ascii="Times New Roman" w:hAnsi="Times New Roman"/>
                <w:color w:val="000000"/>
                <w:shd w:val="clear" w:color="auto" w:fill="FFFFFF"/>
                <w:lang w:eastAsia="zh-CN"/>
              </w:rPr>
              <w:t>.</w:t>
            </w:r>
          </w:p>
          <w:p w:rsidR="008C4404" w:rsidRPr="008C4404" w:rsidRDefault="008C4404" w:rsidP="008C4404">
            <w:pPr>
              <w:suppressAutoHyphens/>
              <w:spacing w:after="0" w:line="240" w:lineRule="exact"/>
              <w:jc w:val="both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0"/>
                <w:shd w:val="clear" w:color="auto" w:fill="FFFFFF"/>
                <w:lang w:eastAsia="zh-CN"/>
              </w:rPr>
              <w:t>Наличие информации о товаре на упаковке обязательно.</w:t>
            </w:r>
          </w:p>
        </w:tc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lang w:eastAsia="zh-CN"/>
              </w:rPr>
              <w:t>кг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lang w:eastAsia="zh-CN"/>
              </w:rPr>
              <w:t>58 500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C4404" w:rsidRPr="008C4404" w:rsidRDefault="008C4404" w:rsidP="00771E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b/>
                <w:bCs/>
                <w:lang w:eastAsia="zh-CN"/>
              </w:rPr>
              <w:t>Характеристики по КТРУ</w:t>
            </w:r>
          </w:p>
          <w:p w:rsidR="008C4404" w:rsidRPr="008C4404" w:rsidRDefault="008C4404" w:rsidP="008C440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lang w:eastAsia="zh-CN"/>
              </w:rPr>
              <w:t>Форма выпуска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exact"/>
              <w:jc w:val="center"/>
              <w:rPr>
                <w:rFonts w:ascii="Times New Roman" w:hAnsi="Times New Roman"/>
                <w:lang w:eastAsia="zh-CN"/>
              </w:rPr>
            </w:pPr>
          </w:p>
          <w:p w:rsidR="008C4404" w:rsidRPr="008C4404" w:rsidRDefault="008C4404" w:rsidP="008C440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lang w:eastAsia="zh-CN"/>
              </w:rPr>
            </w:pPr>
          </w:p>
          <w:p w:rsidR="008C4404" w:rsidRPr="008C4404" w:rsidRDefault="008C4404" w:rsidP="008C440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lang w:eastAsia="zh-CN"/>
              </w:rPr>
              <w:t>таблетка</w:t>
            </w:r>
          </w:p>
        </w:tc>
      </w:tr>
      <w:tr w:rsidR="008C4404" w:rsidRPr="008C4404" w:rsidTr="00771E4B">
        <w:trPr>
          <w:trHeight w:val="390"/>
        </w:trPr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</w:pPr>
          </w:p>
        </w:tc>
        <w:tc>
          <w:tcPr>
            <w:tcW w:w="5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exact"/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096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b/>
                <w:bCs/>
                <w:lang w:eastAsia="zh-CN"/>
              </w:rPr>
              <w:t xml:space="preserve">Дополнительные требования, а также обоснование невозможности использования характеристик, предусмотренных КТРУ: </w:t>
            </w:r>
          </w:p>
        </w:tc>
      </w:tr>
      <w:tr w:rsidR="008C4404" w:rsidRPr="008C4404" w:rsidTr="00771E4B">
        <w:trPr>
          <w:trHeight w:val="1043"/>
        </w:trPr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</w:pPr>
          </w:p>
        </w:tc>
        <w:tc>
          <w:tcPr>
            <w:tcW w:w="5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exact"/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lang w:eastAsia="zh-CN"/>
              </w:rPr>
              <w:t xml:space="preserve">Состав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ru-RU"/>
              </w:rPr>
              <w:t xml:space="preserve">натриевая соль </w:t>
            </w:r>
            <w:proofErr w:type="spellStart"/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ru-RU"/>
              </w:rPr>
              <w:t>дихлоризоциануровой</w:t>
            </w:r>
            <w:proofErr w:type="spellEnd"/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ru-RU"/>
              </w:rPr>
              <w:t xml:space="preserve"> кислоты (</w:t>
            </w:r>
            <w:proofErr w:type="spellStart"/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ru-RU"/>
              </w:rPr>
              <w:t>Na</w:t>
            </w:r>
            <w:proofErr w:type="spellEnd"/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ru-RU"/>
              </w:rPr>
              <w:t xml:space="preserve">-соль ДХЦК) </w:t>
            </w:r>
            <w:r w:rsidRPr="008C4404">
              <w:rPr>
                <w:rFonts w:ascii="Times New Roman" w:hAnsi="Times New Roman"/>
                <w:lang w:eastAsia="zh-CN"/>
              </w:rPr>
              <w:t xml:space="preserve">2500 </w:t>
            </w:r>
            <w:proofErr w:type="gramStart"/>
            <w:r w:rsidRPr="008C4404">
              <w:rPr>
                <w:rFonts w:ascii="Times New Roman" w:hAnsi="Times New Roman"/>
                <w:lang w:eastAsia="zh-CN"/>
              </w:rPr>
              <w:t>мг  (</w:t>
            </w:r>
            <w:proofErr w:type="gramEnd"/>
            <w:r w:rsidRPr="008C4404">
              <w:rPr>
                <w:rFonts w:ascii="Times New Roman" w:hAnsi="Times New Roman"/>
                <w:lang w:eastAsia="zh-CN"/>
              </w:rPr>
              <w:t xml:space="preserve">около 1500 мг активного хлора). </w:t>
            </w:r>
          </w:p>
        </w:tc>
      </w:tr>
      <w:tr w:rsidR="008C4404" w:rsidRPr="008C4404" w:rsidTr="00771E4B"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ru-RU"/>
              </w:rPr>
              <w:t xml:space="preserve">Форма выпуска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A"/>
                <w:shd w:val="clear" w:color="auto" w:fill="FFFFFF"/>
                <w:lang w:eastAsia="ru-RU"/>
              </w:rPr>
              <w:t>таблетки</w:t>
            </w:r>
          </w:p>
        </w:tc>
      </w:tr>
      <w:tr w:rsidR="008C4404" w:rsidRPr="008C4404" w:rsidTr="00771E4B"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0"/>
                <w:lang w:eastAsia="ru-RU"/>
              </w:rPr>
              <w:t>Масса таблетки, мг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0"/>
                <w:lang w:eastAsia="ru-RU"/>
              </w:rPr>
              <w:t>не менее 4000</w:t>
            </w:r>
          </w:p>
        </w:tc>
      </w:tr>
      <w:tr w:rsidR="008C4404" w:rsidRPr="008C4404" w:rsidTr="00771E4B"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0"/>
                <w:lang w:eastAsia="ru-RU"/>
              </w:rPr>
              <w:t>Масса упаковки (300 таблеток), г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0"/>
                <w:lang w:eastAsia="ru-RU"/>
              </w:rPr>
              <w:t>1300</w:t>
            </w:r>
          </w:p>
        </w:tc>
      </w:tr>
      <w:tr w:rsidR="008C4404" w:rsidRPr="008C4404" w:rsidTr="00771E4B"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0"/>
                <w:lang w:eastAsia="ru-RU"/>
              </w:rPr>
              <w:t xml:space="preserve">Упаковка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 xml:space="preserve"> пластиковая банка. </w:t>
            </w:r>
          </w:p>
        </w:tc>
      </w:tr>
      <w:tr w:rsidR="008C4404" w:rsidRPr="008C4404" w:rsidTr="00771E4B">
        <w:trPr>
          <w:trHeight w:val="871"/>
        </w:trPr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0"/>
                <w:lang w:eastAsia="ru-RU"/>
              </w:rPr>
              <w:t>Количество таблеток в банке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0"/>
                <w:lang w:eastAsia="ru-RU"/>
              </w:rPr>
              <w:t>не менее 300</w:t>
            </w:r>
          </w:p>
        </w:tc>
      </w:tr>
      <w:tr w:rsidR="008C4404" w:rsidRPr="008C4404" w:rsidTr="00771E4B"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0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Mangal"/>
                <w:lang w:eastAsia="zh-CN" w:bidi="hi-IN"/>
              </w:rPr>
            </w:pPr>
            <w:proofErr w:type="gramStart"/>
            <w:r w:rsidRPr="008C4404">
              <w:rPr>
                <w:rFonts w:ascii="Times New Roman" w:hAnsi="Times New Roman"/>
                <w:b/>
                <w:bCs/>
                <w:color w:val="000000"/>
                <w:lang w:eastAsia="ru-RU" w:bidi="hi-IN"/>
              </w:rPr>
              <w:t>Обоснование  дополнительных</w:t>
            </w:r>
            <w:proofErr w:type="gramEnd"/>
            <w:r w:rsidRPr="008C4404">
              <w:rPr>
                <w:rFonts w:ascii="Times New Roman" w:hAnsi="Times New Roman"/>
                <w:b/>
                <w:bCs/>
                <w:color w:val="000000"/>
                <w:lang w:eastAsia="ru-RU" w:bidi="hi-IN"/>
              </w:rPr>
              <w:t xml:space="preserve"> характеристик  не указанных в КТРУ</w:t>
            </w:r>
          </w:p>
        </w:tc>
      </w:tr>
      <w:tr w:rsidR="008C4404" w:rsidRPr="008C4404" w:rsidTr="00771E4B"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09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4404" w:rsidRPr="008C4404" w:rsidRDefault="008C4404" w:rsidP="008C44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C4404">
              <w:rPr>
                <w:rFonts w:ascii="Times New Roman" w:hAnsi="Times New Roman"/>
                <w:color w:val="000000"/>
                <w:lang w:eastAsia="ru-RU"/>
              </w:rPr>
              <w:t>Дополнительные характеристики обусловлены потребностями заказчика в части технических и качественных характеристик объекта закупки, являющихся значимыми в целях обеспечения получения требуемого результата.</w:t>
            </w:r>
          </w:p>
        </w:tc>
      </w:tr>
    </w:tbl>
    <w:p w:rsidR="008C4404" w:rsidRPr="008C4404" w:rsidRDefault="008C4404" w:rsidP="00771E4B">
      <w:pPr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b/>
          <w:lang w:eastAsia="zh-CN"/>
        </w:rPr>
        <w:t>Требования к поставке товара.</w:t>
      </w:r>
    </w:p>
    <w:p w:rsidR="008C4404" w:rsidRPr="008C4404" w:rsidRDefault="008C4404" w:rsidP="008C440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lang w:eastAsia="zh-CN"/>
        </w:rPr>
        <w:t xml:space="preserve">Поставщик должен обеспечить за свой счет, своими силами и средствами доставку Товара по адресу Заказчика, указанного </w:t>
      </w:r>
      <w:proofErr w:type="gramStart"/>
      <w:r w:rsidRPr="008C4404">
        <w:rPr>
          <w:rFonts w:ascii="Times New Roman" w:hAnsi="Times New Roman"/>
          <w:lang w:eastAsia="zh-CN"/>
        </w:rPr>
        <w:t>в  Техническом</w:t>
      </w:r>
      <w:proofErr w:type="gramEnd"/>
      <w:r w:rsidRPr="008C4404">
        <w:rPr>
          <w:rFonts w:ascii="Times New Roman" w:hAnsi="Times New Roman"/>
          <w:lang w:eastAsia="zh-CN"/>
        </w:rPr>
        <w:t xml:space="preserve"> задании.</w:t>
      </w:r>
    </w:p>
    <w:p w:rsidR="008C4404" w:rsidRPr="008C4404" w:rsidRDefault="008C4404" w:rsidP="008C440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lang w:eastAsia="zh-CN"/>
        </w:rPr>
        <w:t>Поставляемый Товар должен быть новым товаром (товаром, который не был в употреблении). Обязательно наличие этикеток на упаковках.</w:t>
      </w:r>
    </w:p>
    <w:p w:rsidR="008C4404" w:rsidRPr="008C4404" w:rsidRDefault="008C4404" w:rsidP="008C440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8C4404" w:rsidRPr="008C4404" w:rsidRDefault="008C4404" w:rsidP="008C440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lang w:eastAsia="zh-CN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</w:t>
      </w:r>
    </w:p>
    <w:p w:rsidR="008C4404" w:rsidRPr="008C4404" w:rsidRDefault="008C4404" w:rsidP="008C440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lang w:eastAsia="zh-CN"/>
        </w:rPr>
        <w:t>Товар должен иметь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8C4404" w:rsidRPr="008C4404" w:rsidRDefault="008C4404" w:rsidP="008C4404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color w:val="000000"/>
          <w:shd w:val="clear" w:color="auto" w:fill="FFFFFF"/>
          <w:lang w:eastAsia="zh-CN"/>
        </w:rPr>
        <w:t>Маркировка упаковки и (или) товара должна содержать:</w:t>
      </w:r>
    </w:p>
    <w:p w:rsidR="008C4404" w:rsidRPr="008C4404" w:rsidRDefault="008C4404" w:rsidP="008C4404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color w:val="000000"/>
          <w:shd w:val="clear" w:color="auto" w:fill="FFFFFF"/>
          <w:lang w:eastAsia="zh-CN"/>
        </w:rPr>
        <w:t xml:space="preserve">  - наименование, название (при наличии) товара и его назначение,</w:t>
      </w:r>
    </w:p>
    <w:p w:rsidR="008C4404" w:rsidRPr="008C4404" w:rsidRDefault="008C4404" w:rsidP="008C4404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color w:val="000000"/>
          <w:shd w:val="clear" w:color="auto" w:fill="FFFFFF"/>
          <w:lang w:eastAsia="zh-CN"/>
        </w:rPr>
        <w:t xml:space="preserve"> -наименование фирмы-изготовителя (при необходимости),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товара;</w:t>
      </w:r>
    </w:p>
    <w:p w:rsidR="008C4404" w:rsidRPr="008C4404" w:rsidRDefault="008C4404" w:rsidP="008C4404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color w:val="000000"/>
          <w:shd w:val="clear" w:color="auto" w:fill="FFFFFF"/>
          <w:lang w:eastAsia="zh-CN"/>
        </w:rPr>
        <w:t>-страну происхождения (если страна где расположено производство продукции не совпадает с юридическим адресом изготовителя);</w:t>
      </w:r>
    </w:p>
    <w:p w:rsidR="008C4404" w:rsidRPr="008C4404" w:rsidRDefault="008C4404" w:rsidP="008C4404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color w:val="000000"/>
          <w:shd w:val="clear" w:color="auto" w:fill="FFFFFF"/>
          <w:lang w:eastAsia="zh-CN"/>
        </w:rPr>
        <w:t>-дату изготовления и срок годности;</w:t>
      </w:r>
    </w:p>
    <w:p w:rsidR="008C4404" w:rsidRPr="008C4404" w:rsidRDefault="008C4404" w:rsidP="008C4404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color w:val="000000"/>
          <w:shd w:val="clear" w:color="auto" w:fill="FFFFFF"/>
          <w:lang w:eastAsia="zh-CN"/>
        </w:rPr>
        <w:t>-особые меры предосторожности (при необходимости) при применении продукции;</w:t>
      </w:r>
    </w:p>
    <w:p w:rsidR="008C4404" w:rsidRPr="008C4404" w:rsidRDefault="008C4404" w:rsidP="00771E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8C4404" w:rsidRPr="008C4404" w:rsidRDefault="008C4404" w:rsidP="00771E4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b/>
          <w:bCs/>
          <w:lang w:eastAsia="zh-CN"/>
        </w:rPr>
        <w:t>5. Требования к качеству товара.</w:t>
      </w:r>
    </w:p>
    <w:p w:rsidR="008C4404" w:rsidRDefault="008C4404" w:rsidP="008C440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C4404">
        <w:rPr>
          <w:rFonts w:ascii="Times New Roman" w:hAnsi="Times New Roman"/>
          <w:lang w:eastAsia="zh-CN"/>
        </w:rPr>
        <w:t>Качество поставляемого Товара должно соответствовать требованиям нормативных документов, ГОСТов, сертификатам соответствия.</w:t>
      </w:r>
    </w:p>
    <w:p w:rsidR="00771E4B" w:rsidRPr="008C4404" w:rsidRDefault="00771E4B" w:rsidP="008C440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</w:p>
    <w:p w:rsidR="00771E4B" w:rsidRPr="00682002" w:rsidRDefault="00771E4B" w:rsidP="00771E4B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</w:t>
      </w:r>
      <w:r>
        <w:rPr>
          <w:b w:val="0"/>
          <w:bCs w:val="0"/>
        </w:rPr>
        <w:t>ЗАКАЗЧИК</w:t>
      </w:r>
      <w:r w:rsidRPr="00DE152D">
        <w:rPr>
          <w:b w:val="0"/>
          <w:bCs w:val="0"/>
        </w:rPr>
        <w:tab/>
      </w:r>
      <w:r w:rsidRPr="00DE152D">
        <w:rPr>
          <w:b w:val="0"/>
          <w:bCs w:val="0"/>
        </w:rPr>
        <w:tab/>
      </w:r>
      <w:r w:rsidRPr="00DE152D">
        <w:rPr>
          <w:b w:val="0"/>
          <w:bCs w:val="0"/>
        </w:rPr>
        <w:tab/>
      </w:r>
      <w:r w:rsidRPr="00DE152D">
        <w:rPr>
          <w:b w:val="0"/>
          <w:bCs w:val="0"/>
        </w:rPr>
        <w:tab/>
      </w:r>
      <w:r w:rsidRPr="00DE152D">
        <w:rPr>
          <w:b w:val="0"/>
          <w:bCs w:val="0"/>
        </w:rPr>
        <w:tab/>
      </w:r>
      <w:r w:rsidRPr="00DE152D">
        <w:rPr>
          <w:b w:val="0"/>
          <w:bCs w:val="0"/>
        </w:rPr>
        <w:tab/>
      </w:r>
      <w:r>
        <w:rPr>
          <w:b w:val="0"/>
          <w:bCs w:val="0"/>
        </w:rPr>
        <w:t xml:space="preserve">                                                     </w:t>
      </w:r>
      <w:r w:rsidRPr="00682002">
        <w:rPr>
          <w:b w:val="0"/>
          <w:color w:val="000000"/>
        </w:rPr>
        <w:t>ПОСТАВЩИК</w:t>
      </w:r>
    </w:p>
    <w:tbl>
      <w:tblPr>
        <w:tblW w:w="13891" w:type="dxa"/>
        <w:tblInd w:w="534" w:type="dxa"/>
        <w:tblLook w:val="01E0" w:firstRow="1" w:lastRow="1" w:firstColumn="1" w:lastColumn="1" w:noHBand="0" w:noVBand="0"/>
      </w:tblPr>
      <w:tblGrid>
        <w:gridCol w:w="7087"/>
        <w:gridCol w:w="6804"/>
      </w:tblGrid>
      <w:tr w:rsidR="00771E4B" w:rsidRPr="006E18EE" w:rsidTr="00771E4B">
        <w:trPr>
          <w:trHeight w:val="2346"/>
        </w:trPr>
        <w:tc>
          <w:tcPr>
            <w:tcW w:w="7087" w:type="dxa"/>
          </w:tcPr>
          <w:p w:rsidR="00771E4B" w:rsidRPr="00771E4B" w:rsidRDefault="00771E4B" w:rsidP="00771E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D77D9">
              <w:rPr>
                <w:rFonts w:ascii="Times New Roman" w:hAnsi="Times New Roman"/>
                <w:b/>
                <w:bCs/>
                <w:lang w:eastAsia="ru-RU"/>
              </w:rPr>
              <w:t>ФБЛПУ «Санаторий «Радуга» ФНС России»</w:t>
            </w:r>
          </w:p>
          <w:p w:rsidR="00771E4B" w:rsidRDefault="00771E4B" w:rsidP="003769CC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771E4B" w:rsidRDefault="00771E4B" w:rsidP="003769CC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Заместитель генерального директора </w:t>
            </w:r>
          </w:p>
          <w:p w:rsidR="00771E4B" w:rsidRPr="0021784B" w:rsidRDefault="00771E4B" w:rsidP="003769CC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по планово-экономической работе </w:t>
            </w:r>
          </w:p>
          <w:p w:rsidR="00771E4B" w:rsidRPr="0021784B" w:rsidRDefault="00771E4B" w:rsidP="003769CC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771E4B" w:rsidRPr="00971243" w:rsidRDefault="00771E4B" w:rsidP="003769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6804" w:type="dxa"/>
          </w:tcPr>
          <w:p w:rsidR="00771E4B" w:rsidRPr="007261B1" w:rsidRDefault="00771E4B" w:rsidP="003769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71E4B" w:rsidRPr="007261B1" w:rsidRDefault="00771E4B" w:rsidP="003769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71E4B" w:rsidRDefault="00771E4B" w:rsidP="003769CC">
            <w:pPr>
              <w:pStyle w:val="a0"/>
              <w:rPr>
                <w:color w:val="000000"/>
              </w:rPr>
            </w:pPr>
          </w:p>
          <w:p w:rsidR="00771E4B" w:rsidRDefault="00771E4B" w:rsidP="003769CC">
            <w:pPr>
              <w:pStyle w:val="a0"/>
              <w:rPr>
                <w:color w:val="000000"/>
              </w:rPr>
            </w:pPr>
          </w:p>
          <w:p w:rsidR="00771E4B" w:rsidRPr="002B5F67" w:rsidRDefault="00771E4B" w:rsidP="003769CC">
            <w:pPr>
              <w:pStyle w:val="a0"/>
              <w:rPr>
                <w:b w:val="0"/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Pr="007261B1">
              <w:rPr>
                <w:color w:val="000000"/>
              </w:rPr>
              <w:t xml:space="preserve">________________ </w:t>
            </w:r>
            <w:r>
              <w:rPr>
                <w:color w:val="000000"/>
              </w:rPr>
              <w:t>/_______________ /</w:t>
            </w:r>
          </w:p>
        </w:tc>
      </w:tr>
    </w:tbl>
    <w:p w:rsidR="008C4404" w:rsidRPr="00771E4B" w:rsidRDefault="008C4404" w:rsidP="008C4404">
      <w:pPr>
        <w:tabs>
          <w:tab w:val="left" w:pos="1560"/>
        </w:tabs>
        <w:rPr>
          <w:rFonts w:ascii="Times New Roman" w:eastAsia="SimSun" w:hAnsi="Times New Roman"/>
          <w:lang w:eastAsia="zh-CN" w:bidi="hi-IN"/>
        </w:rPr>
      </w:pPr>
    </w:p>
    <w:sectPr w:rsidR="008C4404" w:rsidRPr="00771E4B" w:rsidSect="008C4404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9C" w:rsidRDefault="00F55E9C" w:rsidP="00202AFF">
      <w:pPr>
        <w:spacing w:after="0" w:line="240" w:lineRule="auto"/>
      </w:pPr>
      <w:r>
        <w:separator/>
      </w:r>
    </w:p>
  </w:endnote>
  <w:endnote w:type="continuationSeparator" w:id="0">
    <w:p w:rsidR="00F55E9C" w:rsidRDefault="00F55E9C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9C" w:rsidRDefault="00F55E9C" w:rsidP="00202AFF">
      <w:pPr>
        <w:spacing w:after="0" w:line="240" w:lineRule="auto"/>
      </w:pPr>
      <w:r>
        <w:separator/>
      </w:r>
    </w:p>
  </w:footnote>
  <w:footnote w:type="continuationSeparator" w:id="0">
    <w:p w:rsidR="00F55E9C" w:rsidRDefault="00F55E9C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9C" w:rsidRDefault="00F55E9C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1429" w:hanging="360"/>
      </w:pPr>
      <w:rPr>
        <w:b/>
        <w:sz w:val="22"/>
      </w:rPr>
    </w:lvl>
  </w:abstractNum>
  <w:abstractNum w:abstractNumId="3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4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5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2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8"/>
  </w:num>
  <w:num w:numId="5">
    <w:abstractNumId w:val="11"/>
  </w:num>
  <w:num w:numId="6">
    <w:abstractNumId w:val="4"/>
  </w:num>
  <w:num w:numId="7">
    <w:abstractNumId w:val="12"/>
  </w:num>
  <w:num w:numId="8">
    <w:abstractNumId w:val="10"/>
  </w:num>
  <w:num w:numId="9">
    <w:abstractNumId w:val="13"/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14958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D77D9"/>
    <w:rsid w:val="000E118F"/>
    <w:rsid w:val="000E2C03"/>
    <w:rsid w:val="000E7230"/>
    <w:rsid w:val="000F40B4"/>
    <w:rsid w:val="00130563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D7168"/>
    <w:rsid w:val="001E7ED0"/>
    <w:rsid w:val="00200A29"/>
    <w:rsid w:val="00202AFF"/>
    <w:rsid w:val="00203055"/>
    <w:rsid w:val="00213A9C"/>
    <w:rsid w:val="0021784B"/>
    <w:rsid w:val="00232F97"/>
    <w:rsid w:val="002348E7"/>
    <w:rsid w:val="00273DA2"/>
    <w:rsid w:val="002A4E0D"/>
    <w:rsid w:val="002B5F67"/>
    <w:rsid w:val="002B63F8"/>
    <w:rsid w:val="002C1256"/>
    <w:rsid w:val="002D3B6B"/>
    <w:rsid w:val="002F7369"/>
    <w:rsid w:val="00301A04"/>
    <w:rsid w:val="003143DF"/>
    <w:rsid w:val="00323895"/>
    <w:rsid w:val="00326CC8"/>
    <w:rsid w:val="003530C4"/>
    <w:rsid w:val="00367E83"/>
    <w:rsid w:val="00373462"/>
    <w:rsid w:val="00375AA7"/>
    <w:rsid w:val="0039610D"/>
    <w:rsid w:val="003A3A04"/>
    <w:rsid w:val="003B06A1"/>
    <w:rsid w:val="003B6BB1"/>
    <w:rsid w:val="003B7A76"/>
    <w:rsid w:val="003C4C00"/>
    <w:rsid w:val="003D4F50"/>
    <w:rsid w:val="003E748A"/>
    <w:rsid w:val="00405C9B"/>
    <w:rsid w:val="004140FB"/>
    <w:rsid w:val="004207C8"/>
    <w:rsid w:val="0043724C"/>
    <w:rsid w:val="00450926"/>
    <w:rsid w:val="00451377"/>
    <w:rsid w:val="0045714B"/>
    <w:rsid w:val="00466805"/>
    <w:rsid w:val="00474A42"/>
    <w:rsid w:val="0048251D"/>
    <w:rsid w:val="004B3270"/>
    <w:rsid w:val="00507989"/>
    <w:rsid w:val="00516C9C"/>
    <w:rsid w:val="0052160D"/>
    <w:rsid w:val="00535488"/>
    <w:rsid w:val="00554A56"/>
    <w:rsid w:val="00570133"/>
    <w:rsid w:val="00581DD1"/>
    <w:rsid w:val="005C1B02"/>
    <w:rsid w:val="005C1DA0"/>
    <w:rsid w:val="005C6B59"/>
    <w:rsid w:val="005E1EED"/>
    <w:rsid w:val="005E5B7E"/>
    <w:rsid w:val="005F5503"/>
    <w:rsid w:val="00615942"/>
    <w:rsid w:val="00617CD8"/>
    <w:rsid w:val="00621D57"/>
    <w:rsid w:val="006224E7"/>
    <w:rsid w:val="006472FF"/>
    <w:rsid w:val="0065430E"/>
    <w:rsid w:val="00682002"/>
    <w:rsid w:val="00693E55"/>
    <w:rsid w:val="0069609D"/>
    <w:rsid w:val="006B2340"/>
    <w:rsid w:val="006B47D6"/>
    <w:rsid w:val="006E18EE"/>
    <w:rsid w:val="006F64F3"/>
    <w:rsid w:val="00701564"/>
    <w:rsid w:val="00710F85"/>
    <w:rsid w:val="007261B1"/>
    <w:rsid w:val="007311CD"/>
    <w:rsid w:val="00771E4B"/>
    <w:rsid w:val="007916CC"/>
    <w:rsid w:val="007B6AA4"/>
    <w:rsid w:val="007D7458"/>
    <w:rsid w:val="007F5750"/>
    <w:rsid w:val="008002A1"/>
    <w:rsid w:val="00803BB7"/>
    <w:rsid w:val="00814F37"/>
    <w:rsid w:val="00816B50"/>
    <w:rsid w:val="008339B0"/>
    <w:rsid w:val="008353AA"/>
    <w:rsid w:val="0084381B"/>
    <w:rsid w:val="00856C75"/>
    <w:rsid w:val="00865357"/>
    <w:rsid w:val="00875051"/>
    <w:rsid w:val="00881F6A"/>
    <w:rsid w:val="008847D3"/>
    <w:rsid w:val="008B4E80"/>
    <w:rsid w:val="008C4404"/>
    <w:rsid w:val="008D31B7"/>
    <w:rsid w:val="008D4AA1"/>
    <w:rsid w:val="008E2C9A"/>
    <w:rsid w:val="008F133E"/>
    <w:rsid w:val="009137EE"/>
    <w:rsid w:val="00945316"/>
    <w:rsid w:val="009509A2"/>
    <w:rsid w:val="00967447"/>
    <w:rsid w:val="00971243"/>
    <w:rsid w:val="00974114"/>
    <w:rsid w:val="00974C87"/>
    <w:rsid w:val="00996540"/>
    <w:rsid w:val="009B1FA4"/>
    <w:rsid w:val="009C119A"/>
    <w:rsid w:val="00A30C2A"/>
    <w:rsid w:val="00A37E3C"/>
    <w:rsid w:val="00A44819"/>
    <w:rsid w:val="00A7799F"/>
    <w:rsid w:val="00A83F5F"/>
    <w:rsid w:val="00A8435E"/>
    <w:rsid w:val="00A97610"/>
    <w:rsid w:val="00AA66E4"/>
    <w:rsid w:val="00AD505F"/>
    <w:rsid w:val="00AF5099"/>
    <w:rsid w:val="00AF6286"/>
    <w:rsid w:val="00B120F2"/>
    <w:rsid w:val="00B23CF2"/>
    <w:rsid w:val="00B3273F"/>
    <w:rsid w:val="00B450F6"/>
    <w:rsid w:val="00B50391"/>
    <w:rsid w:val="00B52BC3"/>
    <w:rsid w:val="00B94D3D"/>
    <w:rsid w:val="00B964E1"/>
    <w:rsid w:val="00BD39ED"/>
    <w:rsid w:val="00BD3EF0"/>
    <w:rsid w:val="00BD6668"/>
    <w:rsid w:val="00BD73F7"/>
    <w:rsid w:val="00C30963"/>
    <w:rsid w:val="00C417DF"/>
    <w:rsid w:val="00C43922"/>
    <w:rsid w:val="00C458A8"/>
    <w:rsid w:val="00C722E4"/>
    <w:rsid w:val="00C7442E"/>
    <w:rsid w:val="00C82E5F"/>
    <w:rsid w:val="00C86322"/>
    <w:rsid w:val="00C95FC8"/>
    <w:rsid w:val="00CB19D4"/>
    <w:rsid w:val="00CF32CB"/>
    <w:rsid w:val="00D17A20"/>
    <w:rsid w:val="00D17DF6"/>
    <w:rsid w:val="00D329BE"/>
    <w:rsid w:val="00D361D7"/>
    <w:rsid w:val="00D45EEC"/>
    <w:rsid w:val="00D51374"/>
    <w:rsid w:val="00D529F4"/>
    <w:rsid w:val="00D655AC"/>
    <w:rsid w:val="00D67492"/>
    <w:rsid w:val="00D737F4"/>
    <w:rsid w:val="00DB0CC9"/>
    <w:rsid w:val="00DC7356"/>
    <w:rsid w:val="00DD120D"/>
    <w:rsid w:val="00DE152D"/>
    <w:rsid w:val="00DF2EA7"/>
    <w:rsid w:val="00E13D64"/>
    <w:rsid w:val="00E24DB4"/>
    <w:rsid w:val="00E25186"/>
    <w:rsid w:val="00E54FD4"/>
    <w:rsid w:val="00E61D2E"/>
    <w:rsid w:val="00E701AC"/>
    <w:rsid w:val="00E74C3F"/>
    <w:rsid w:val="00E808D4"/>
    <w:rsid w:val="00E85B83"/>
    <w:rsid w:val="00E95F3E"/>
    <w:rsid w:val="00E969E0"/>
    <w:rsid w:val="00EB0C0E"/>
    <w:rsid w:val="00EC32DF"/>
    <w:rsid w:val="00ED0003"/>
    <w:rsid w:val="00ED7BF9"/>
    <w:rsid w:val="00EF4FAA"/>
    <w:rsid w:val="00F00B46"/>
    <w:rsid w:val="00F07879"/>
    <w:rsid w:val="00F21DED"/>
    <w:rsid w:val="00F2226E"/>
    <w:rsid w:val="00F55E9C"/>
    <w:rsid w:val="00F56F05"/>
    <w:rsid w:val="00F64F00"/>
    <w:rsid w:val="00F75393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3341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1F9E17-0D28-4764-A5CC-8971DE85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ki44fz.ru/app/okpd2/20.20.14.000-00000009?utm_source=673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6DD4E-3FA3-4731-B37A-FA102F4B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7</Pages>
  <Words>3419</Words>
  <Characters>19491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15</cp:revision>
  <cp:lastPrinted>2026-06-09T10:22:00Z</cp:lastPrinted>
  <dcterms:created xsi:type="dcterms:W3CDTF">2025-05-23T08:06:00Z</dcterms:created>
  <dcterms:modified xsi:type="dcterms:W3CDTF">2026-06-09T10:55:00Z</dcterms:modified>
</cp:coreProperties>
</file>