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071" w:rsidRPr="001A7348" w:rsidRDefault="006F41B2" w:rsidP="009F671A">
      <w:pPr>
        <w:pStyle w:val="1"/>
        <w:keepNext w:val="0"/>
        <w:keepLines w:val="0"/>
        <w:widowControl w:val="0"/>
        <w:spacing w:before="0"/>
        <w:ind w:left="284"/>
        <w:jc w:val="center"/>
        <w:rPr>
          <w:rFonts w:ascii="Times New Roman" w:hAnsi="Times New Roman"/>
          <w:color w:val="auto"/>
          <w:sz w:val="26"/>
          <w:szCs w:val="26"/>
        </w:rPr>
      </w:pPr>
      <w:r w:rsidRPr="001A7348">
        <w:rPr>
          <w:rFonts w:ascii="Times New Roman" w:hAnsi="Times New Roman"/>
          <w:color w:val="auto"/>
          <w:sz w:val="26"/>
          <w:szCs w:val="26"/>
        </w:rPr>
        <w:t xml:space="preserve">Договор № </w:t>
      </w:r>
      <w:r w:rsidR="001A7348" w:rsidRPr="001A7348">
        <w:rPr>
          <w:rFonts w:ascii="Times New Roman" w:hAnsi="Times New Roman"/>
          <w:color w:val="auto"/>
          <w:sz w:val="26"/>
          <w:szCs w:val="26"/>
        </w:rPr>
        <w:t>______</w:t>
      </w:r>
    </w:p>
    <w:p w:rsidR="00225071" w:rsidRDefault="006F41B2" w:rsidP="009F671A">
      <w:pPr>
        <w:widowControl w:val="0"/>
        <w:ind w:left="284"/>
        <w:jc w:val="center"/>
        <w:rPr>
          <w:b/>
          <w:sz w:val="26"/>
          <w:szCs w:val="26"/>
        </w:rPr>
      </w:pPr>
      <w:r w:rsidRPr="001A7348">
        <w:rPr>
          <w:b/>
          <w:sz w:val="26"/>
          <w:szCs w:val="26"/>
        </w:rPr>
        <w:t>на передачу неисключительных прав использования базы данных «Госфинансы»</w:t>
      </w:r>
    </w:p>
    <w:p w:rsidR="00BB5299" w:rsidRPr="001A7348" w:rsidRDefault="00BB5299" w:rsidP="009F671A">
      <w:pPr>
        <w:widowControl w:val="0"/>
        <w:ind w:left="284"/>
        <w:jc w:val="center"/>
        <w:rPr>
          <w:b/>
          <w:sz w:val="26"/>
          <w:szCs w:val="26"/>
        </w:rPr>
      </w:pPr>
    </w:p>
    <w:p w:rsidR="00225071" w:rsidRPr="001A7348" w:rsidRDefault="006F41B2" w:rsidP="009F671A">
      <w:pPr>
        <w:widowControl w:val="0"/>
        <w:tabs>
          <w:tab w:val="right" w:pos="10488"/>
        </w:tabs>
        <w:ind w:left="284"/>
        <w:rPr>
          <w:sz w:val="26"/>
          <w:szCs w:val="26"/>
        </w:rPr>
      </w:pPr>
      <w:r w:rsidRPr="001A7348">
        <w:rPr>
          <w:sz w:val="26"/>
          <w:szCs w:val="26"/>
        </w:rPr>
        <w:t>г. Москва</w:t>
      </w:r>
      <w:r w:rsidRPr="001A7348">
        <w:rPr>
          <w:sz w:val="26"/>
          <w:szCs w:val="26"/>
        </w:rPr>
        <w:tab/>
        <w:t>_</w:t>
      </w:r>
      <w:proofErr w:type="gramStart"/>
      <w:r w:rsidRPr="001A7348">
        <w:rPr>
          <w:sz w:val="26"/>
          <w:szCs w:val="26"/>
        </w:rPr>
        <w:t>_.</w:t>
      </w:r>
      <w:r w:rsidR="001A7348" w:rsidRPr="001A7348">
        <w:rPr>
          <w:sz w:val="26"/>
          <w:szCs w:val="26"/>
        </w:rPr>
        <w:t>_</w:t>
      </w:r>
      <w:proofErr w:type="gramEnd"/>
      <w:r w:rsidR="001A7348" w:rsidRPr="001A7348">
        <w:rPr>
          <w:sz w:val="26"/>
          <w:szCs w:val="26"/>
        </w:rPr>
        <w:t>_</w:t>
      </w:r>
      <w:r w:rsidRPr="001A7348">
        <w:rPr>
          <w:sz w:val="26"/>
          <w:szCs w:val="26"/>
        </w:rPr>
        <w:t>.202</w:t>
      </w:r>
      <w:r w:rsidR="00C80D65">
        <w:rPr>
          <w:sz w:val="26"/>
          <w:szCs w:val="26"/>
        </w:rPr>
        <w:t>6</w:t>
      </w:r>
    </w:p>
    <w:p w:rsidR="00225071" w:rsidRDefault="006F41B2" w:rsidP="009F671A">
      <w:pPr>
        <w:pStyle w:val="ConsPlusNormal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A7348">
        <w:rPr>
          <w:rFonts w:ascii="Times New Roman" w:hAnsi="Times New Roman" w:cs="Times New Roman"/>
          <w:bCs/>
          <w:sz w:val="26"/>
          <w:szCs w:val="26"/>
        </w:rPr>
        <w:t xml:space="preserve">____________________________________________________, именуемое в дальнейшем Лицензиат, в лице </w:t>
      </w:r>
      <w:r w:rsidRPr="001A7348">
        <w:rPr>
          <w:rFonts w:ascii="Times New Roman" w:hAnsi="Times New Roman" w:cs="Times New Roman"/>
          <w:sz w:val="26"/>
          <w:szCs w:val="26"/>
        </w:rPr>
        <w:t>_____________________________________________, действующей(-его) на основании ________________________________________</w:t>
      </w:r>
      <w:r w:rsidRPr="001A7348">
        <w:rPr>
          <w:rFonts w:ascii="Times New Roman" w:hAnsi="Times New Roman" w:cs="Times New Roman"/>
          <w:bCs/>
          <w:sz w:val="26"/>
          <w:szCs w:val="26"/>
        </w:rPr>
        <w:t xml:space="preserve"> с одной стороны, и </w:t>
      </w:r>
      <w:r w:rsidRPr="001A7348">
        <w:rPr>
          <w:rFonts w:ascii="Times New Roman" w:hAnsi="Times New Roman" w:cs="Times New Roman"/>
          <w:sz w:val="26"/>
          <w:szCs w:val="26"/>
        </w:rPr>
        <w:t xml:space="preserve">ФГБУ «Центр </w:t>
      </w:r>
      <w:proofErr w:type="spellStart"/>
      <w:r w:rsidRPr="001A7348">
        <w:rPr>
          <w:rFonts w:ascii="Times New Roman" w:hAnsi="Times New Roman" w:cs="Times New Roman"/>
          <w:sz w:val="26"/>
          <w:szCs w:val="26"/>
        </w:rPr>
        <w:t>Агроаналитики</w:t>
      </w:r>
      <w:proofErr w:type="spellEnd"/>
      <w:r w:rsidRPr="001A7348">
        <w:rPr>
          <w:rFonts w:ascii="Times New Roman" w:hAnsi="Times New Roman" w:cs="Times New Roman"/>
          <w:sz w:val="26"/>
          <w:szCs w:val="26"/>
        </w:rPr>
        <w:t>»</w:t>
      </w:r>
      <w:r w:rsidRPr="001A7348">
        <w:rPr>
          <w:rFonts w:ascii="Times New Roman" w:hAnsi="Times New Roman" w:cs="Times New Roman"/>
          <w:bCs/>
          <w:sz w:val="26"/>
          <w:szCs w:val="26"/>
        </w:rPr>
        <w:t xml:space="preserve">, именуемое в дальнейшем Сублицензиат, в лице </w:t>
      </w:r>
      <w:r w:rsidR="001A7348" w:rsidRPr="001A7348">
        <w:rPr>
          <w:rFonts w:ascii="Times New Roman" w:hAnsi="Times New Roman" w:cs="Times New Roman"/>
          <w:sz w:val="26"/>
          <w:szCs w:val="26"/>
        </w:rPr>
        <w:t>_______________________</w:t>
      </w:r>
      <w:r w:rsidRPr="001A7348">
        <w:rPr>
          <w:rFonts w:ascii="Times New Roman" w:hAnsi="Times New Roman" w:cs="Times New Roman"/>
          <w:bCs/>
          <w:sz w:val="26"/>
          <w:szCs w:val="26"/>
        </w:rPr>
        <w:t xml:space="preserve">, действующего на основании </w:t>
      </w:r>
      <w:r w:rsidR="001A7348" w:rsidRPr="001A7348">
        <w:rPr>
          <w:rFonts w:ascii="Times New Roman" w:hAnsi="Times New Roman" w:cs="Times New Roman"/>
          <w:bCs/>
          <w:sz w:val="26"/>
          <w:szCs w:val="26"/>
        </w:rPr>
        <w:t>_________________</w:t>
      </w:r>
      <w:r w:rsidRPr="001A7348">
        <w:rPr>
          <w:rFonts w:ascii="Times New Roman" w:hAnsi="Times New Roman" w:cs="Times New Roman"/>
          <w:bCs/>
          <w:sz w:val="26"/>
          <w:szCs w:val="26"/>
        </w:rPr>
        <w:t xml:space="preserve">, с другой стороны, вместе именуемые Стороны, </w:t>
      </w:r>
      <w:r w:rsidRPr="001A7348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:rsidR="00B8313A" w:rsidRPr="001A7348" w:rsidRDefault="00B8313A" w:rsidP="009F671A">
      <w:pPr>
        <w:pStyle w:val="ConsPlusNormal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225071" w:rsidRPr="001A7348" w:rsidRDefault="006F41B2" w:rsidP="009F671A">
      <w:pPr>
        <w:pStyle w:val="ParagraphStyle"/>
        <w:numPr>
          <w:ilvl w:val="0"/>
          <w:numId w:val="4"/>
        </w:numPr>
        <w:ind w:left="284" w:hanging="360"/>
        <w:jc w:val="center"/>
        <w:outlineLvl w:val="0"/>
        <w:rPr>
          <w:b/>
          <w:bCs/>
          <w:sz w:val="26"/>
          <w:szCs w:val="26"/>
        </w:rPr>
      </w:pPr>
      <w:bookmarkStart w:id="0" w:name="_Toc510612354"/>
      <w:bookmarkEnd w:id="0"/>
      <w:r w:rsidRPr="001A7348">
        <w:rPr>
          <w:rStyle w:val="Heading"/>
          <w:bCs/>
          <w:sz w:val="26"/>
          <w:szCs w:val="26"/>
        </w:rPr>
        <w:t>ПРЕДМЕТ ДОГОВОРА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Лицензиат обязуется предоставить Сублицензиату за вознаграждение неисключительные права (простая неисключительная лицензия) использования Базы данных - электронной системы «Госфинансы», расположенной по адресу </w:t>
      </w:r>
      <w:r w:rsidR="001A7348" w:rsidRPr="001A7348">
        <w:rPr>
          <w:rStyle w:val="Normaltext"/>
          <w:sz w:val="26"/>
          <w:szCs w:val="26"/>
        </w:rPr>
        <w:t>____________________</w:t>
      </w:r>
      <w:r w:rsidRPr="001A7348">
        <w:rPr>
          <w:rStyle w:val="Normaltext"/>
          <w:sz w:val="26"/>
          <w:szCs w:val="26"/>
        </w:rPr>
        <w:t xml:space="preserve"> в объеме указанном в «Спецификации на ЭС» (Приложение № </w:t>
      </w:r>
      <w:r w:rsidR="00BB5299">
        <w:rPr>
          <w:rStyle w:val="Normaltext"/>
          <w:sz w:val="26"/>
          <w:szCs w:val="26"/>
        </w:rPr>
        <w:t>2</w:t>
      </w:r>
      <w:r w:rsidRPr="001A7348">
        <w:rPr>
          <w:rStyle w:val="Normaltext"/>
          <w:sz w:val="26"/>
          <w:szCs w:val="26"/>
        </w:rPr>
        <w:t xml:space="preserve"> к Договору), на условиях, предусмотренных в настоящем Договоре.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Под электронной системой (далее-ЭС) в настоящем Договоре понимается многофункциональная справочно-экспертная система, предназначенная для предоставления подробной информации в сфере отдельной отрасли права, указанной в «Спецификации на ЭС», доступ к которой осуществляется через телекоммуникационную сеть общего пользования -Интернет.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Сублицензиат приобретает неисключительные права использования ЭС в соответствии с его функциональными возможностями, а именно, Сублицензиат имеет право использовать ЭС исключительно для своей внутренней деятельности, включая следующие способы:</w:t>
      </w:r>
    </w:p>
    <w:p w:rsidR="00225071" w:rsidRPr="001A7348" w:rsidRDefault="006F41B2" w:rsidP="009F671A">
      <w:pPr>
        <w:pStyle w:val="a4"/>
        <w:widowControl w:val="0"/>
        <w:numPr>
          <w:ilvl w:val="2"/>
          <w:numId w:val="4"/>
        </w:numPr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Подключаться к ЭС через сеть Интернет, </w:t>
      </w:r>
      <w:r w:rsidRPr="001A7348">
        <w:rPr>
          <w:sz w:val="26"/>
          <w:szCs w:val="26"/>
        </w:rPr>
        <w:t>количество пользователей, не должно превышать количества лицензий, указанных в Спецификации на ЭС, при этом пользователю запрещено передавать кому бы то ни было свою учетную информацию (пароль и логин для доступа в ЭС).</w:t>
      </w:r>
    </w:p>
    <w:p w:rsidR="00225071" w:rsidRPr="001A7348" w:rsidRDefault="006F41B2" w:rsidP="009F671A">
      <w:pPr>
        <w:pStyle w:val="a4"/>
        <w:widowControl w:val="0"/>
        <w:numPr>
          <w:ilvl w:val="2"/>
          <w:numId w:val="4"/>
        </w:numPr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Использовать для собственных нужд материалы и информацию, содержащуюся в ЭС без получения дополнительного согласия Лицензиата либо третьих лиц. Право доступа к ЭС предоставляется Сублицензиату круглосуточно на все время действия лицензии.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Неисключительные права использования ЭС предоставляются Сублицензиату с момента направления последнему по электронной почте кода доступа к ЭС и на срок, указанный в «Спецификации на ЭС» (Приложение №</w:t>
      </w:r>
      <w:r w:rsidR="00BB5299">
        <w:rPr>
          <w:rStyle w:val="Normaltext"/>
          <w:sz w:val="26"/>
          <w:szCs w:val="26"/>
        </w:rPr>
        <w:t xml:space="preserve"> 2</w:t>
      </w:r>
      <w:r w:rsidRPr="001A7348">
        <w:rPr>
          <w:rStyle w:val="Normaltext"/>
          <w:sz w:val="26"/>
          <w:szCs w:val="26"/>
        </w:rPr>
        <w:t xml:space="preserve"> к Договору).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Сублицензиат не приобретает каких-либо прав на ЭС, за исключением оговоренных в настоящем Договоре, а также не имеет право:</w:t>
      </w:r>
    </w:p>
    <w:p w:rsidR="00225071" w:rsidRPr="001A7348" w:rsidRDefault="006F41B2" w:rsidP="009F671A">
      <w:pPr>
        <w:widowControl w:val="0"/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1A7348">
        <w:rPr>
          <w:sz w:val="26"/>
          <w:szCs w:val="26"/>
        </w:rPr>
        <w:t>-  использовать ЭС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ЭС;</w:t>
      </w:r>
    </w:p>
    <w:p w:rsidR="00225071" w:rsidRPr="001A7348" w:rsidRDefault="006F41B2" w:rsidP="009F671A">
      <w:pPr>
        <w:widowControl w:val="0"/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1A7348">
        <w:rPr>
          <w:sz w:val="26"/>
          <w:szCs w:val="26"/>
        </w:rPr>
        <w:t xml:space="preserve">-   включать ЭС в какие бы то ни было базы данных и/или программы для ЭВМ; </w:t>
      </w:r>
    </w:p>
    <w:p w:rsidR="00225071" w:rsidRPr="001A7348" w:rsidRDefault="006F41B2" w:rsidP="009F671A">
      <w:pPr>
        <w:widowControl w:val="0"/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1A7348">
        <w:rPr>
          <w:sz w:val="26"/>
          <w:szCs w:val="26"/>
        </w:rPr>
        <w:t>-  распространять ЭС на возмездной или безвозмездной основе;</w:t>
      </w:r>
    </w:p>
    <w:p w:rsidR="00225071" w:rsidRPr="001A7348" w:rsidRDefault="006F41B2" w:rsidP="009F671A">
      <w:pPr>
        <w:widowControl w:val="0"/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1A7348">
        <w:rPr>
          <w:sz w:val="26"/>
          <w:szCs w:val="26"/>
        </w:rPr>
        <w:t>-  доводить до всеобщего сведения материалы и информацию, включая авторские произведения, содержащиеся в ЭС;</w:t>
      </w:r>
    </w:p>
    <w:p w:rsidR="00225071" w:rsidRPr="001A7348" w:rsidRDefault="006F41B2" w:rsidP="009F671A">
      <w:pPr>
        <w:widowControl w:val="0"/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1A7348">
        <w:rPr>
          <w:sz w:val="26"/>
          <w:szCs w:val="26"/>
        </w:rPr>
        <w:t xml:space="preserve">-  использовать материалы, включая авторские произведения, а также информацию, полученную в результате использования ЭС в аудиторской, консалтинговой деятельности, а также в интересах третьих лиц, предоставление таких материалов и </w:t>
      </w:r>
      <w:r w:rsidRPr="001A7348">
        <w:rPr>
          <w:sz w:val="26"/>
          <w:szCs w:val="26"/>
        </w:rPr>
        <w:lastRenderedPageBreak/>
        <w:t>информации на возмездной или безвозмездной основе третьим лицам.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Сублицензиат обязуется принять и оплатить права использования ЭС в соответствии с условиями настоящего Договора.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sz w:val="26"/>
          <w:szCs w:val="26"/>
        </w:rPr>
        <w:t>Лицензиат гарантирует возможность использования ЭС в течение срока действия лицензий, указанного в «Спецификации на ЭС» при условии соблюдения Сублицензиатом:</w:t>
      </w:r>
    </w:p>
    <w:p w:rsidR="00225071" w:rsidRPr="001A7348" w:rsidRDefault="006F41B2" w:rsidP="009F671A">
      <w:pPr>
        <w:widowControl w:val="0"/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1A7348">
        <w:rPr>
          <w:sz w:val="26"/>
          <w:szCs w:val="26"/>
        </w:rPr>
        <w:t xml:space="preserve">-  технических требований к характеристикам оборудования и программному обеспечению, размещенных на сайте ЭС в соответствующем разделе </w:t>
      </w:r>
    </w:p>
    <w:p w:rsidR="00225071" w:rsidRPr="001A7348" w:rsidRDefault="006F41B2" w:rsidP="009F671A">
      <w:pPr>
        <w:widowControl w:val="0"/>
        <w:tabs>
          <w:tab w:val="left" w:pos="709"/>
        </w:tabs>
        <w:ind w:left="284"/>
        <w:contextualSpacing/>
        <w:jc w:val="both"/>
        <w:rPr>
          <w:sz w:val="26"/>
          <w:szCs w:val="26"/>
        </w:rPr>
      </w:pPr>
      <w:r w:rsidRPr="001A7348">
        <w:rPr>
          <w:sz w:val="26"/>
          <w:szCs w:val="26"/>
        </w:rPr>
        <w:t>- требований и условий/правил использования как всех, так и отдельных разделов ЭС, размещенных на сайте ЭС.</w:t>
      </w:r>
    </w:p>
    <w:p w:rsidR="00225071" w:rsidRPr="001A7348" w:rsidRDefault="006F41B2" w:rsidP="009F671A">
      <w:pPr>
        <w:pStyle w:val="ParagraphStyle"/>
        <w:numPr>
          <w:ilvl w:val="0"/>
          <w:numId w:val="4"/>
        </w:numPr>
        <w:ind w:left="284" w:hanging="360"/>
        <w:jc w:val="center"/>
        <w:outlineLvl w:val="0"/>
        <w:rPr>
          <w:b/>
          <w:sz w:val="26"/>
          <w:szCs w:val="26"/>
        </w:rPr>
      </w:pPr>
      <w:r w:rsidRPr="001A7348">
        <w:rPr>
          <w:rStyle w:val="Heading"/>
          <w:bCs/>
          <w:sz w:val="26"/>
          <w:szCs w:val="26"/>
        </w:rPr>
        <w:t>ПОРЯДОК ПЕРЕДАЧИ ПРАВА ДОСТУПА И ИСПОЛЬЗОВАНИЯ ЭС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ind w:left="284" w:hanging="54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Лицензиат в течение 3 (Трех) рабочих дней после заключения Договора высылает Сублицензиату по адресу его электронной почты, указанному при регистрации, код доступа для предоставления права доступа к ЭС.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Лицензиат в течение 14 (Четырнадцати) рабочих дней после отправки электронного письма направляет Сублицензиату дополнительно по почте по адресу Сублицензиата, указанному в разделе 8 Договора, подписанный Лицензиатом Акт передачи прав использования ЭС.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 Сублицензиат в течение 5 (Пяти) рабочих дней после получения Акта передачи прав использования ЭС обязан подписать его со своей стороны и передать его Лицензиату. В случае если в указанный срок Сублицензиат не направит Лицензиату подписанный со своей стороны Акт или мотивированный отказ от его подписания, права считаются переданными, а Акт подписанным Сублицензиатом.</w:t>
      </w:r>
    </w:p>
    <w:p w:rsidR="00225071" w:rsidRPr="001A7348" w:rsidRDefault="006F41B2" w:rsidP="009F671A">
      <w:pPr>
        <w:pStyle w:val="ParagraphStyle"/>
        <w:numPr>
          <w:ilvl w:val="0"/>
          <w:numId w:val="4"/>
        </w:numPr>
        <w:ind w:left="284" w:hanging="360"/>
        <w:jc w:val="center"/>
        <w:outlineLvl w:val="0"/>
        <w:rPr>
          <w:b/>
          <w:bCs/>
          <w:sz w:val="26"/>
          <w:szCs w:val="26"/>
        </w:rPr>
      </w:pPr>
      <w:bookmarkStart w:id="1" w:name="_Toc510612356"/>
      <w:r w:rsidRPr="001A7348">
        <w:rPr>
          <w:rStyle w:val="Heading"/>
          <w:bCs/>
          <w:sz w:val="26"/>
          <w:szCs w:val="26"/>
        </w:rPr>
        <w:t>ЦЕНА ДОГОВОРА И ПОРЯДОК ОПЛАТЫ</w:t>
      </w:r>
      <w:bookmarkEnd w:id="1"/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bookmarkStart w:id="2" w:name="_Ref189296392"/>
      <w:r w:rsidRPr="001A7348">
        <w:rPr>
          <w:rStyle w:val="Normaltext"/>
          <w:sz w:val="26"/>
          <w:szCs w:val="26"/>
        </w:rPr>
        <w:t xml:space="preserve">Цена Договора (вознаграждение за право использования ЭС) указана в «Спецификации на ЭС» (Приложение </w:t>
      </w:r>
      <w:r w:rsidR="00BB5299">
        <w:rPr>
          <w:rStyle w:val="Normaltext"/>
          <w:sz w:val="26"/>
          <w:szCs w:val="26"/>
        </w:rPr>
        <w:t>№ 2</w:t>
      </w:r>
      <w:r w:rsidRPr="001A7348">
        <w:rPr>
          <w:rStyle w:val="Normaltext"/>
          <w:sz w:val="26"/>
          <w:szCs w:val="26"/>
        </w:rPr>
        <w:t xml:space="preserve">) и составляет ___ </w:t>
      </w:r>
      <w:proofErr w:type="gramStart"/>
      <w:r w:rsidRPr="001A7348">
        <w:rPr>
          <w:rStyle w:val="Normaltext"/>
          <w:sz w:val="26"/>
          <w:szCs w:val="26"/>
        </w:rPr>
        <w:t xml:space="preserve">(  </w:t>
      </w:r>
      <w:proofErr w:type="gramEnd"/>
      <w:r w:rsidRPr="001A7348">
        <w:rPr>
          <w:rStyle w:val="Normaltext"/>
          <w:sz w:val="26"/>
          <w:szCs w:val="26"/>
        </w:rPr>
        <w:t xml:space="preserve">  ) рублей __ копеек. Указанная сумма НДС не облагается на основании подпункта 26 пункта 2 статьи 149 НК РФ.</w:t>
      </w:r>
      <w:bookmarkEnd w:id="2"/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Цена Договора является твердой и определена на весь срок исполнения Договора. </w:t>
      </w:r>
    </w:p>
    <w:p w:rsidR="00225071" w:rsidRDefault="006F41B2" w:rsidP="009F671A">
      <w:pPr>
        <w:pStyle w:val="a4"/>
        <w:widowControl w:val="0"/>
        <w:numPr>
          <w:ilvl w:val="1"/>
          <w:numId w:val="4"/>
        </w:numPr>
        <w:ind w:left="284" w:hanging="540"/>
        <w:jc w:val="both"/>
        <w:rPr>
          <w:rStyle w:val="Normaltext"/>
          <w:sz w:val="26"/>
          <w:szCs w:val="26"/>
        </w:rPr>
      </w:pPr>
      <w:r w:rsidRPr="001A7348">
        <w:rPr>
          <w:rStyle w:val="Normaltext"/>
          <w:sz w:val="26"/>
          <w:szCs w:val="26"/>
        </w:rPr>
        <w:t>Оплата производится на основании выставленного Лицензиатом счета, путем перечисления денежных средств на расчетный счет Лицензиата не позднее 5 (Пяти) рабочих дней с даты подписания Акта передачи прав использования ЭС.</w:t>
      </w:r>
    </w:p>
    <w:p w:rsidR="00B14BA3" w:rsidRDefault="00B14BA3" w:rsidP="00B14BA3">
      <w:pPr>
        <w:pStyle w:val="a4"/>
        <w:widowControl w:val="0"/>
        <w:numPr>
          <w:ilvl w:val="1"/>
          <w:numId w:val="4"/>
        </w:numPr>
        <w:ind w:left="284" w:hanging="540"/>
        <w:jc w:val="both"/>
        <w:rPr>
          <w:rStyle w:val="Normaltext"/>
          <w:sz w:val="26"/>
          <w:szCs w:val="26"/>
        </w:rPr>
      </w:pPr>
      <w:r>
        <w:rPr>
          <w:rStyle w:val="Normaltext"/>
          <w:sz w:val="26"/>
          <w:szCs w:val="26"/>
        </w:rPr>
        <w:t>Источник финансирования – за счет средств бюджетного учреждения (субсидии на финансовое обеспечение выполнения государственного задания 0405).</w:t>
      </w:r>
    </w:p>
    <w:p w:rsidR="00B14BA3" w:rsidRPr="001A7348" w:rsidRDefault="00B14BA3" w:rsidP="00B14BA3">
      <w:pPr>
        <w:pStyle w:val="a4"/>
        <w:widowControl w:val="0"/>
        <w:ind w:left="284"/>
        <w:jc w:val="both"/>
        <w:rPr>
          <w:sz w:val="26"/>
          <w:szCs w:val="26"/>
        </w:rPr>
      </w:pPr>
    </w:p>
    <w:p w:rsidR="00225071" w:rsidRPr="001A7348" w:rsidRDefault="006F41B2" w:rsidP="009F671A">
      <w:pPr>
        <w:pStyle w:val="ParagraphStyle"/>
        <w:numPr>
          <w:ilvl w:val="0"/>
          <w:numId w:val="4"/>
        </w:numPr>
        <w:ind w:left="284" w:hanging="360"/>
        <w:jc w:val="center"/>
        <w:outlineLvl w:val="0"/>
        <w:rPr>
          <w:b/>
          <w:bCs/>
          <w:sz w:val="26"/>
          <w:szCs w:val="26"/>
        </w:rPr>
      </w:pPr>
      <w:r w:rsidRPr="001A7348">
        <w:rPr>
          <w:rStyle w:val="Heading"/>
          <w:bCs/>
          <w:sz w:val="26"/>
          <w:szCs w:val="26"/>
        </w:rPr>
        <w:t>ЗАЩИТА В СЛУЧАЕ НАРУШЕНИЙ ИНТЕЛЛЕКТУАЛЬНЫХ ПРАВ ТРЕТЬИХ ЛИЦ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Лицензиат будет защищать интересы Сублицензиата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В случае предъявления претензии Сублицензиат должен незамедлительно письменно уведомить об этом Лицензиата.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Обязательства Лицензиата не распространяются на случаи нарушения Сублицензиатом условий использования ЭС, предусмотренных настоящим Договором и действующим законодательством.</w:t>
      </w:r>
    </w:p>
    <w:p w:rsidR="00225071" w:rsidRPr="001A7348" w:rsidRDefault="006F41B2" w:rsidP="009F671A">
      <w:pPr>
        <w:pStyle w:val="ParagraphStyle"/>
        <w:numPr>
          <w:ilvl w:val="0"/>
          <w:numId w:val="4"/>
        </w:numPr>
        <w:ind w:left="284" w:hanging="360"/>
        <w:jc w:val="center"/>
        <w:outlineLvl w:val="0"/>
        <w:rPr>
          <w:b/>
          <w:bCs/>
          <w:sz w:val="26"/>
          <w:szCs w:val="26"/>
        </w:rPr>
      </w:pPr>
      <w:bookmarkStart w:id="3" w:name="_Toc510612359"/>
      <w:r w:rsidRPr="001A7348">
        <w:rPr>
          <w:rStyle w:val="Heading"/>
          <w:bCs/>
          <w:sz w:val="26"/>
          <w:szCs w:val="26"/>
        </w:rPr>
        <w:t xml:space="preserve">ОТВЕТСТВЕННОСТЬ СТОРОН </w:t>
      </w:r>
      <w:bookmarkEnd w:id="3"/>
      <w:r w:rsidRPr="001A7348">
        <w:rPr>
          <w:rStyle w:val="Heading"/>
          <w:bCs/>
          <w:sz w:val="26"/>
          <w:szCs w:val="26"/>
        </w:rPr>
        <w:t>И ПОРЯДОК РАЭСМОТРЕНИЯ СПОРОВ</w:t>
      </w:r>
    </w:p>
    <w:p w:rsidR="00BB5299" w:rsidRDefault="00BB5299" w:rsidP="00BB5299">
      <w:pPr>
        <w:pStyle w:val="a4"/>
        <w:widowControl w:val="0"/>
        <w:numPr>
          <w:ilvl w:val="1"/>
          <w:numId w:val="3"/>
        </w:numPr>
        <w:ind w:left="284" w:hanging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За неисполнение или ненадлежащее исполнение обязательств по Контракту Стороны будут нести ответственность в соответствии с постановлением Правительства Российской Федерации от 30.08.2017 № 1042 «Об утверждении Правил определения </w:t>
      </w:r>
      <w:r>
        <w:rPr>
          <w:color w:val="000000"/>
          <w:sz w:val="26"/>
          <w:szCs w:val="26"/>
        </w:rPr>
        <w:lastRenderedPageBreak/>
        <w:t>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условиями Контракта.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3"/>
        </w:numPr>
        <w:ind w:left="284" w:hanging="360"/>
        <w:jc w:val="both"/>
        <w:rPr>
          <w:sz w:val="26"/>
          <w:szCs w:val="26"/>
        </w:rPr>
      </w:pPr>
      <w:r w:rsidRPr="001A7348">
        <w:rPr>
          <w:sz w:val="26"/>
          <w:szCs w:val="26"/>
        </w:rPr>
        <w:t>В случае, если Сублицензиат не устранит нарушения в течение одного дня в случае  направления ему уведомления о нарушении или повторно нарушит условия настоящего Договора, Лицензиат  имеет право заблокировать доступ Сублицензиата к ЭС.</w:t>
      </w:r>
      <w:r w:rsidRPr="001A7348">
        <w:rPr>
          <w:rStyle w:val="Normaltext"/>
          <w:sz w:val="26"/>
          <w:szCs w:val="26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 пени в размере  0,1 процента от цены  настоящего Договора за каждый день просрочки.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3"/>
        </w:numPr>
        <w:ind w:left="284" w:hanging="36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Уплата Стороной неустойки (штрафа, пеней) не освобождает её от исполнения обязательств по Договору.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3"/>
        </w:numPr>
        <w:ind w:left="284" w:hanging="36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При возникновении споров по настоящему Договору обязательным является предъявление претензии, срок рассмотрения которой устанавливается в </w:t>
      </w:r>
      <w:proofErr w:type="gramStart"/>
      <w:r w:rsidRPr="001A7348">
        <w:rPr>
          <w:rStyle w:val="Normaltext"/>
          <w:sz w:val="26"/>
          <w:szCs w:val="26"/>
        </w:rPr>
        <w:t>10  (</w:t>
      </w:r>
      <w:proofErr w:type="gramEnd"/>
      <w:r w:rsidRPr="001A7348">
        <w:rPr>
          <w:rStyle w:val="Normaltext"/>
          <w:sz w:val="26"/>
          <w:szCs w:val="26"/>
        </w:rPr>
        <w:t>десять) рабочих дней с даты ее вручения другой Стороне.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3"/>
        </w:numPr>
        <w:ind w:left="284" w:hanging="36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3"/>
        </w:numPr>
        <w:ind w:left="284" w:hanging="36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225071" w:rsidRPr="001A7348" w:rsidRDefault="006F41B2" w:rsidP="009F671A">
      <w:pPr>
        <w:pStyle w:val="ParagraphStyle"/>
        <w:numPr>
          <w:ilvl w:val="0"/>
          <w:numId w:val="4"/>
        </w:numPr>
        <w:ind w:left="284" w:hanging="360"/>
        <w:jc w:val="center"/>
        <w:outlineLvl w:val="0"/>
        <w:rPr>
          <w:b/>
          <w:bCs/>
          <w:sz w:val="26"/>
          <w:szCs w:val="26"/>
        </w:rPr>
      </w:pPr>
      <w:r w:rsidRPr="001A7348">
        <w:rPr>
          <w:rStyle w:val="Heading"/>
          <w:bCs/>
          <w:sz w:val="26"/>
          <w:szCs w:val="26"/>
        </w:rPr>
        <w:t>КОНФИДЕНЦИАЛЬНОСТЬ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225071" w:rsidRPr="001A7348" w:rsidRDefault="006F41B2" w:rsidP="009F671A">
      <w:pPr>
        <w:pStyle w:val="ParagraphStyle"/>
        <w:numPr>
          <w:ilvl w:val="0"/>
          <w:numId w:val="4"/>
        </w:numPr>
        <w:ind w:left="284" w:hanging="360"/>
        <w:jc w:val="center"/>
        <w:outlineLvl w:val="0"/>
        <w:rPr>
          <w:b/>
          <w:bCs/>
          <w:sz w:val="26"/>
          <w:szCs w:val="26"/>
        </w:rPr>
      </w:pPr>
      <w:r w:rsidRPr="001A7348">
        <w:rPr>
          <w:rStyle w:val="Heading"/>
          <w:bCs/>
          <w:sz w:val="26"/>
          <w:szCs w:val="26"/>
        </w:rPr>
        <w:t>ПРОЧИЕ УСЛОВИЯ</w:t>
      </w:r>
    </w:p>
    <w:p w:rsidR="00225071" w:rsidRPr="00BB5299" w:rsidRDefault="00BB5299" w:rsidP="00E80D91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bookmarkStart w:id="4" w:name="_Ref26774448"/>
      <w:r w:rsidRPr="00BB5299">
        <w:rPr>
          <w:rStyle w:val="Normaltext"/>
          <w:sz w:val="26"/>
          <w:szCs w:val="26"/>
        </w:rPr>
        <w:t>Настоящий Договор вступает в силу с даты его подписания и дейс</w:t>
      </w:r>
      <w:bookmarkStart w:id="5" w:name="_GoBack"/>
      <w:bookmarkEnd w:id="5"/>
      <w:r w:rsidRPr="00BB5299">
        <w:rPr>
          <w:rStyle w:val="Normaltext"/>
          <w:sz w:val="26"/>
          <w:szCs w:val="26"/>
        </w:rPr>
        <w:t xml:space="preserve">твует до </w:t>
      </w:r>
      <w:r w:rsidR="009B450D">
        <w:rPr>
          <w:rStyle w:val="Normaltext"/>
          <w:sz w:val="26"/>
          <w:szCs w:val="26"/>
        </w:rPr>
        <w:t>30.09.2026</w:t>
      </w:r>
      <w:r w:rsidRPr="00BB5299">
        <w:rPr>
          <w:rStyle w:val="Normaltext"/>
          <w:sz w:val="26"/>
          <w:szCs w:val="26"/>
        </w:rPr>
        <w:t>, а в части исполнения Сторонами взятых на себя обязательств до полного их исполнения.</w:t>
      </w:r>
    </w:p>
    <w:bookmarkEnd w:id="4"/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 xml:space="preserve">В настоящем Договоре стороны обязаны указывать юридический и фактический адрес </w:t>
      </w:r>
      <w:r w:rsidRPr="001A7348">
        <w:rPr>
          <w:rStyle w:val="Normaltext"/>
          <w:sz w:val="26"/>
          <w:szCs w:val="26"/>
        </w:rPr>
        <w:lastRenderedPageBreak/>
        <w:t xml:space="preserve">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:rsidR="00225071" w:rsidRPr="001A7348" w:rsidRDefault="006F41B2" w:rsidP="009F671A">
      <w:pPr>
        <w:pStyle w:val="a4"/>
        <w:widowControl w:val="0"/>
        <w:numPr>
          <w:ilvl w:val="1"/>
          <w:numId w:val="4"/>
        </w:numPr>
        <w:tabs>
          <w:tab w:val="left" w:pos="567"/>
        </w:tabs>
        <w:ind w:left="284" w:hanging="567"/>
        <w:contextualSpacing w:val="0"/>
        <w:jc w:val="both"/>
        <w:rPr>
          <w:sz w:val="26"/>
          <w:szCs w:val="26"/>
        </w:rPr>
      </w:pPr>
      <w:r w:rsidRPr="001A7348">
        <w:rPr>
          <w:rStyle w:val="Normaltext"/>
          <w:sz w:val="26"/>
          <w:szCs w:val="26"/>
        </w:rPr>
        <w:t>Приложения к настоящему Договору:</w:t>
      </w:r>
    </w:p>
    <w:p w:rsidR="00BB5299" w:rsidRDefault="00BB5299" w:rsidP="009F671A">
      <w:pPr>
        <w:pStyle w:val="2"/>
        <w:keepNext w:val="0"/>
        <w:numPr>
          <w:ilvl w:val="0"/>
          <w:numId w:val="2"/>
        </w:numPr>
        <w:tabs>
          <w:tab w:val="left" w:pos="900"/>
        </w:tabs>
        <w:ind w:left="284" w:hanging="357"/>
        <w:rPr>
          <w:b w:val="0"/>
          <w:color w:val="auto"/>
          <w:sz w:val="26"/>
          <w:szCs w:val="26"/>
        </w:rPr>
      </w:pPr>
      <w:r w:rsidRPr="001A7348">
        <w:rPr>
          <w:b w:val="0"/>
          <w:color w:val="auto"/>
          <w:sz w:val="26"/>
          <w:szCs w:val="26"/>
        </w:rPr>
        <w:t>Приложение № </w:t>
      </w:r>
      <w:r>
        <w:rPr>
          <w:b w:val="0"/>
          <w:color w:val="auto"/>
          <w:sz w:val="26"/>
          <w:szCs w:val="26"/>
        </w:rPr>
        <w:t>1 – «Техническое задание»</w:t>
      </w:r>
    </w:p>
    <w:p w:rsidR="001A7348" w:rsidRDefault="006F41B2" w:rsidP="009F671A">
      <w:pPr>
        <w:pStyle w:val="2"/>
        <w:keepNext w:val="0"/>
        <w:numPr>
          <w:ilvl w:val="0"/>
          <w:numId w:val="2"/>
        </w:numPr>
        <w:tabs>
          <w:tab w:val="left" w:pos="900"/>
        </w:tabs>
        <w:ind w:left="284" w:hanging="357"/>
        <w:rPr>
          <w:b w:val="0"/>
          <w:color w:val="auto"/>
          <w:sz w:val="26"/>
          <w:szCs w:val="26"/>
        </w:rPr>
      </w:pPr>
      <w:r w:rsidRPr="001A7348">
        <w:rPr>
          <w:b w:val="0"/>
          <w:color w:val="auto"/>
          <w:sz w:val="26"/>
          <w:szCs w:val="26"/>
        </w:rPr>
        <w:t>Приложение № </w:t>
      </w:r>
      <w:r w:rsidR="00BB5299">
        <w:rPr>
          <w:b w:val="0"/>
          <w:color w:val="auto"/>
          <w:sz w:val="26"/>
          <w:szCs w:val="26"/>
        </w:rPr>
        <w:t>2</w:t>
      </w:r>
      <w:r w:rsidRPr="001A7348">
        <w:rPr>
          <w:b w:val="0"/>
          <w:color w:val="auto"/>
          <w:sz w:val="26"/>
          <w:szCs w:val="26"/>
        </w:rPr>
        <w:t> – «Спецификация на ЭС».</w:t>
      </w:r>
    </w:p>
    <w:p w:rsidR="00BB5299" w:rsidRPr="00BB5299" w:rsidRDefault="00BB5299" w:rsidP="00BB5299"/>
    <w:p w:rsidR="001A7348" w:rsidRPr="001A7348" w:rsidRDefault="001A7348" w:rsidP="009F671A">
      <w:pPr>
        <w:widowControl w:val="0"/>
        <w:ind w:left="284"/>
      </w:pPr>
    </w:p>
    <w:p w:rsidR="001A7348" w:rsidRPr="001A7348" w:rsidRDefault="001A7348" w:rsidP="009F671A">
      <w:pPr>
        <w:pStyle w:val="ParagraphStyle"/>
        <w:numPr>
          <w:ilvl w:val="0"/>
          <w:numId w:val="5"/>
        </w:numPr>
        <w:ind w:left="284" w:hanging="360"/>
        <w:jc w:val="center"/>
        <w:outlineLvl w:val="0"/>
      </w:pPr>
      <w:r w:rsidRPr="001A7348">
        <w:rPr>
          <w:rStyle w:val="Heading"/>
          <w:bCs/>
        </w:rPr>
        <w:t>АДРЕСА И БАНКОВСКИЕ РЕКВИЗИТЫ СТОРОН</w:t>
      </w:r>
    </w:p>
    <w:tbl>
      <w:tblPr>
        <w:tblpPr w:leftFromText="180" w:rightFromText="180" w:bottomFromText="160" w:vertAnchor="text" w:horzAnchor="margin" w:tblpY="558"/>
        <w:tblW w:w="5000" w:type="pct"/>
        <w:tblLook w:val="01E0" w:firstRow="1" w:lastRow="1" w:firstColumn="1" w:lastColumn="1" w:noHBand="0" w:noVBand="0"/>
      </w:tblPr>
      <w:tblGrid>
        <w:gridCol w:w="5386"/>
        <w:gridCol w:w="49"/>
        <w:gridCol w:w="4629"/>
        <w:gridCol w:w="51"/>
        <w:gridCol w:w="90"/>
      </w:tblGrid>
      <w:tr w:rsidR="001A7348" w:rsidRPr="001A7348" w:rsidTr="00C80D65">
        <w:tc>
          <w:tcPr>
            <w:tcW w:w="2663" w:type="pct"/>
            <w:gridSpan w:val="2"/>
          </w:tcPr>
          <w:p w:rsidR="001A7348" w:rsidRDefault="001A7348" w:rsidP="009F671A">
            <w:pPr>
              <w:widowControl w:val="0"/>
              <w:ind w:left="284"/>
              <w:rPr>
                <w:b/>
                <w:sz w:val="26"/>
                <w:szCs w:val="26"/>
              </w:rPr>
            </w:pPr>
            <w:r w:rsidRPr="001A7348">
              <w:rPr>
                <w:b/>
                <w:sz w:val="26"/>
                <w:szCs w:val="26"/>
              </w:rPr>
              <w:t>Лицензиат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caps/>
                <w:sz w:val="26"/>
                <w:szCs w:val="26"/>
              </w:rPr>
            </w:pPr>
          </w:p>
        </w:tc>
        <w:tc>
          <w:tcPr>
            <w:tcW w:w="2337" w:type="pct"/>
            <w:gridSpan w:val="3"/>
          </w:tcPr>
          <w:p w:rsidR="001A7348" w:rsidRPr="001A7348" w:rsidRDefault="001A7348" w:rsidP="00C80D65">
            <w:pPr>
              <w:widowControl w:val="0"/>
              <w:rPr>
                <w:b/>
                <w:caps/>
                <w:sz w:val="26"/>
                <w:szCs w:val="26"/>
              </w:rPr>
            </w:pPr>
            <w:r w:rsidRPr="001A7348">
              <w:rPr>
                <w:b/>
                <w:sz w:val="26"/>
                <w:szCs w:val="26"/>
              </w:rPr>
              <w:t>Сублицензиат</w:t>
            </w:r>
          </w:p>
        </w:tc>
      </w:tr>
      <w:tr w:rsidR="001A7348" w:rsidRPr="001A7348" w:rsidTr="00C80D65">
        <w:trPr>
          <w:gridAfter w:val="1"/>
          <w:wAfter w:w="44" w:type="pct"/>
        </w:trPr>
        <w:tc>
          <w:tcPr>
            <w:tcW w:w="2663" w:type="pct"/>
            <w:gridSpan w:val="2"/>
          </w:tcPr>
          <w:p w:rsid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 w:eastAsia="en-US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>«</w:t>
            </w:r>
            <w:r w:rsidRPr="001A7348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  »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</w:p>
        </w:tc>
        <w:tc>
          <w:tcPr>
            <w:tcW w:w="2293" w:type="pct"/>
            <w:gridSpan w:val="2"/>
          </w:tcPr>
          <w:p w:rsidR="001A7348" w:rsidRPr="001A7348" w:rsidRDefault="001A7348" w:rsidP="00C80D65">
            <w:pPr>
              <w:widowControl w:val="0"/>
              <w:ind w:left="-7"/>
              <w:rPr>
                <w:b/>
                <w:sz w:val="26"/>
                <w:szCs w:val="26"/>
              </w:rPr>
            </w:pPr>
            <w:r w:rsidRPr="001A7348">
              <w:rPr>
                <w:b/>
                <w:sz w:val="26"/>
                <w:szCs w:val="26"/>
              </w:rPr>
              <w:t>Федеральное государственное бюджетное учреждение «</w:t>
            </w:r>
            <w:r w:rsidRPr="001A7348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1A7348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1A7348">
              <w:rPr>
                <w:b/>
                <w:sz w:val="26"/>
                <w:szCs w:val="26"/>
              </w:rPr>
              <w:t xml:space="preserve">» </w:t>
            </w:r>
          </w:p>
          <w:p w:rsidR="001A7348" w:rsidRPr="001A7348" w:rsidRDefault="001A7348" w:rsidP="00C80D65">
            <w:pPr>
              <w:widowControl w:val="0"/>
              <w:ind w:left="-7"/>
              <w:rPr>
                <w:b/>
                <w:sz w:val="26"/>
                <w:szCs w:val="26"/>
              </w:rPr>
            </w:pPr>
            <w:r w:rsidRPr="001A7348">
              <w:rPr>
                <w:b/>
                <w:sz w:val="26"/>
                <w:szCs w:val="26"/>
              </w:rPr>
              <w:t>(ФГБУ «</w:t>
            </w:r>
            <w:r w:rsidRPr="001A7348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1A7348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1A7348">
              <w:rPr>
                <w:b/>
                <w:sz w:val="26"/>
                <w:szCs w:val="26"/>
              </w:rPr>
              <w:t>»)</w:t>
            </w:r>
          </w:p>
          <w:p w:rsidR="001A7348" w:rsidRPr="001A7348" w:rsidRDefault="001A7348" w:rsidP="00C80D65">
            <w:pPr>
              <w:widowControl w:val="0"/>
              <w:ind w:left="-7"/>
              <w:rPr>
                <w:sz w:val="26"/>
                <w:szCs w:val="26"/>
              </w:rPr>
            </w:pPr>
          </w:p>
        </w:tc>
      </w:tr>
      <w:tr w:rsidR="001A7348" w:rsidRPr="001A7348" w:rsidTr="00C80D65">
        <w:trPr>
          <w:gridAfter w:val="2"/>
          <w:wAfter w:w="69" w:type="pct"/>
        </w:trPr>
        <w:tc>
          <w:tcPr>
            <w:tcW w:w="2639" w:type="pct"/>
            <w:hideMark/>
          </w:tcPr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Адреса: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 w:eastAsia="en-US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Юридический адрес: ______________________ 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ОГРН ______________________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ИНН ______________________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КПП ______________________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>Банковские реквизиты: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______________________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р/с ______________________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к/с ______________________  </w:t>
            </w:r>
          </w:p>
          <w:p w:rsidR="001A7348" w:rsidRP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1A7348">
              <w:rPr>
                <w:rFonts w:eastAsia="Calibri"/>
                <w:sz w:val="26"/>
                <w:szCs w:val="26"/>
                <w:lang w:val="x-none"/>
              </w:rPr>
              <w:t xml:space="preserve">БИК ______________________  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Дата постановки на учет </w:t>
            </w:r>
            <w:r w:rsidRPr="001A7348">
              <w:rPr>
                <w:sz w:val="26"/>
                <w:szCs w:val="26"/>
              </w:rPr>
              <w:br/>
              <w:t xml:space="preserve">в налоговом органе: _________________  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ОКПО _________________  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ОКВЭД _________________  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ОКОПФ/ОКФС </w:t>
            </w:r>
            <w:r w:rsidRPr="001A7348">
              <w:rPr>
                <w:bCs/>
                <w:sz w:val="26"/>
                <w:szCs w:val="26"/>
              </w:rPr>
              <w:t>__/__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ОКСМ _________________  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ОКТМО _________________  </w:t>
            </w:r>
          </w:p>
          <w:p w:rsidR="001A7348" w:rsidRP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Телефон: ______________________  </w:t>
            </w:r>
          </w:p>
          <w:p w:rsidR="001A7348" w:rsidRPr="001A7348" w:rsidRDefault="001A7348" w:rsidP="00C80D65">
            <w:pPr>
              <w:widowControl w:val="0"/>
              <w:ind w:left="284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  <w:lang w:val="en-US"/>
              </w:rPr>
              <w:t>Email</w:t>
            </w:r>
            <w:r w:rsidRPr="001A7348">
              <w:rPr>
                <w:sz w:val="26"/>
                <w:szCs w:val="26"/>
              </w:rPr>
              <w:t xml:space="preserve">: ______________________  </w:t>
            </w:r>
          </w:p>
        </w:tc>
        <w:tc>
          <w:tcPr>
            <w:tcW w:w="2292" w:type="pct"/>
            <w:gridSpan w:val="2"/>
          </w:tcPr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Адреса: Юридический и почтовый адрес: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105120, г. Москва, ул. Нижняя </w:t>
            </w:r>
            <w:proofErr w:type="spellStart"/>
            <w:r>
              <w:rPr>
                <w:sz w:val="26"/>
                <w:szCs w:val="26"/>
              </w:rPr>
              <w:t>Сыромятническая</w:t>
            </w:r>
            <w:proofErr w:type="spellEnd"/>
            <w:r>
              <w:rPr>
                <w:sz w:val="26"/>
                <w:szCs w:val="26"/>
              </w:rPr>
              <w:t>, д. 1/4, стр. 1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1027739313788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7703052492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 770901001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л/с 20736У14910 в УФК по г. Москве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казначейского счета 03214643000000017300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ОКЦ № 1 ГУ БАНКА РОССИИ ПО ЦФО//УФК ПО Г. МОСКВЕ г. Москва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 004525988 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ТОФК 7300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ЕКС 40102810545370000003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 00896597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45375000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ОКВЭД 73.20</w:t>
            </w:r>
          </w:p>
          <w:p w:rsidR="00C80D65" w:rsidRDefault="00C80D65" w:rsidP="00C80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 (495) 2326800</w:t>
            </w:r>
          </w:p>
          <w:p w:rsidR="001A7348" w:rsidRPr="001A7348" w:rsidRDefault="00C80D65" w:rsidP="00C80D65">
            <w:pPr>
              <w:widowControl w:val="0"/>
              <w:ind w:left="-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Email</w:t>
            </w:r>
            <w:proofErr w:type="spellEnd"/>
            <w:r>
              <w:rPr>
                <w:sz w:val="26"/>
                <w:szCs w:val="26"/>
              </w:rPr>
              <w:t>: tender@specagro.ru</w:t>
            </w:r>
          </w:p>
        </w:tc>
      </w:tr>
    </w:tbl>
    <w:p w:rsidR="001A7348" w:rsidRPr="001A7348" w:rsidRDefault="001A7348" w:rsidP="009F671A">
      <w:pPr>
        <w:widowControl w:val="0"/>
        <w:ind w:left="284"/>
        <w:rPr>
          <w:sz w:val="26"/>
          <w:szCs w:val="26"/>
        </w:rPr>
      </w:pPr>
    </w:p>
    <w:p w:rsidR="001A7348" w:rsidRPr="001A7348" w:rsidRDefault="001A7348" w:rsidP="009F671A">
      <w:pPr>
        <w:widowControl w:val="0"/>
        <w:ind w:left="284"/>
        <w:rPr>
          <w:sz w:val="26"/>
          <w:szCs w:val="26"/>
        </w:rPr>
      </w:pPr>
    </w:p>
    <w:tbl>
      <w:tblPr>
        <w:tblpPr w:leftFromText="180" w:rightFromText="180" w:bottomFromText="160" w:vertAnchor="text" w:horzAnchor="margin" w:tblpY="191"/>
        <w:tblW w:w="9885" w:type="dxa"/>
        <w:tblLayout w:type="fixed"/>
        <w:tblLook w:val="04A0" w:firstRow="1" w:lastRow="0" w:firstColumn="1" w:lastColumn="0" w:noHBand="0" w:noVBand="1"/>
      </w:tblPr>
      <w:tblGrid>
        <w:gridCol w:w="5101"/>
        <w:gridCol w:w="4784"/>
      </w:tblGrid>
      <w:tr w:rsidR="001A7348" w:rsidTr="001A7348">
        <w:tc>
          <w:tcPr>
            <w:tcW w:w="5103" w:type="dxa"/>
          </w:tcPr>
          <w:p w:rsidR="001A7348" w:rsidRDefault="001A7348" w:rsidP="009F671A">
            <w:pPr>
              <w:widowControl w:val="0"/>
              <w:ind w:left="284"/>
              <w:rPr>
                <w:b/>
                <w:sz w:val="26"/>
                <w:szCs w:val="26"/>
              </w:rPr>
            </w:pPr>
            <w:r w:rsidRPr="001A7348">
              <w:rPr>
                <w:b/>
                <w:sz w:val="26"/>
                <w:szCs w:val="26"/>
              </w:rPr>
              <w:t>Лицензиат</w:t>
            </w:r>
          </w:p>
          <w:p w:rsid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  ______________________  «______________________  »</w:t>
            </w: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  </w:t>
            </w:r>
            <w:r>
              <w:rPr>
                <w:b/>
                <w:sz w:val="26"/>
                <w:szCs w:val="26"/>
              </w:rPr>
              <w:t>_______</w:t>
            </w: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м.п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:rsidR="001A7348" w:rsidRDefault="001A7348" w:rsidP="009F671A">
            <w:pPr>
              <w:widowControl w:val="0"/>
              <w:tabs>
                <w:tab w:val="left" w:pos="579"/>
              </w:tabs>
              <w:ind w:left="284"/>
              <w:rPr>
                <w:sz w:val="26"/>
                <w:szCs w:val="26"/>
              </w:rPr>
            </w:pPr>
            <w:r w:rsidRPr="001A7348">
              <w:rPr>
                <w:b/>
                <w:sz w:val="26"/>
                <w:szCs w:val="26"/>
              </w:rPr>
              <w:t>Сублицензиат</w:t>
            </w:r>
            <w:r>
              <w:rPr>
                <w:sz w:val="26"/>
                <w:szCs w:val="26"/>
              </w:rPr>
              <w:t xml:space="preserve"> </w:t>
            </w:r>
          </w:p>
          <w:p w:rsidR="001A7348" w:rsidRDefault="001A7348" w:rsidP="009F671A">
            <w:pPr>
              <w:widowControl w:val="0"/>
              <w:autoSpaceDE w:val="0"/>
              <w:autoSpaceDN w:val="0"/>
              <w:adjustRightInd w:val="0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  ______________________  «______________________  »</w:t>
            </w: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  </w:t>
            </w:r>
            <w:r>
              <w:rPr>
                <w:b/>
                <w:sz w:val="26"/>
                <w:szCs w:val="26"/>
              </w:rPr>
              <w:t>_______</w:t>
            </w:r>
          </w:p>
          <w:p w:rsidR="001A7348" w:rsidRDefault="001A7348" w:rsidP="009F671A">
            <w:pPr>
              <w:widowControl w:val="0"/>
              <w:ind w:left="28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м.п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225071" w:rsidRPr="001A7348" w:rsidRDefault="00225071" w:rsidP="009F671A">
      <w:pPr>
        <w:widowControl w:val="0"/>
        <w:ind w:left="284"/>
        <w:rPr>
          <w:sz w:val="26"/>
          <w:szCs w:val="26"/>
        </w:rPr>
        <w:sectPr w:rsidR="00225071" w:rsidRPr="001A7348" w:rsidSect="009F671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BB5299" w:rsidRPr="00BB5299" w:rsidRDefault="00BB5299" w:rsidP="00BB5299">
      <w:pPr>
        <w:widowControl w:val="0"/>
        <w:numPr>
          <w:ilvl w:val="0"/>
          <w:numId w:val="1"/>
        </w:numPr>
        <w:ind w:left="284" w:hanging="432"/>
        <w:jc w:val="right"/>
        <w:rPr>
          <w:sz w:val="26"/>
          <w:szCs w:val="26"/>
        </w:rPr>
      </w:pPr>
      <w:r>
        <w:rPr>
          <w:rStyle w:val="Heading"/>
          <w:b w:val="0"/>
          <w:bCs/>
          <w:sz w:val="26"/>
          <w:szCs w:val="26"/>
        </w:rPr>
        <w:lastRenderedPageBreak/>
        <w:t>П</w:t>
      </w:r>
      <w:r w:rsidRPr="00BB5299">
        <w:rPr>
          <w:rStyle w:val="Heading"/>
          <w:b w:val="0"/>
          <w:bCs/>
          <w:sz w:val="26"/>
          <w:szCs w:val="26"/>
        </w:rPr>
        <w:t>риложение</w:t>
      </w:r>
      <w:r w:rsidRPr="00BB5299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1</w:t>
      </w:r>
    </w:p>
    <w:p w:rsidR="00BB5299" w:rsidRPr="001A7348" w:rsidRDefault="00BB5299" w:rsidP="00BB5299">
      <w:pPr>
        <w:widowControl w:val="0"/>
        <w:numPr>
          <w:ilvl w:val="0"/>
          <w:numId w:val="1"/>
        </w:numPr>
        <w:tabs>
          <w:tab w:val="left" w:pos="993"/>
        </w:tabs>
        <w:ind w:left="284" w:hanging="432"/>
        <w:jc w:val="right"/>
        <w:outlineLvl w:val="0"/>
        <w:rPr>
          <w:sz w:val="26"/>
          <w:szCs w:val="26"/>
        </w:rPr>
      </w:pPr>
      <w:r w:rsidRPr="001A7348">
        <w:rPr>
          <w:sz w:val="26"/>
          <w:szCs w:val="26"/>
        </w:rPr>
        <w:t xml:space="preserve">к </w:t>
      </w:r>
      <w:r w:rsidRPr="001A7348">
        <w:rPr>
          <w:rStyle w:val="Normaltext"/>
          <w:sz w:val="26"/>
          <w:szCs w:val="26"/>
        </w:rPr>
        <w:t>Договор</w:t>
      </w:r>
      <w:r w:rsidRPr="001A7348">
        <w:rPr>
          <w:sz w:val="26"/>
          <w:szCs w:val="26"/>
        </w:rPr>
        <w:t xml:space="preserve">у № </w:t>
      </w:r>
      <w:r>
        <w:rPr>
          <w:sz w:val="26"/>
          <w:szCs w:val="26"/>
        </w:rPr>
        <w:t>_________</w:t>
      </w:r>
      <w:r w:rsidRPr="001A7348">
        <w:rPr>
          <w:sz w:val="26"/>
          <w:szCs w:val="26"/>
        </w:rPr>
        <w:t xml:space="preserve"> от _</w:t>
      </w:r>
      <w:proofErr w:type="gramStart"/>
      <w:r w:rsidRPr="001A7348">
        <w:rPr>
          <w:sz w:val="26"/>
          <w:szCs w:val="26"/>
        </w:rPr>
        <w:t>_.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</w:t>
      </w:r>
      <w:r w:rsidRPr="001A7348">
        <w:rPr>
          <w:sz w:val="26"/>
          <w:szCs w:val="26"/>
        </w:rPr>
        <w:t>.202</w:t>
      </w:r>
      <w:r w:rsidR="00C80D65">
        <w:rPr>
          <w:sz w:val="26"/>
          <w:szCs w:val="26"/>
        </w:rPr>
        <w:t>6</w:t>
      </w:r>
      <w:r w:rsidRPr="001A7348">
        <w:rPr>
          <w:sz w:val="26"/>
          <w:szCs w:val="26"/>
        </w:rPr>
        <w:t xml:space="preserve"> г</w:t>
      </w:r>
      <w:r w:rsidRPr="001A7348">
        <w:rPr>
          <w:b/>
          <w:sz w:val="26"/>
          <w:szCs w:val="26"/>
        </w:rPr>
        <w:t>.</w:t>
      </w:r>
    </w:p>
    <w:p w:rsidR="00BB5299" w:rsidRDefault="00BB5299" w:rsidP="00BB5299">
      <w:pPr>
        <w:widowControl w:val="0"/>
        <w:jc w:val="right"/>
        <w:rPr>
          <w:b/>
          <w:bCs/>
          <w:sz w:val="26"/>
          <w:szCs w:val="26"/>
        </w:rPr>
      </w:pPr>
    </w:p>
    <w:p w:rsidR="00BB5299" w:rsidRDefault="00BB5299" w:rsidP="00BB5299">
      <w:pPr>
        <w:widowControl w:val="0"/>
        <w:jc w:val="right"/>
        <w:rPr>
          <w:b/>
          <w:bCs/>
          <w:sz w:val="26"/>
          <w:szCs w:val="26"/>
        </w:rPr>
      </w:pPr>
    </w:p>
    <w:p w:rsidR="00BB5299" w:rsidRDefault="00BB5299" w:rsidP="00BB5299">
      <w:pPr>
        <w:rPr>
          <w:kern w:val="3"/>
          <w:sz w:val="26"/>
          <w:szCs w:val="26"/>
        </w:rPr>
      </w:pPr>
    </w:p>
    <w:p w:rsidR="00C80D65" w:rsidRPr="00C80D65" w:rsidRDefault="00C80D65" w:rsidP="00C80D65">
      <w:pPr>
        <w:pStyle w:val="docdata"/>
        <w:spacing w:before="0" w:beforeAutospacing="0" w:after="0" w:afterAutospacing="0"/>
        <w:jc w:val="center"/>
        <w:rPr>
          <w:sz w:val="26"/>
          <w:szCs w:val="26"/>
        </w:rPr>
      </w:pPr>
      <w:r w:rsidRPr="00C80D65">
        <w:rPr>
          <w:b/>
          <w:bCs/>
          <w:color w:val="000000"/>
          <w:sz w:val="26"/>
          <w:szCs w:val="26"/>
        </w:rPr>
        <w:t>Техническое задание</w:t>
      </w:r>
    </w:p>
    <w:p w:rsidR="00C80D65" w:rsidRDefault="00C80D65" w:rsidP="00C80D65">
      <w:pPr>
        <w:pStyle w:val="ad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</w:t>
      </w:r>
      <w:r w:rsidRPr="001A7348">
        <w:rPr>
          <w:b/>
          <w:sz w:val="26"/>
          <w:szCs w:val="26"/>
        </w:rPr>
        <w:t>передачу неисключительных прав использования базы данных «Госфинансы»</w:t>
      </w:r>
    </w:p>
    <w:p w:rsidR="00C80D65" w:rsidRPr="00812EC4" w:rsidRDefault="00C80D65" w:rsidP="00C80D65">
      <w:pPr>
        <w:pStyle w:val="ad"/>
        <w:spacing w:before="0" w:beforeAutospacing="0" w:after="0" w:afterAutospacing="0"/>
        <w:jc w:val="center"/>
        <w:rPr>
          <w:sz w:val="26"/>
          <w:szCs w:val="26"/>
        </w:rPr>
      </w:pPr>
      <w:r w:rsidRPr="00812EC4">
        <w:rPr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7"/>
        <w:gridCol w:w="2607"/>
        <w:gridCol w:w="2660"/>
        <w:gridCol w:w="2604"/>
      </w:tblGrid>
      <w:tr w:rsidR="00812EC4" w:rsidRPr="00812EC4" w:rsidTr="00812EC4">
        <w:trPr>
          <w:tblCellSpacing w:w="0" w:type="dxa"/>
        </w:trPr>
        <w:tc>
          <w:tcPr>
            <w:tcW w:w="10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color w:val="000000"/>
                <w:sz w:val="26"/>
                <w:szCs w:val="26"/>
              </w:rPr>
              <w:t>КТРУ 58.29.11.000-00000003</w:t>
            </w:r>
          </w:p>
        </w:tc>
      </w:tr>
      <w:tr w:rsidR="00812EC4" w:rsidRPr="00812EC4" w:rsidTr="00812EC4">
        <w:trPr>
          <w:tblCellSpacing w:w="0" w:type="dxa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b/>
                <w:bCs/>
                <w:color w:val="000000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b/>
                <w:bCs/>
                <w:color w:val="000000"/>
                <w:sz w:val="26"/>
                <w:szCs w:val="26"/>
              </w:rPr>
              <w:t>Вид характеристики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b/>
                <w:bCs/>
                <w:color w:val="000000"/>
                <w:sz w:val="26"/>
                <w:szCs w:val="26"/>
              </w:rPr>
              <w:t>Значение характеристики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b/>
                <w:bCs/>
                <w:color w:val="000000"/>
                <w:sz w:val="26"/>
                <w:szCs w:val="26"/>
              </w:rPr>
              <w:t>Единица измерения характеристика</w:t>
            </w:r>
          </w:p>
        </w:tc>
      </w:tr>
      <w:tr w:rsidR="00812EC4" w:rsidRPr="00812EC4" w:rsidTr="00812EC4">
        <w:trPr>
          <w:tblCellSpacing w:w="0" w:type="dxa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color w:val="000000"/>
                <w:sz w:val="26"/>
                <w:szCs w:val="26"/>
              </w:rPr>
              <w:t>Вид лицензии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color w:val="000000"/>
                <w:sz w:val="26"/>
                <w:szCs w:val="26"/>
              </w:rPr>
              <w:t>Изменяемая заказчиком (выбор одного)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color w:val="000000"/>
                <w:sz w:val="26"/>
                <w:szCs w:val="26"/>
              </w:rPr>
              <w:t>Простая (неисключительная)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sz w:val="26"/>
                <w:szCs w:val="26"/>
              </w:rPr>
              <w:t> </w:t>
            </w:r>
          </w:p>
        </w:tc>
      </w:tr>
      <w:tr w:rsidR="00812EC4" w:rsidRPr="00812EC4" w:rsidTr="00812EC4">
        <w:trPr>
          <w:tblCellSpacing w:w="0" w:type="dxa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color w:val="000000"/>
                <w:sz w:val="26"/>
                <w:szCs w:val="26"/>
              </w:rPr>
              <w:t>Способ предоставления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color w:val="000000"/>
                <w:sz w:val="26"/>
                <w:szCs w:val="26"/>
              </w:rPr>
              <w:t>Изменяемая заказчиком (множественный выбор)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color w:val="000000"/>
                <w:sz w:val="26"/>
                <w:szCs w:val="26"/>
              </w:rPr>
              <w:t>(05.14) Справочно-правовые системы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EC4" w:rsidRPr="00812EC4" w:rsidRDefault="00812EC4" w:rsidP="00812EC4">
            <w:pPr>
              <w:jc w:val="center"/>
              <w:rPr>
                <w:sz w:val="26"/>
                <w:szCs w:val="26"/>
              </w:rPr>
            </w:pPr>
            <w:r w:rsidRPr="00812EC4">
              <w:rPr>
                <w:sz w:val="26"/>
                <w:szCs w:val="26"/>
              </w:rPr>
              <w:t> </w:t>
            </w:r>
          </w:p>
        </w:tc>
      </w:tr>
    </w:tbl>
    <w:p w:rsidR="00812EC4" w:rsidRPr="00812EC4" w:rsidRDefault="00812EC4" w:rsidP="00812EC4">
      <w:pPr>
        <w:jc w:val="center"/>
      </w:pPr>
      <w:r w:rsidRPr="00812EC4">
        <w:t> </w:t>
      </w:r>
    </w:p>
    <w:p w:rsidR="00812EC4" w:rsidRPr="00812EC4" w:rsidRDefault="00812EC4" w:rsidP="00812EC4">
      <w:pPr>
        <w:jc w:val="center"/>
      </w:pPr>
      <w:r w:rsidRPr="00812EC4">
        <w:rPr>
          <w:color w:val="000000"/>
          <w:sz w:val="22"/>
          <w:szCs w:val="22"/>
        </w:rPr>
        <w:t xml:space="preserve">Дополнительные характеристики </w:t>
      </w:r>
      <w:r w:rsidRPr="00812EC4">
        <w:rPr>
          <w:color w:val="000000"/>
          <w:sz w:val="26"/>
          <w:szCs w:val="26"/>
        </w:rPr>
        <w:t>*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686"/>
        <w:gridCol w:w="7782"/>
      </w:tblGrid>
      <w:tr w:rsidR="00C80D65" w:rsidRPr="00C80D65" w:rsidTr="00C80D65">
        <w:trPr>
          <w:trHeight w:val="840"/>
          <w:tblCellSpacing w:w="0" w:type="dxa"/>
          <w:jc w:val="center"/>
        </w:trPr>
        <w:tc>
          <w:tcPr>
            <w:tcW w:w="26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1. Наименование предмета закупки</w:t>
            </w:r>
          </w:p>
        </w:tc>
        <w:tc>
          <w:tcPr>
            <w:tcW w:w="77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</w:t>
            </w:r>
            <w:r w:rsidRPr="00C80D65">
              <w:rPr>
                <w:color w:val="000000"/>
                <w:sz w:val="26"/>
                <w:szCs w:val="26"/>
                <w:shd w:val="clear" w:color="auto" w:fill="FFFFFF"/>
              </w:rPr>
              <w:t> 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right="18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Планируемое количество пользователей (количество неисключительных лицензий)</w:t>
            </w:r>
          </w:p>
          <w:p w:rsidR="00C80D65" w:rsidRPr="00C80D65" w:rsidRDefault="00C80D65" w:rsidP="00C80D65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ind w:left="1440" w:right="180"/>
              <w:jc w:val="both"/>
              <w:rPr>
                <w:color w:val="000000" w:themeColor="text1"/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 xml:space="preserve">количество </w:t>
            </w:r>
            <w:r w:rsidRPr="00C80D65">
              <w:rPr>
                <w:color w:val="000000" w:themeColor="text1"/>
                <w:sz w:val="26"/>
                <w:szCs w:val="26"/>
              </w:rPr>
              <w:t>неисключительных лицензий 1 </w:t>
            </w:r>
          </w:p>
          <w:p w:rsidR="00C80D65" w:rsidRPr="00C80D65" w:rsidRDefault="00C80D65" w:rsidP="00C80D65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ind w:left="1440" w:right="180"/>
              <w:jc w:val="both"/>
              <w:rPr>
                <w:color w:val="000000" w:themeColor="text1"/>
                <w:sz w:val="26"/>
                <w:szCs w:val="26"/>
              </w:rPr>
            </w:pPr>
            <w:r w:rsidRPr="00C80D65">
              <w:rPr>
                <w:color w:val="000000" w:themeColor="text1"/>
                <w:sz w:val="26"/>
                <w:szCs w:val="26"/>
              </w:rPr>
              <w:t>количество пользователей 5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right="18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right="18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Срок предоставления права использования электронной базы данных: 7 (семь) рабочих дней с момента заключения контракта.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Срок действия права использования элек</w:t>
            </w:r>
            <w:r w:rsidRPr="00C80D65">
              <w:rPr>
                <w:color w:val="000000" w:themeColor="text1"/>
                <w:sz w:val="26"/>
                <w:szCs w:val="26"/>
              </w:rPr>
              <w:t>тронной базы данных 12 (двенадцать) месяцев</w:t>
            </w:r>
          </w:p>
        </w:tc>
      </w:tr>
      <w:tr w:rsidR="00C80D65" w:rsidRPr="00C80D65" w:rsidTr="00C80D65">
        <w:trPr>
          <w:tblCellSpacing w:w="0" w:type="dxa"/>
          <w:jc w:val="center"/>
        </w:trPr>
        <w:tc>
          <w:tcPr>
            <w:tcW w:w="26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2. Назначение объекта закупки</w:t>
            </w:r>
          </w:p>
        </w:tc>
        <w:tc>
          <w:tcPr>
            <w:tcW w:w="77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База данных ориентирована на государственные и муниципальные учреждения казенные, бюджетные, автономные, а также на органы власти.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283" w:hanging="285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Закупка необходима в качестве источника информации (подборка материала по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283" w:hanging="285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ситуации регулятора, контрольного органа и судебной практики, в т.ч.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283" w:hanging="285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нормативно-правовой информацией) для принятия квалифицированных решений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283" w:hanging="285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lastRenderedPageBreak/>
              <w:t>по тематике учета, отчетности, бюджетного контроля, применения бюджетной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283" w:hanging="285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классификации и другим финансовым вопросам деятельности главного бухгалтера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283" w:hanging="285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и финансового специалиста государственного и муниципального учреждения.</w:t>
            </w:r>
          </w:p>
        </w:tc>
      </w:tr>
      <w:tr w:rsidR="00C80D65" w:rsidRPr="00C80D65" w:rsidTr="00C80D65">
        <w:trPr>
          <w:tblCellSpacing w:w="0" w:type="dxa"/>
          <w:jc w:val="center"/>
        </w:trPr>
        <w:tc>
          <w:tcPr>
            <w:tcW w:w="26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lastRenderedPageBreak/>
              <w:t>3. Состав объекта закупки</w:t>
            </w:r>
          </w:p>
        </w:tc>
        <w:tc>
          <w:tcPr>
            <w:tcW w:w="77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База данных должна содержать следующую информацию: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19"/>
              </w:numPr>
              <w:spacing w:before="0" w:beforeAutospacing="0" w:after="0" w:afterAutospacing="0"/>
              <w:ind w:left="144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т.д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103 млн. штук. 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19"/>
              </w:numPr>
              <w:spacing w:before="0" w:beforeAutospacing="0" w:after="0" w:afterAutospacing="0"/>
              <w:ind w:left="144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власти.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19"/>
              </w:numPr>
              <w:spacing w:before="0" w:beforeAutospacing="0" w:after="0" w:afterAutospacing="0"/>
              <w:ind w:left="144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Шаблоны документов по бюджетному и бухгалтерскому учету от планирования до отчетности — в количестве не менее 7000 штук, по следующим тематикам: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Учет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Отчетность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Налоги и взносы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Оплата труда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Отраслевой учет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lastRenderedPageBreak/>
              <w:t>Планирование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Кадровые вопросы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Вопросы контроля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0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Вопросы госзакупок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2000 штук.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Электронные версии специализированных периодических изданий, в том числе по темам учета, отчетности, зарплаты. Общим объемом не менее 8 изданий.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Иные профессиональные электронные издания, в том числе электронные версии книг по различным темам, включая бюджетную бухгалтерию, и кадры — не менее 150 изданий.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4"/>
              </w:numPr>
              <w:spacing w:before="0" w:beforeAutospacing="0" w:after="0" w:afterAutospacing="0"/>
              <w:ind w:left="144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Сервисы и расчетчики по темам: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Бюджетная классификация: КБК, КВР и КОСГУ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Налоги: 6-НДФЛ, НДС, транспортный налог, нормируемые расходы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Расчеты с сотрудниками: отпуск, стаж, зарплата, увольнение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Расчет норм ГСМ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Штрафные санкции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Закупки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Займы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Мастера с генерацией решений исходя из выбора условий, по следующим тематикам: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7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Учет и учетная политика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7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Инвентаризация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7"/>
              </w:numPr>
              <w:spacing w:before="0" w:beforeAutospacing="0" w:after="0" w:afterAutospacing="0"/>
              <w:ind w:left="183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Расчеты с сотрудниками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8"/>
              </w:numPr>
              <w:spacing w:before="0" w:beforeAutospacing="0" w:after="0" w:afterAutospacing="0"/>
              <w:ind w:left="144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Сервис онлайн-помощников и «консультация экспертов».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Видеоматериалы в количестве не менее 24 штук.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База данных должна содержать материалы по следующим тематикам: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Учет:</w:t>
            </w:r>
            <w:r w:rsidRPr="00C80D65">
              <w:rPr>
                <w:color w:val="000000"/>
                <w:sz w:val="26"/>
                <w:szCs w:val="26"/>
              </w:rPr>
              <w:t xml:space="preserve"> разъяснения и образцы по учетной политике, первичные документы, федеральные стандарты, разъяснения, проводки с примерами по всем участкам учета, в том числе основные средства,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матзапасы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>, нематериальные активы, непроизведенные активы, аренда, касса, по доходам, расходам и разным видам имущества.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Отраслевой учет:</w:t>
            </w:r>
            <w:r w:rsidRPr="00C80D65">
              <w:rPr>
                <w:color w:val="000000"/>
                <w:sz w:val="26"/>
                <w:szCs w:val="26"/>
              </w:rPr>
              <w:t xml:space="preserve"> разъяснения по отраслям или специфике: образование, медицина, физкультура и спорт, культура, социальное обслуживание.</w:t>
            </w:r>
            <w:r w:rsidRPr="00C80D6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Бюджетная классификация:</w:t>
            </w:r>
            <w:r w:rsidRPr="00C80D65">
              <w:rPr>
                <w:color w:val="000000"/>
                <w:sz w:val="26"/>
                <w:szCs w:val="26"/>
              </w:rPr>
              <w:t xml:space="preserve"> разъяснения с примерами по КБК, КВР, КОСГУ.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Отчетность:</w:t>
            </w:r>
            <w:r w:rsidRPr="00C80D65">
              <w:rPr>
                <w:color w:val="000000"/>
                <w:sz w:val="26"/>
                <w:szCs w:val="26"/>
              </w:rPr>
              <w:t xml:space="preserve"> разъяснения с примерами и образцами по бюджетной отчетности, бухгалтерской отчетности, налоговой отчетности, статистической отчетности, отчетности в ФСС, отчетности в ПФР. 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lastRenderedPageBreak/>
              <w:t>Оплата труда и выплаты:</w:t>
            </w:r>
            <w:r w:rsidRPr="00C80D65">
              <w:rPr>
                <w:color w:val="000000"/>
                <w:sz w:val="26"/>
                <w:szCs w:val="26"/>
              </w:rPr>
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Кадровые вопросы:</w:t>
            </w:r>
            <w:r w:rsidRPr="00C80D65">
              <w:rPr>
                <w:color w:val="000000"/>
                <w:sz w:val="26"/>
                <w:szCs w:val="26"/>
              </w:rPr>
              <w:t xml:space="preserve"> разъяснения с образцами по приему, увольнению, переводу, совмещению, аттестации, госслужбе.  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Налоги:</w:t>
            </w:r>
            <w:r w:rsidRPr="00C80D65">
              <w:rPr>
                <w:color w:val="000000"/>
                <w:sz w:val="26"/>
                <w:szCs w:val="26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  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Взносы:</w:t>
            </w:r>
            <w:r w:rsidRPr="00C80D65">
              <w:rPr>
                <w:color w:val="000000"/>
                <w:sz w:val="26"/>
                <w:szCs w:val="26"/>
              </w:rPr>
              <w:t xml:space="preserve"> разъяснения с примерами и образцами по пенсионным взносам, социальным взносам, взносам на медицинское страхование, страхование от несчастных случаев и профзаболеваний.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Вопросы контроля</w:t>
            </w:r>
            <w:r w:rsidRPr="00C80D65">
              <w:rPr>
                <w:color w:val="000000"/>
                <w:sz w:val="26"/>
                <w:szCs w:val="26"/>
              </w:rPr>
              <w:t xml:space="preserve">: разъяснения с примерами и образцами по инвентаризации, аудиту, внутреннему контролю,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госфинконтролю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 xml:space="preserve"> и другим проверкам.  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Вопросы планирования</w:t>
            </w:r>
            <w:r w:rsidRPr="00C80D65">
              <w:rPr>
                <w:color w:val="000000"/>
                <w:sz w:val="26"/>
                <w:szCs w:val="26"/>
              </w:rPr>
              <w:t xml:space="preserve">: разъяснения и образцы по плану ФХД, бюджетной смете,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госзаданию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>. 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Вопросы госзакупок</w:t>
            </w:r>
            <w:r w:rsidRPr="00C80D65">
              <w:rPr>
                <w:color w:val="000000"/>
                <w:sz w:val="26"/>
                <w:szCs w:val="26"/>
              </w:rPr>
              <w:t>: разъяснения по законам № 44-ФЗ и № 223-ФЗ.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</w:tc>
      </w:tr>
      <w:tr w:rsidR="00C80D65" w:rsidRPr="00C80D65" w:rsidTr="00C80D65">
        <w:trPr>
          <w:tblCellSpacing w:w="0" w:type="dxa"/>
          <w:jc w:val="center"/>
        </w:trPr>
        <w:tc>
          <w:tcPr>
            <w:tcW w:w="26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lastRenderedPageBreak/>
              <w:t>4. Порядок предоставления услуги по предоставлению неисключительного права использования электронной Базы данных</w:t>
            </w:r>
          </w:p>
        </w:tc>
        <w:tc>
          <w:tcPr>
            <w:tcW w:w="77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Общие требования:</w:t>
            </w:r>
          </w:p>
          <w:p w:rsidR="00C80D65" w:rsidRPr="00C80D65" w:rsidRDefault="00C80D65" w:rsidP="00C80D65">
            <w:pPr>
              <w:pStyle w:val="ad"/>
              <w:tabs>
                <w:tab w:val="left" w:pos="108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:rsidR="00C80D65" w:rsidRPr="00C80D65" w:rsidRDefault="00C80D65" w:rsidP="00C80D65">
            <w:pPr>
              <w:pStyle w:val="ad"/>
              <w:tabs>
                <w:tab w:val="left" w:pos="108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C80D65" w:rsidRPr="00C80D65" w:rsidRDefault="00C80D65" w:rsidP="00C80D65">
            <w:pPr>
              <w:pStyle w:val="ad"/>
              <w:tabs>
                <w:tab w:val="left" w:pos="108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  должна быть обеспечена возможность обучение клиента работе в Системе;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C80D65" w:rsidRPr="00C80D65" w:rsidRDefault="00C80D65" w:rsidP="00C80D65">
            <w:pPr>
              <w:pStyle w:val="ad"/>
              <w:tabs>
                <w:tab w:val="left" w:pos="108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должна быть обеспечена возможность консультаций по работе с Системой по телефону, путем обращения по электронной почте, в техническую службу или онлайн-поддержку;</w:t>
            </w:r>
          </w:p>
          <w:p w:rsidR="00C80D65" w:rsidRPr="00C80D65" w:rsidRDefault="00C80D65" w:rsidP="00C80D65">
            <w:pPr>
              <w:pStyle w:val="ad"/>
              <w:tabs>
                <w:tab w:val="left" w:pos="108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должна быть обеспечена возможность обращения в техническую службу круглосуточно;</w:t>
            </w:r>
          </w:p>
          <w:p w:rsidR="00C80D65" w:rsidRPr="00C80D65" w:rsidRDefault="00C80D65" w:rsidP="00C80D65">
            <w:pPr>
              <w:pStyle w:val="ad"/>
              <w:tabs>
                <w:tab w:val="left" w:pos="108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:rsidR="00C80D65" w:rsidRPr="00C80D65" w:rsidRDefault="00C80D65" w:rsidP="00C80D65">
            <w:pPr>
              <w:pStyle w:val="ad"/>
              <w:tabs>
                <w:tab w:val="left" w:pos="108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- должна быть обеспечена возможность консультаций экспертов: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30"/>
              </w:numPr>
              <w:tabs>
                <w:tab w:val="clear" w:pos="720"/>
                <w:tab w:val="left" w:pos="1080"/>
              </w:tabs>
              <w:spacing w:before="0" w:beforeAutospacing="0" w:after="0" w:afterAutospacing="0"/>
              <w:ind w:left="144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При помощи сервиса онлайн-поддержки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30"/>
              </w:numPr>
              <w:tabs>
                <w:tab w:val="clear" w:pos="720"/>
                <w:tab w:val="left" w:pos="1080"/>
              </w:tabs>
              <w:spacing w:before="0" w:beforeAutospacing="0" w:after="0" w:afterAutospacing="0"/>
              <w:ind w:left="144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lastRenderedPageBreak/>
              <w:t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C80D65" w:rsidRPr="00C80D65" w:rsidRDefault="00C80D65" w:rsidP="00C80D65">
            <w:pPr>
              <w:pStyle w:val="ad"/>
              <w:tabs>
                <w:tab w:val="left" w:pos="1440"/>
              </w:tabs>
              <w:spacing w:before="0" w:beforeAutospacing="0" w:after="0" w:afterAutospacing="0"/>
              <w:ind w:left="36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Требования к системе: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  должно быть наличие сортировки списка документов каждого вида информации по степени популярности запросов по заданной тематике;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доступа к записям вебинаров и семинаров из основного меню;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возможности печати из самого документа;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навигационной панели по документу;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 xml:space="preserve"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бэклинка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>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возможности обращения к онлайн-помощнику и экспертам Системы;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lastRenderedPageBreak/>
              <w:t>– должно быть наличие возможности детализации поиска в найденном по ключевому слову;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должно быть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Дополнительные требования: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Видеоматериалы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Должна быть обеспечена возможность к записи онлайн-семинаров, лекций и вебинаров на актуальные темы по вопросам работы бюджетной бухгалтерии, а также записи уже проведенных мероприятий — не менее 24 видео в год, а также доступ к архиву прошедших вебинаров и видеоматериалов;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«Консультация эксперта»</w:t>
            </w:r>
            <w:r w:rsidRPr="00C80D65">
              <w:rPr>
                <w:color w:val="000000"/>
                <w:sz w:val="26"/>
                <w:szCs w:val="26"/>
              </w:rPr>
              <w:t> должна быть оказана в следующих форматах: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31"/>
              </w:numPr>
              <w:spacing w:before="0" w:beforeAutospacing="0" w:after="0" w:afterAutospacing="0"/>
              <w:ind w:left="446" w:firstLine="567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Онлайн-помощник</w:t>
            </w:r>
            <w:r w:rsidRPr="00C80D65">
              <w:rPr>
                <w:color w:val="000000"/>
                <w:sz w:val="26"/>
                <w:szCs w:val="26"/>
              </w:rPr>
              <w:t xml:space="preserve"> с возможностью подборки материалов.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446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Доступ к онлайн-помощнику должен быть предоставлен: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446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в рабочие дни – круглосуточно;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446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– в выходные и праздничные дни – с 09 часов 00 до 18 часов 00 минут.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446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Время ожидания ответа должно составлять не более 10 минут.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446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Количество вопросов – неограниченно в течение срока действия контракта /договора.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142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 </w:t>
            </w:r>
            <w:r w:rsidRPr="00C80D65">
              <w:rPr>
                <w:b/>
                <w:bCs/>
                <w:color w:val="000000"/>
                <w:sz w:val="26"/>
                <w:szCs w:val="26"/>
              </w:rPr>
              <w:t>Письменные ответы экспертов</w:t>
            </w:r>
            <w:r w:rsidRPr="00C80D65">
              <w:rPr>
                <w:color w:val="000000"/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142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Доступ к сервису должен быть предоставлен круглосуточно.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142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142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 xml:space="preserve">Ответы на вопросы, поступившие в нерабочие дни или после 18.00 по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мск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 xml:space="preserve"> в рабочие дни, регистрируются следующим рабочим днем.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142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мск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 xml:space="preserve"> первого рабочего дня.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 xml:space="preserve">При формировании ответа с подборкой материала с учетом </w:t>
            </w:r>
            <w:r w:rsidRPr="00C80D65">
              <w:rPr>
                <w:color w:val="000000"/>
                <w:sz w:val="26"/>
                <w:szCs w:val="26"/>
                <w:shd w:val="clear" w:color="auto" w:fill="FFFFFF"/>
              </w:rPr>
              <w:t>позиции Минфина и других ведомств, судебной, административной  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ind w:left="142" w:right="141" w:firstLine="567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Количество вопросов – неограниченно в течение срока действия контракта /договора.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lastRenderedPageBreak/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Базы данных</w:t>
            </w:r>
            <w:r w:rsidRPr="00C80D65">
              <w:rPr>
                <w:color w:val="000000"/>
                <w:sz w:val="26"/>
                <w:szCs w:val="26"/>
              </w:rPr>
              <w:t xml:space="preserve"> должны быть структурированы по следующим разделам: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</w:p>
          <w:p w:rsid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Рекомендации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 xml:space="preserve">- материалы должны содержать схемы, таблицы, иллюстрации, короткие </w:t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видеолекции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>, примеры расчетов и ситуации из практики;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Шаблоны</w:t>
            </w:r>
            <w:r w:rsidRPr="00C80D65">
              <w:rPr>
                <w:color w:val="000000"/>
                <w:sz w:val="26"/>
                <w:szCs w:val="26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Число документов в разделах может меняться с учетом их актуализации.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Электронную версию журнала</w:t>
            </w:r>
            <w:r w:rsidRPr="00C80D65">
              <w:rPr>
                <w:color w:val="000000"/>
                <w:sz w:val="26"/>
                <w:szCs w:val="26"/>
              </w:rPr>
              <w:t xml:space="preserve"> выпуски, выходящие во время действия контракта, доступ к архиву журнала за период не менее 3-х лет.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 xml:space="preserve">Электронные версии специализированных периодических изданий по учету, зарплате и закупкам – </w:t>
            </w:r>
            <w:r w:rsidRPr="00C80D65">
              <w:rPr>
                <w:color w:val="000000"/>
                <w:sz w:val="26"/>
                <w:szCs w:val="26"/>
              </w:rPr>
              <w:t>должна быть обеспечена возможность доступа к архиву номеров за период не менее трех лет.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Расчетные сервисы</w:t>
            </w:r>
            <w:r w:rsidRPr="00C80D65">
              <w:rPr>
                <w:color w:val="000000"/>
                <w:sz w:val="26"/>
                <w:szCs w:val="26"/>
              </w:rPr>
              <w:br/>
            </w:r>
            <w:proofErr w:type="spellStart"/>
            <w:r w:rsidRPr="00C80D65">
              <w:rPr>
                <w:color w:val="000000"/>
                <w:sz w:val="26"/>
                <w:szCs w:val="26"/>
              </w:rPr>
              <w:t>Сервисы</w:t>
            </w:r>
            <w:proofErr w:type="spellEnd"/>
            <w:r w:rsidRPr="00C80D65">
              <w:rPr>
                <w:color w:val="000000"/>
                <w:sz w:val="26"/>
                <w:szCs w:val="26"/>
              </w:rPr>
              <w:t>: Учетная политика, Налоги, КВР и КОСГУ, КБК, Курс валют, ОКОФ, Закупки.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Расчетчики: Налоги, Расчеты с сотрудниками, Штрафные санкции, Займы, Закупки.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Мастера: Учет, Инвентаризация, Расчеты с сотрудниками</w:t>
            </w:r>
            <w:r w:rsidRPr="00C80D65">
              <w:rPr>
                <w:color w:val="000000"/>
                <w:sz w:val="26"/>
                <w:szCs w:val="26"/>
              </w:rPr>
              <w:br/>
              <w:t> </w:t>
            </w:r>
          </w:p>
          <w:p w:rsid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Справочник</w:t>
            </w:r>
            <w:r w:rsidRPr="00C80D65">
              <w:rPr>
                <w:color w:val="000000"/>
                <w:sz w:val="26"/>
                <w:szCs w:val="26"/>
              </w:rPr>
              <w:t xml:space="preserve"> ОКПД2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Поиск кода ОКПД2, по ключевым словам, или кодам.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Число документов в разделах может меняться с учетом их актуализации.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sz w:val="26"/>
                <w:szCs w:val="26"/>
              </w:rPr>
              <w:t> </w:t>
            </w:r>
          </w:p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t>Безопасность</w:t>
            </w:r>
            <w:r w:rsidRPr="00C80D65">
              <w:rPr>
                <w:color w:val="000000"/>
                <w:sz w:val="26"/>
                <w:szCs w:val="26"/>
              </w:rPr>
              <w:t xml:space="preserve">: Обработка и хранение персональных данных и конфиденциальной информации должны производиться в </w:t>
            </w:r>
            <w:r w:rsidRPr="00C80D65">
              <w:rPr>
                <w:color w:val="000000"/>
                <w:sz w:val="26"/>
                <w:szCs w:val="26"/>
              </w:rPr>
              <w:lastRenderedPageBreak/>
              <w:t>соответствии с действующим законодательством РФ</w:t>
            </w:r>
            <w:r w:rsidRPr="00C80D65">
              <w:rPr>
                <w:color w:val="000000"/>
                <w:sz w:val="26"/>
                <w:szCs w:val="26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C80D65">
              <w:rPr>
                <w:color w:val="000000"/>
                <w:sz w:val="26"/>
                <w:szCs w:val="26"/>
              </w:rPr>
              <w:t>.</w:t>
            </w:r>
            <w:r w:rsidRPr="00C80D65">
              <w:rPr>
                <w:sz w:val="26"/>
                <w:szCs w:val="26"/>
              </w:rPr>
              <w:t> </w:t>
            </w:r>
          </w:p>
        </w:tc>
      </w:tr>
      <w:tr w:rsidR="00C80D65" w:rsidRPr="00C80D65" w:rsidTr="00C80D65">
        <w:trPr>
          <w:trHeight w:val="276"/>
          <w:tblCellSpacing w:w="0" w:type="dxa"/>
          <w:jc w:val="center"/>
        </w:trPr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rPr>
                <w:sz w:val="26"/>
                <w:szCs w:val="26"/>
              </w:rPr>
            </w:pPr>
            <w:r w:rsidRPr="00C80D65">
              <w:rPr>
                <w:b/>
                <w:bCs/>
                <w:color w:val="000000"/>
                <w:sz w:val="26"/>
                <w:szCs w:val="26"/>
              </w:rPr>
              <w:lastRenderedPageBreak/>
              <w:t>5Информация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7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D65" w:rsidRPr="00C80D65" w:rsidRDefault="00C80D65" w:rsidP="00C80D65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0D65">
              <w:rPr>
                <w:color w:val="000000"/>
                <w:sz w:val="26"/>
                <w:szCs w:val="26"/>
              </w:rPr>
              <w:t>В соответствии с постановление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установлен запрет закупок программ для электронных вычислительных машин и (или) баз данных, реализуемых, независимо от вида договора, на материальном носителе и (или) в электронном виде по каналам связи (за исключение программного обеспечения, включенного в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нужд.</w:t>
            </w:r>
          </w:p>
        </w:tc>
      </w:tr>
    </w:tbl>
    <w:p w:rsidR="00C80D65" w:rsidRPr="00C80D65" w:rsidRDefault="00C80D65" w:rsidP="00C80D65">
      <w:pPr>
        <w:pStyle w:val="ad"/>
        <w:spacing w:before="0" w:beforeAutospacing="0" w:after="0" w:afterAutospacing="0"/>
        <w:rPr>
          <w:sz w:val="26"/>
          <w:szCs w:val="26"/>
        </w:rPr>
      </w:pPr>
      <w:r w:rsidRPr="00C80D65">
        <w:rPr>
          <w:sz w:val="26"/>
          <w:szCs w:val="26"/>
        </w:rPr>
        <w:t> </w:t>
      </w:r>
    </w:p>
    <w:p w:rsidR="00C80D65" w:rsidRPr="00C80D65" w:rsidRDefault="00C80D65" w:rsidP="00C80D65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D65">
        <w:rPr>
          <w:color w:val="000000"/>
          <w:sz w:val="26"/>
          <w:szCs w:val="26"/>
        </w:rPr>
        <w:t>*в соответствии с требованиями п. 1 ч. 1 ст. 33 федерального закона № 44-ФЗ от 05.04.2013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описании характеристик товара указана дополнительная информация, которая отвечает характеристикам закупаемого товара. Обоснование дополнительных характеристик: дополнительная информация обусловлена потребностью заказчика.</w:t>
      </w:r>
    </w:p>
    <w:p w:rsidR="00BB5299" w:rsidRDefault="00BB5299" w:rsidP="00C80D65">
      <w:pPr>
        <w:pStyle w:val="ad"/>
        <w:widowControl w:val="0"/>
        <w:spacing w:before="0" w:beforeAutospacing="0" w:after="0" w:afterAutospacing="0"/>
        <w:jc w:val="both"/>
        <w:rPr>
          <w:rStyle w:val="Heading"/>
          <w:bCs/>
          <w:sz w:val="26"/>
          <w:szCs w:val="26"/>
        </w:rPr>
      </w:pPr>
      <w:r>
        <w:rPr>
          <w:rStyle w:val="Heading"/>
          <w:bCs/>
          <w:sz w:val="26"/>
          <w:szCs w:val="26"/>
        </w:rPr>
        <w:lastRenderedPageBreak/>
        <w:br w:type="page"/>
      </w:r>
    </w:p>
    <w:p w:rsidR="00225071" w:rsidRPr="00BB5299" w:rsidRDefault="00BB5299" w:rsidP="009F671A">
      <w:pPr>
        <w:widowControl w:val="0"/>
        <w:numPr>
          <w:ilvl w:val="0"/>
          <w:numId w:val="1"/>
        </w:numPr>
        <w:ind w:left="284" w:hanging="432"/>
        <w:jc w:val="right"/>
        <w:rPr>
          <w:sz w:val="26"/>
          <w:szCs w:val="26"/>
        </w:rPr>
      </w:pPr>
      <w:r>
        <w:rPr>
          <w:rStyle w:val="Heading"/>
          <w:b w:val="0"/>
          <w:bCs/>
          <w:sz w:val="26"/>
          <w:szCs w:val="26"/>
        </w:rPr>
        <w:lastRenderedPageBreak/>
        <w:t>П</w:t>
      </w:r>
      <w:r w:rsidRPr="00BB5299">
        <w:rPr>
          <w:rStyle w:val="Heading"/>
          <w:b w:val="0"/>
          <w:bCs/>
          <w:sz w:val="26"/>
          <w:szCs w:val="26"/>
        </w:rPr>
        <w:t>риложение</w:t>
      </w:r>
      <w:r w:rsidRPr="00BB5299">
        <w:rPr>
          <w:bCs/>
          <w:sz w:val="26"/>
          <w:szCs w:val="26"/>
        </w:rPr>
        <w:t xml:space="preserve"> № 2</w:t>
      </w:r>
    </w:p>
    <w:p w:rsidR="00225071" w:rsidRPr="001A7348" w:rsidRDefault="006F41B2" w:rsidP="009F671A">
      <w:pPr>
        <w:widowControl w:val="0"/>
        <w:numPr>
          <w:ilvl w:val="0"/>
          <w:numId w:val="1"/>
        </w:numPr>
        <w:tabs>
          <w:tab w:val="left" w:pos="993"/>
        </w:tabs>
        <w:ind w:left="284" w:hanging="432"/>
        <w:jc w:val="right"/>
        <w:outlineLvl w:val="0"/>
        <w:rPr>
          <w:sz w:val="26"/>
          <w:szCs w:val="26"/>
        </w:rPr>
      </w:pPr>
      <w:r w:rsidRPr="001A7348">
        <w:rPr>
          <w:sz w:val="26"/>
          <w:szCs w:val="26"/>
        </w:rPr>
        <w:t xml:space="preserve">к </w:t>
      </w:r>
      <w:r w:rsidRPr="001A7348">
        <w:rPr>
          <w:rStyle w:val="Normaltext"/>
          <w:sz w:val="26"/>
          <w:szCs w:val="26"/>
        </w:rPr>
        <w:t>Договор</w:t>
      </w:r>
      <w:r w:rsidRPr="001A7348">
        <w:rPr>
          <w:sz w:val="26"/>
          <w:szCs w:val="26"/>
        </w:rPr>
        <w:t xml:space="preserve">у № </w:t>
      </w:r>
      <w:r w:rsidR="001A7348">
        <w:rPr>
          <w:sz w:val="26"/>
          <w:szCs w:val="26"/>
        </w:rPr>
        <w:t>_________</w:t>
      </w:r>
      <w:r w:rsidRPr="001A7348">
        <w:rPr>
          <w:sz w:val="26"/>
          <w:szCs w:val="26"/>
        </w:rPr>
        <w:t xml:space="preserve"> от _</w:t>
      </w:r>
      <w:proofErr w:type="gramStart"/>
      <w:r w:rsidRPr="001A7348">
        <w:rPr>
          <w:sz w:val="26"/>
          <w:szCs w:val="26"/>
        </w:rPr>
        <w:t>_.</w:t>
      </w:r>
      <w:r w:rsidR="001A7348">
        <w:rPr>
          <w:sz w:val="26"/>
          <w:szCs w:val="26"/>
        </w:rPr>
        <w:t>_</w:t>
      </w:r>
      <w:proofErr w:type="gramEnd"/>
      <w:r w:rsidR="001A7348">
        <w:rPr>
          <w:sz w:val="26"/>
          <w:szCs w:val="26"/>
        </w:rPr>
        <w:t>__</w:t>
      </w:r>
      <w:r w:rsidRPr="001A7348">
        <w:rPr>
          <w:sz w:val="26"/>
          <w:szCs w:val="26"/>
        </w:rPr>
        <w:t>.202</w:t>
      </w:r>
      <w:r w:rsidR="00C80D65">
        <w:rPr>
          <w:sz w:val="26"/>
          <w:szCs w:val="26"/>
        </w:rPr>
        <w:t>6</w:t>
      </w:r>
      <w:r w:rsidRPr="001A7348">
        <w:rPr>
          <w:sz w:val="26"/>
          <w:szCs w:val="26"/>
        </w:rPr>
        <w:t xml:space="preserve"> г</w:t>
      </w:r>
      <w:r w:rsidRPr="001A7348">
        <w:rPr>
          <w:b/>
          <w:sz w:val="26"/>
          <w:szCs w:val="26"/>
        </w:rPr>
        <w:t>.</w:t>
      </w: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right"/>
        <w:rPr>
          <w:b/>
          <w:bCs/>
          <w:sz w:val="26"/>
          <w:szCs w:val="26"/>
        </w:rPr>
      </w:pP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bCs/>
          <w:sz w:val="26"/>
          <w:szCs w:val="26"/>
        </w:rPr>
      </w:pPr>
    </w:p>
    <w:p w:rsidR="00225071" w:rsidRPr="001A7348" w:rsidRDefault="006F41B2" w:rsidP="009F671A">
      <w:pPr>
        <w:widowControl w:val="0"/>
        <w:numPr>
          <w:ilvl w:val="0"/>
          <w:numId w:val="1"/>
        </w:numPr>
        <w:ind w:left="284" w:hanging="432"/>
        <w:jc w:val="center"/>
        <w:rPr>
          <w:sz w:val="26"/>
          <w:szCs w:val="26"/>
          <w:lang w:val="en-US"/>
        </w:rPr>
      </w:pPr>
      <w:r w:rsidRPr="001A7348">
        <w:rPr>
          <w:b/>
          <w:bCs/>
          <w:sz w:val="26"/>
          <w:szCs w:val="26"/>
          <w:lang w:val="en-US"/>
        </w:rPr>
        <w:t>C</w:t>
      </w:r>
      <w:r w:rsidRPr="001A7348">
        <w:rPr>
          <w:b/>
          <w:bCs/>
          <w:sz w:val="26"/>
          <w:szCs w:val="26"/>
        </w:rPr>
        <w:t>ПЕЦИФИКАЦИЯ НА ЭС</w:t>
      </w: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rPr>
          <w:sz w:val="26"/>
          <w:szCs w:val="26"/>
          <w:lang w:val="en-US"/>
        </w:rPr>
      </w:pPr>
    </w:p>
    <w:tbl>
      <w:tblPr>
        <w:tblpPr w:leftFromText="180" w:rightFromText="180" w:vertAnchor="text" w:horzAnchor="margin" w:tblpY="89"/>
        <w:tblOverlap w:val="never"/>
        <w:tblW w:w="10827" w:type="dxa"/>
        <w:tblLook w:val="0000" w:firstRow="0" w:lastRow="0" w:firstColumn="0" w:lastColumn="0" w:noHBand="0" w:noVBand="0"/>
      </w:tblPr>
      <w:tblGrid>
        <w:gridCol w:w="749"/>
        <w:gridCol w:w="3472"/>
        <w:gridCol w:w="2141"/>
        <w:gridCol w:w="2141"/>
        <w:gridCol w:w="1052"/>
        <w:gridCol w:w="1272"/>
      </w:tblGrid>
      <w:tr w:rsidR="00225071" w:rsidRPr="001A7348">
        <w:trPr>
          <w:cantSplit/>
          <w:trHeight w:val="61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№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Месяц начала использования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Срок использования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Кол-во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Цена</w:t>
            </w:r>
          </w:p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в рублях</w:t>
            </w:r>
          </w:p>
        </w:tc>
      </w:tr>
      <w:tr w:rsidR="00225071" w:rsidRPr="001A7348">
        <w:trPr>
          <w:cantSplit/>
          <w:trHeight w:val="329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1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both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 xml:space="preserve">ЭС </w:t>
            </w:r>
            <w:r w:rsidR="0027627A">
              <w:rPr>
                <w:sz w:val="26"/>
                <w:szCs w:val="26"/>
              </w:rPr>
              <w:t>«</w:t>
            </w:r>
            <w:r w:rsidRPr="001A7348">
              <w:rPr>
                <w:sz w:val="26"/>
                <w:szCs w:val="26"/>
              </w:rPr>
              <w:t>Госфинансы</w:t>
            </w:r>
            <w:r w:rsidR="0027627A">
              <w:rPr>
                <w:sz w:val="26"/>
                <w:szCs w:val="26"/>
              </w:rPr>
              <w:t>»</w:t>
            </w:r>
            <w:r w:rsidRPr="001A7348">
              <w:rPr>
                <w:sz w:val="26"/>
                <w:szCs w:val="26"/>
              </w:rPr>
              <w:t>. Для бюджетных учреждений. Простая неисключительная лицензия на использование Базы данных. 5 пользователей. 12 мес.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Ию</w:t>
            </w:r>
            <w:r w:rsidR="0027627A">
              <w:rPr>
                <w:sz w:val="26"/>
                <w:szCs w:val="26"/>
              </w:rPr>
              <w:t>л</w:t>
            </w:r>
            <w:r w:rsidRPr="001A7348">
              <w:rPr>
                <w:sz w:val="26"/>
                <w:szCs w:val="26"/>
              </w:rPr>
              <w:t>ь 202</w:t>
            </w:r>
            <w:r w:rsidR="00C80D65">
              <w:rPr>
                <w:sz w:val="26"/>
                <w:szCs w:val="26"/>
              </w:rPr>
              <w:t>6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Год с 01.0</w:t>
            </w:r>
            <w:r w:rsidR="0027627A">
              <w:rPr>
                <w:sz w:val="26"/>
                <w:szCs w:val="26"/>
              </w:rPr>
              <w:t>7</w:t>
            </w:r>
            <w:r w:rsidRPr="001A7348">
              <w:rPr>
                <w:sz w:val="26"/>
                <w:szCs w:val="26"/>
              </w:rPr>
              <w:t>.202</w:t>
            </w:r>
            <w:r w:rsidR="00C80D65">
              <w:rPr>
                <w:sz w:val="26"/>
                <w:szCs w:val="26"/>
              </w:rPr>
              <w:t>6</w:t>
            </w:r>
            <w:r w:rsidRPr="001A7348">
              <w:rPr>
                <w:sz w:val="26"/>
                <w:szCs w:val="26"/>
              </w:rPr>
              <w:t xml:space="preserve"> по 30.0</w:t>
            </w:r>
            <w:r w:rsidR="0027627A">
              <w:rPr>
                <w:sz w:val="26"/>
                <w:szCs w:val="26"/>
              </w:rPr>
              <w:t>6</w:t>
            </w:r>
            <w:r w:rsidRPr="001A7348">
              <w:rPr>
                <w:sz w:val="26"/>
                <w:szCs w:val="26"/>
              </w:rPr>
              <w:t>.202</w:t>
            </w:r>
            <w:r w:rsidR="00C80D65">
              <w:rPr>
                <w:sz w:val="26"/>
                <w:szCs w:val="26"/>
              </w:rPr>
              <w:t>7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6F41B2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  <w:r w:rsidRPr="001A7348">
              <w:rPr>
                <w:sz w:val="26"/>
                <w:szCs w:val="26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71" w:rsidRPr="001A7348" w:rsidRDefault="00225071" w:rsidP="009F671A">
            <w:pPr>
              <w:widowControl w:val="0"/>
              <w:ind w:left="284"/>
              <w:jc w:val="center"/>
              <w:rPr>
                <w:sz w:val="26"/>
                <w:szCs w:val="26"/>
              </w:rPr>
            </w:pPr>
          </w:p>
        </w:tc>
      </w:tr>
    </w:tbl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rPr>
          <w:sz w:val="26"/>
          <w:szCs w:val="26"/>
        </w:r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7815"/>
        <w:gridCol w:w="2817"/>
      </w:tblGrid>
      <w:tr w:rsidR="00225071" w:rsidRPr="001A7348"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071" w:rsidRPr="001A7348" w:rsidRDefault="006F41B2" w:rsidP="009F671A">
            <w:pPr>
              <w:widowControl w:val="0"/>
              <w:ind w:left="284" w:right="72"/>
              <w:jc w:val="right"/>
              <w:rPr>
                <w:b/>
                <w:bCs/>
                <w:sz w:val="26"/>
                <w:szCs w:val="26"/>
                <w:lang w:val="en-US"/>
              </w:rPr>
            </w:pPr>
            <w:r w:rsidRPr="001A7348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071" w:rsidRPr="001A7348" w:rsidRDefault="00225071" w:rsidP="009F671A">
            <w:pPr>
              <w:widowControl w:val="0"/>
              <w:ind w:left="284" w:right="72"/>
              <w:jc w:val="righ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225071" w:rsidRPr="001A734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071" w:rsidRPr="001A7348" w:rsidRDefault="006F41B2" w:rsidP="009F671A">
            <w:pPr>
              <w:widowControl w:val="0"/>
              <w:tabs>
                <w:tab w:val="left" w:pos="7439"/>
              </w:tabs>
              <w:ind w:left="284"/>
              <w:jc w:val="right"/>
              <w:rPr>
                <w:b/>
                <w:sz w:val="26"/>
                <w:szCs w:val="26"/>
              </w:rPr>
            </w:pPr>
            <w:r w:rsidRPr="001A7348">
              <w:rPr>
                <w:b/>
                <w:sz w:val="26"/>
                <w:szCs w:val="26"/>
              </w:rPr>
              <w:t>НДС не облагается на основании подпункта 26 пункта 2 статьи 149 НК РФ</w:t>
            </w:r>
          </w:p>
        </w:tc>
      </w:tr>
    </w:tbl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rPr>
          <w:sz w:val="26"/>
          <w:szCs w:val="26"/>
        </w:rPr>
        <w:sectPr w:rsidR="00225071" w:rsidRPr="001A7348">
          <w:headerReference w:type="default" r:id="rId10"/>
          <w:footerReference w:type="default" r:id="rId11"/>
          <w:pgSz w:w="11906" w:h="16838"/>
          <w:pgMar w:top="567" w:right="567" w:bottom="567" w:left="851" w:header="709" w:footer="709" w:gutter="0"/>
          <w:cols w:space="720"/>
        </w:sectPr>
      </w:pP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rPr>
          <w:sz w:val="26"/>
          <w:szCs w:val="26"/>
        </w:rPr>
      </w:pPr>
    </w:p>
    <w:p w:rsidR="00225071" w:rsidRPr="001A7348" w:rsidRDefault="006F41B2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sz w:val="26"/>
          <w:szCs w:val="26"/>
          <w:lang w:val="en-US"/>
        </w:rPr>
      </w:pPr>
      <w:r w:rsidRPr="001A7348">
        <w:rPr>
          <w:b/>
          <w:sz w:val="26"/>
          <w:szCs w:val="26"/>
        </w:rPr>
        <w:t>ОТ ЛИЦЕНЗИАТА</w:t>
      </w: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sz w:val="26"/>
          <w:szCs w:val="26"/>
          <w:lang w:val="en-US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6F41B2" w:rsidP="009F671A">
      <w:pPr>
        <w:widowControl w:val="0"/>
        <w:numPr>
          <w:ilvl w:val="0"/>
          <w:numId w:val="1"/>
        </w:numPr>
        <w:ind w:left="284" w:hanging="432"/>
        <w:jc w:val="center"/>
        <w:rPr>
          <w:sz w:val="26"/>
          <w:szCs w:val="26"/>
        </w:rPr>
      </w:pPr>
      <w:r w:rsidRPr="001A7348">
        <w:rPr>
          <w:sz w:val="26"/>
          <w:szCs w:val="26"/>
        </w:rPr>
        <w:t>________________________________________________</w:t>
      </w: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sz w:val="26"/>
          <w:szCs w:val="26"/>
        </w:rPr>
      </w:pPr>
    </w:p>
    <w:p w:rsidR="0027627A" w:rsidRPr="0027627A" w:rsidRDefault="006F41B2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sz w:val="26"/>
          <w:szCs w:val="26"/>
        </w:rPr>
      </w:pPr>
      <w:r w:rsidRPr="001A7348">
        <w:rPr>
          <w:sz w:val="26"/>
          <w:szCs w:val="26"/>
        </w:rPr>
        <w:br w:type="column"/>
      </w:r>
    </w:p>
    <w:p w:rsidR="00225071" w:rsidRPr="001A7348" w:rsidRDefault="006F41B2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sz w:val="26"/>
          <w:szCs w:val="26"/>
        </w:rPr>
      </w:pPr>
      <w:r w:rsidRPr="001A7348">
        <w:rPr>
          <w:b/>
          <w:sz w:val="26"/>
          <w:szCs w:val="26"/>
        </w:rPr>
        <w:t>ОТ СУБЛИЦЕНЗИАТА</w:t>
      </w: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sz w:val="26"/>
          <w:szCs w:val="26"/>
        </w:rPr>
      </w:pP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sz w:val="26"/>
          <w:szCs w:val="26"/>
        </w:rPr>
      </w:pP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b/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sz w:val="26"/>
          <w:szCs w:val="26"/>
        </w:rPr>
      </w:pPr>
    </w:p>
    <w:p w:rsidR="00225071" w:rsidRPr="001A7348" w:rsidRDefault="006F41B2" w:rsidP="009F671A">
      <w:pPr>
        <w:widowControl w:val="0"/>
        <w:numPr>
          <w:ilvl w:val="0"/>
          <w:numId w:val="1"/>
        </w:numPr>
        <w:ind w:left="284" w:hanging="432"/>
        <w:jc w:val="center"/>
        <w:rPr>
          <w:sz w:val="26"/>
          <w:szCs w:val="26"/>
        </w:rPr>
      </w:pPr>
      <w:r w:rsidRPr="001A7348">
        <w:rPr>
          <w:sz w:val="26"/>
          <w:szCs w:val="26"/>
        </w:rPr>
        <w:t>________________________________________________</w:t>
      </w: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jc w:val="center"/>
        <w:rPr>
          <w:sz w:val="26"/>
          <w:szCs w:val="26"/>
        </w:rPr>
      </w:pPr>
    </w:p>
    <w:p w:rsidR="00225071" w:rsidRPr="001A7348" w:rsidRDefault="00225071" w:rsidP="009F671A">
      <w:pPr>
        <w:widowControl w:val="0"/>
        <w:numPr>
          <w:ilvl w:val="0"/>
          <w:numId w:val="1"/>
        </w:numPr>
        <w:ind w:left="284" w:hanging="432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rPr>
          <w:sz w:val="26"/>
          <w:szCs w:val="26"/>
        </w:rPr>
      </w:pPr>
    </w:p>
    <w:p w:rsidR="00225071" w:rsidRPr="001A7348" w:rsidRDefault="00225071" w:rsidP="009F671A">
      <w:pPr>
        <w:widowControl w:val="0"/>
        <w:ind w:left="284"/>
        <w:rPr>
          <w:sz w:val="26"/>
          <w:szCs w:val="26"/>
        </w:rPr>
        <w:sectPr w:rsidR="00225071" w:rsidRPr="001A7348">
          <w:type w:val="continuous"/>
          <w:pgSz w:w="11906" w:h="16838"/>
          <w:pgMar w:top="567" w:right="567" w:bottom="567" w:left="851" w:header="720" w:footer="720" w:gutter="0"/>
          <w:cols w:num="2" w:space="708"/>
        </w:sectPr>
      </w:pPr>
    </w:p>
    <w:p w:rsidR="00225071" w:rsidRPr="001A7348" w:rsidRDefault="00225071" w:rsidP="009F671A">
      <w:pPr>
        <w:pStyle w:val="1"/>
        <w:keepNext w:val="0"/>
        <w:keepLines w:val="0"/>
        <w:widowControl w:val="0"/>
        <w:numPr>
          <w:ilvl w:val="0"/>
          <w:numId w:val="1"/>
        </w:numPr>
        <w:spacing w:before="0"/>
        <w:ind w:left="284" w:hanging="432"/>
        <w:jc w:val="right"/>
        <w:rPr>
          <w:rFonts w:ascii="Times New Roman" w:hAnsi="Times New Roman"/>
          <w:sz w:val="26"/>
          <w:szCs w:val="26"/>
        </w:rPr>
      </w:pPr>
    </w:p>
    <w:sectPr w:rsidR="00225071" w:rsidRPr="001A7348">
      <w:type w:val="continuous"/>
      <w:pgSz w:w="11906" w:h="16838"/>
      <w:pgMar w:top="567" w:right="567" w:bottom="567" w:left="851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7FA" w:rsidRDefault="006F41B2">
      <w:r>
        <w:separator/>
      </w:r>
    </w:p>
  </w:endnote>
  <w:endnote w:type="continuationSeparator" w:id="0">
    <w:p w:rsidR="005C27FA" w:rsidRDefault="006F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071" w:rsidRDefault="0022507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071" w:rsidRDefault="002250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7FA" w:rsidRDefault="006F41B2">
      <w:r>
        <w:separator/>
      </w:r>
    </w:p>
  </w:footnote>
  <w:footnote w:type="continuationSeparator" w:id="0">
    <w:p w:rsidR="005C27FA" w:rsidRDefault="006F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071" w:rsidRDefault="002250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071" w:rsidRDefault="002250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43D"/>
    <w:multiLevelType w:val="multilevel"/>
    <w:tmpl w:val="C3B6C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24667"/>
    <w:multiLevelType w:val="multilevel"/>
    <w:tmpl w:val="4E70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920FA"/>
    <w:multiLevelType w:val="multilevel"/>
    <w:tmpl w:val="B11E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D7033"/>
    <w:multiLevelType w:val="multilevel"/>
    <w:tmpl w:val="5F18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96DE0"/>
    <w:multiLevelType w:val="multilevel"/>
    <w:tmpl w:val="016A9B92"/>
    <w:styleLink w:val="WWNum12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5" w15:restartNumberingAfterBreak="0">
    <w:nsid w:val="2B42323B"/>
    <w:multiLevelType w:val="multilevel"/>
    <w:tmpl w:val="DF9C1EB8"/>
    <w:name w:val="Нумерованный список 3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362E4CFE"/>
    <w:multiLevelType w:val="multilevel"/>
    <w:tmpl w:val="EAA4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D79AF"/>
    <w:multiLevelType w:val="multilevel"/>
    <w:tmpl w:val="EA2E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836B4"/>
    <w:multiLevelType w:val="hybridMultilevel"/>
    <w:tmpl w:val="CDD05212"/>
    <w:name w:val="Нумерованный список 1"/>
    <w:lvl w:ilvl="0" w:tplc="F29608D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ED6F32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884EC08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830CF55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C30C1BA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4D6E028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4294B9A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1C4863D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9854769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48227ACF"/>
    <w:multiLevelType w:val="multilevel"/>
    <w:tmpl w:val="6D8CFC04"/>
    <w:styleLink w:val="WWNum14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10" w15:restartNumberingAfterBreak="0">
    <w:nsid w:val="48FE7D89"/>
    <w:multiLevelType w:val="multilevel"/>
    <w:tmpl w:val="8F78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B08F6"/>
    <w:multiLevelType w:val="multilevel"/>
    <w:tmpl w:val="CBE24F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C244B"/>
    <w:multiLevelType w:val="hybridMultilevel"/>
    <w:tmpl w:val="362ECCEE"/>
    <w:lvl w:ilvl="0" w:tplc="3CCCF28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960C8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D8F03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0E269A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C89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7404DA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43EA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3BCA9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62679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0307F8"/>
    <w:multiLevelType w:val="multilevel"/>
    <w:tmpl w:val="6F768D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58087CA7"/>
    <w:multiLevelType w:val="multilevel"/>
    <w:tmpl w:val="D1A8A1F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5" w15:restartNumberingAfterBreak="0">
    <w:nsid w:val="60501D2B"/>
    <w:multiLevelType w:val="multilevel"/>
    <w:tmpl w:val="829E8F44"/>
    <w:styleLink w:val="WWNum13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1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6" w15:restartNumberingAfterBreak="0">
    <w:nsid w:val="606F4328"/>
    <w:multiLevelType w:val="multilevel"/>
    <w:tmpl w:val="45123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20D9A"/>
    <w:multiLevelType w:val="hybridMultilevel"/>
    <w:tmpl w:val="205CD3AE"/>
    <w:name w:val="Нумерованный список 2"/>
    <w:lvl w:ilvl="0" w:tplc="46AC94CE">
      <w:numFmt w:val="bullet"/>
      <w:lvlText w:val=""/>
      <w:lvlJc w:val="left"/>
      <w:pPr>
        <w:ind w:left="710" w:firstLine="0"/>
      </w:pPr>
      <w:rPr>
        <w:rFonts w:ascii="Wingdings" w:eastAsia="Wingdings" w:hAnsi="Wingdings" w:cs="Wingdings"/>
        <w:sz w:val="24"/>
      </w:rPr>
    </w:lvl>
    <w:lvl w:ilvl="1" w:tplc="39AA8DC4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FFC003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54258E8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14E28BA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085608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9B07AE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94AE85E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7CAFB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6BDD505E"/>
    <w:multiLevelType w:val="multilevel"/>
    <w:tmpl w:val="E50CA4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ED326D"/>
    <w:multiLevelType w:val="multilevel"/>
    <w:tmpl w:val="7BDAF28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714A6DBF"/>
    <w:multiLevelType w:val="hybridMultilevel"/>
    <w:tmpl w:val="07B032E4"/>
    <w:name w:val="Нумерованный список 5"/>
    <w:lvl w:ilvl="0" w:tplc="BEE8507E">
      <w:start w:val="8"/>
      <w:numFmt w:val="decimal"/>
      <w:lvlText w:val="%1."/>
      <w:lvlJc w:val="left"/>
      <w:pPr>
        <w:ind w:left="1080" w:firstLine="0"/>
      </w:pPr>
    </w:lvl>
    <w:lvl w:ilvl="1" w:tplc="6C10228E">
      <w:start w:val="1"/>
      <w:numFmt w:val="lowerLetter"/>
      <w:lvlText w:val="%2."/>
      <w:lvlJc w:val="left"/>
      <w:pPr>
        <w:ind w:left="1800" w:firstLine="0"/>
      </w:pPr>
    </w:lvl>
    <w:lvl w:ilvl="2" w:tplc="F05A7474">
      <w:start w:val="1"/>
      <w:numFmt w:val="lowerRoman"/>
      <w:lvlText w:val="%3."/>
      <w:lvlJc w:val="right"/>
      <w:pPr>
        <w:ind w:left="2700" w:firstLine="0"/>
      </w:pPr>
    </w:lvl>
    <w:lvl w:ilvl="3" w:tplc="08805B40">
      <w:start w:val="1"/>
      <w:numFmt w:val="decimal"/>
      <w:lvlText w:val="%4."/>
      <w:lvlJc w:val="left"/>
      <w:pPr>
        <w:ind w:left="3240" w:firstLine="0"/>
      </w:pPr>
    </w:lvl>
    <w:lvl w:ilvl="4" w:tplc="30348CA2">
      <w:start w:val="1"/>
      <w:numFmt w:val="lowerLetter"/>
      <w:lvlText w:val="%5."/>
      <w:lvlJc w:val="left"/>
      <w:pPr>
        <w:ind w:left="3960" w:firstLine="0"/>
      </w:pPr>
    </w:lvl>
    <w:lvl w:ilvl="5" w:tplc="9CB67FD6">
      <w:start w:val="1"/>
      <w:numFmt w:val="lowerRoman"/>
      <w:lvlText w:val="%6."/>
      <w:lvlJc w:val="right"/>
      <w:pPr>
        <w:ind w:left="4860" w:firstLine="0"/>
      </w:pPr>
    </w:lvl>
    <w:lvl w:ilvl="6" w:tplc="AADA172C">
      <w:start w:val="1"/>
      <w:numFmt w:val="decimal"/>
      <w:lvlText w:val="%7."/>
      <w:lvlJc w:val="left"/>
      <w:pPr>
        <w:ind w:left="5400" w:firstLine="0"/>
      </w:pPr>
    </w:lvl>
    <w:lvl w:ilvl="7" w:tplc="49CEE9A8">
      <w:start w:val="1"/>
      <w:numFmt w:val="lowerLetter"/>
      <w:lvlText w:val="%8."/>
      <w:lvlJc w:val="left"/>
      <w:pPr>
        <w:ind w:left="6120" w:firstLine="0"/>
      </w:pPr>
    </w:lvl>
    <w:lvl w:ilvl="8" w:tplc="82F680C0">
      <w:start w:val="1"/>
      <w:numFmt w:val="lowerRoman"/>
      <w:lvlText w:val="%9."/>
      <w:lvlJc w:val="right"/>
      <w:pPr>
        <w:ind w:left="7020" w:firstLine="0"/>
      </w:pPr>
    </w:lvl>
  </w:abstractNum>
  <w:abstractNum w:abstractNumId="21" w15:restartNumberingAfterBreak="0">
    <w:nsid w:val="75C97E12"/>
    <w:multiLevelType w:val="multilevel"/>
    <w:tmpl w:val="91B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B280E"/>
    <w:multiLevelType w:val="multilevel"/>
    <w:tmpl w:val="68EC85FE"/>
    <w:name w:val="Нумерованный список 4"/>
    <w:lvl w:ilvl="0">
      <w:start w:val="1"/>
      <w:numFmt w:val="decimal"/>
      <w:pStyle w:val="2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22"/>
  </w:num>
  <w:num w:numId="5">
    <w:abstractNumId w:val="20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5"/>
  </w:num>
  <w:num w:numId="13">
    <w:abstractNumId w:val="15"/>
  </w:num>
  <w:num w:numId="14">
    <w:abstractNumId w:val="9"/>
  </w:num>
  <w:num w:numId="15">
    <w:abstractNumId w:val="9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 w:numId="20">
    <w:abstractNumId w:val="21"/>
  </w:num>
  <w:num w:numId="21">
    <w:abstractNumId w:val="11"/>
    <w:lvlOverride w:ilvl="0">
      <w:lvl w:ilvl="0">
        <w:numFmt w:val="decimal"/>
        <w:lvlText w:val="%1."/>
        <w:lvlJc w:val="left"/>
      </w:lvl>
    </w:lvlOverride>
  </w:num>
  <w:num w:numId="22">
    <w:abstractNumId w:val="11"/>
    <w:lvlOverride w:ilvl="0">
      <w:lvl w:ilvl="0">
        <w:numFmt w:val="decimal"/>
        <w:lvlText w:val="%1."/>
        <w:lvlJc w:val="left"/>
      </w:lvl>
    </w:lvlOverride>
  </w:num>
  <w:num w:numId="23">
    <w:abstractNumId w:val="11"/>
    <w:lvlOverride w:ilvl="0">
      <w:lvl w:ilvl="0">
        <w:numFmt w:val="decimal"/>
        <w:lvlText w:val="%1."/>
        <w:lvlJc w:val="left"/>
      </w:lvl>
    </w:lvlOverride>
  </w:num>
  <w:num w:numId="24">
    <w:abstractNumId w:val="11"/>
    <w:lvlOverride w:ilvl="0">
      <w:lvl w:ilvl="0">
        <w:numFmt w:val="decimal"/>
        <w:lvlText w:val="%1."/>
        <w:lvlJc w:val="left"/>
      </w:lvl>
    </w:lvlOverride>
  </w:num>
  <w:num w:numId="25">
    <w:abstractNumId w:val="3"/>
  </w:num>
  <w:num w:numId="26">
    <w:abstractNumId w:val="18"/>
    <w:lvlOverride w:ilvl="0">
      <w:lvl w:ilvl="0">
        <w:numFmt w:val="decimal"/>
        <w:lvlText w:val="%1."/>
        <w:lvlJc w:val="left"/>
      </w:lvl>
    </w:lvlOverride>
  </w:num>
  <w:num w:numId="27">
    <w:abstractNumId w:val="7"/>
  </w:num>
  <w:num w:numId="28">
    <w:abstractNumId w:val="16"/>
    <w:lvlOverride w:ilvl="0">
      <w:lvl w:ilvl="0">
        <w:numFmt w:val="decimal"/>
        <w:lvlText w:val="%1."/>
        <w:lvlJc w:val="left"/>
      </w:lvl>
    </w:lvlOverride>
  </w:num>
  <w:num w:numId="29">
    <w:abstractNumId w:val="16"/>
    <w:lvlOverride w:ilvl="0">
      <w:lvl w:ilvl="0">
        <w:numFmt w:val="decimal"/>
        <w:lvlText w:val="%1."/>
        <w:lvlJc w:val="left"/>
      </w:lvl>
    </w:lvlOverride>
  </w:num>
  <w:num w:numId="30">
    <w:abstractNumId w:val="6"/>
  </w:num>
  <w:num w:numId="31">
    <w:abstractNumId w:val="1"/>
  </w:num>
  <w:num w:numId="3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71"/>
    <w:rsid w:val="001A7348"/>
    <w:rsid w:val="00225071"/>
    <w:rsid w:val="0027627A"/>
    <w:rsid w:val="005C27FA"/>
    <w:rsid w:val="006F41B2"/>
    <w:rsid w:val="00812EC4"/>
    <w:rsid w:val="0093719C"/>
    <w:rsid w:val="0095170B"/>
    <w:rsid w:val="009B450D"/>
    <w:rsid w:val="009F671A"/>
    <w:rsid w:val="00B14BA3"/>
    <w:rsid w:val="00B8313A"/>
    <w:rsid w:val="00BB5299"/>
    <w:rsid w:val="00C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8305"/>
  <w15:docId w15:val="{BAF295C8-9EB3-4B08-A68E-526E2932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numPr>
        <w:numId w:val="4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qFormat/>
    <w:pPr>
      <w:spacing w:after="100" w:afterAutospacing="1"/>
      <w:jc w:val="both"/>
    </w:pPr>
    <w:rPr>
      <w:sz w:val="20"/>
      <w:szCs w:val="20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5">
    <w:name w:val="Содержимое таблицы"/>
    <w:basedOn w:val="a"/>
    <w:qFormat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6">
    <w:name w:val="Заголовок таблицы"/>
    <w:basedOn w:val="a5"/>
    <w:qFormat/>
    <w:pPr>
      <w:jc w:val="center"/>
    </w:pPr>
    <w:rPr>
      <w:bCs/>
      <w:sz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Normaltext">
    <w:name w:val="Normal text"/>
    <w:rPr>
      <w:sz w:val="20"/>
    </w:rPr>
  </w:style>
  <w:style w:type="character" w:customStyle="1" w:styleId="Heading">
    <w:name w:val="Heading"/>
    <w:rPr>
      <w:b/>
      <w:sz w:val="20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rPr>
      <w:rFonts w:cs="Times New Roman"/>
      <w:color w:val="0000FF"/>
      <w:u w:val="singl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rPr>
      <w:rFonts w:eastAsia="Times New Roman"/>
      <w:sz w:val="22"/>
      <w:szCs w:val="22"/>
    </w:rPr>
  </w:style>
  <w:style w:type="paragraph" w:customStyle="1" w:styleId="11">
    <w:name w:val="Обычный1"/>
    <w:rsid w:val="00BB5299"/>
    <w:pPr>
      <w:widowControl w:val="0"/>
      <w:suppressAutoHyphens/>
      <w:overflowPunct w:val="0"/>
      <w:autoSpaceDE w:val="0"/>
      <w:autoSpaceDN w:val="0"/>
    </w:pPr>
    <w:rPr>
      <w:rFonts w:eastAsia="Times New Roman"/>
      <w:kern w:val="3"/>
      <w:sz w:val="22"/>
      <w:szCs w:val="22"/>
    </w:rPr>
  </w:style>
  <w:style w:type="paragraph" w:customStyle="1" w:styleId="paragraph">
    <w:name w:val="paragraph"/>
    <w:basedOn w:val="a"/>
    <w:rsid w:val="00BB5299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Cs w:val="22"/>
    </w:rPr>
  </w:style>
  <w:style w:type="character" w:customStyle="1" w:styleId="normaltextrun">
    <w:name w:val="normaltextrun"/>
    <w:basedOn w:val="a0"/>
    <w:rsid w:val="00BB5299"/>
  </w:style>
  <w:style w:type="character" w:customStyle="1" w:styleId="eop">
    <w:name w:val="eop"/>
    <w:basedOn w:val="a0"/>
    <w:rsid w:val="00BB5299"/>
  </w:style>
  <w:style w:type="numbering" w:customStyle="1" w:styleId="WWNum5">
    <w:name w:val="WWNum5"/>
    <w:rsid w:val="00BB5299"/>
    <w:pPr>
      <w:numPr>
        <w:numId w:val="8"/>
      </w:numPr>
    </w:pPr>
  </w:style>
  <w:style w:type="numbering" w:customStyle="1" w:styleId="WWNum12">
    <w:name w:val="WWNum12"/>
    <w:rsid w:val="00BB5299"/>
    <w:pPr>
      <w:numPr>
        <w:numId w:val="10"/>
      </w:numPr>
    </w:pPr>
  </w:style>
  <w:style w:type="numbering" w:customStyle="1" w:styleId="WWNum13">
    <w:name w:val="WWNum13"/>
    <w:rsid w:val="00BB5299"/>
    <w:pPr>
      <w:numPr>
        <w:numId w:val="12"/>
      </w:numPr>
    </w:pPr>
  </w:style>
  <w:style w:type="numbering" w:customStyle="1" w:styleId="WWNum14">
    <w:name w:val="WWNum14"/>
    <w:rsid w:val="00BB5299"/>
    <w:pPr>
      <w:numPr>
        <w:numId w:val="14"/>
      </w:numPr>
    </w:pPr>
  </w:style>
  <w:style w:type="numbering" w:customStyle="1" w:styleId="WWNum7">
    <w:name w:val="WWNum7"/>
    <w:rsid w:val="00BB5299"/>
    <w:pPr>
      <w:numPr>
        <w:numId w:val="16"/>
      </w:numPr>
    </w:pPr>
  </w:style>
  <w:style w:type="paragraph" w:customStyle="1" w:styleId="docdata">
    <w:name w:val="docdata"/>
    <w:aliases w:val="docy,v5,125979,bqiaagaaeyqcaaagiaiaaapwtweabzduaqaaaaaaaaaaaaaaaaaaaaaaaaaaaaaaaaaaaaaaaaaaaaaaaaaaaaaaaaaaaaaaaaaaaaaaaaaaaaaaaaaaaaaaaaaaaaaaaaaaaaaaaaaaaaaaaaaaaaaaaaaaaaaaaaaaaaaaaaaaaaaaaaaaaaaaaaaaaaaaaaaaaaaaaaaaaaaaaaaaaaaaaaaaaaaaaaaaaa"/>
    <w:basedOn w:val="a"/>
    <w:rsid w:val="00C80D65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C80D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4C6E-E153-4ED9-956B-AA79534A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A. Vasiliev</dc:creator>
  <cp:keywords/>
  <dc:description/>
  <cp:lastModifiedBy>Донцов Виталий Павлович</cp:lastModifiedBy>
  <cp:revision>4</cp:revision>
  <dcterms:created xsi:type="dcterms:W3CDTF">2026-05-26T12:01:00Z</dcterms:created>
  <dcterms:modified xsi:type="dcterms:W3CDTF">2026-06-01T08:08:00Z</dcterms:modified>
</cp:coreProperties>
</file>