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embeddings/oleObject1.xlsx" ContentType="application/vnd.openxmlformats-officedocument.spreadsheetml.shee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  <w:lang w:val="en-US"/>
        </w:rPr>
        <w:t>VI</w:t>
      </w:r>
      <w:r>
        <w:rPr>
          <w:rFonts w:cs="Times New Roman" w:ascii="Times New Roman" w:hAnsi="Times New Roman"/>
          <w:b/>
        </w:rPr>
        <w:t>. ОБОСНОВАНИЕ НАЧАЛЬНОЙ (МАКСИМАЛЬНОЙ) ЦЕНЫ КОНТРАКТА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tbl>
      <w:tblPr>
        <w:tblStyle w:val="a3"/>
        <w:tblW w:w="165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"/>
        <w:gridCol w:w="16303"/>
        <w:gridCol w:w="176"/>
      </w:tblGrid>
      <w:tr>
        <w:trPr>
          <w:trHeight w:val="993" w:hRule="atLeast"/>
        </w:trPr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exact" w:line="240" w:before="0" w:after="0"/>
              <w:ind w:firstLine="635"/>
              <w:contextualSpacing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3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exact" w:line="240" w:before="0" w:after="0"/>
              <w:ind w:firstLine="635"/>
              <w:contextualSpacing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      </w:r>
          </w:p>
          <w:p>
            <w:pPr>
              <w:pStyle w:val="Normal"/>
              <w:spacing w:lineRule="exact" w:line="240" w:before="0" w:after="200"/>
              <w:ind w:firstLine="708"/>
              <w:contextualSpacing/>
              <w:jc w:val="both"/>
              <w:rPr>
                <w:rFonts w:ascii="Times New Roman" w:hAnsi="Times New Roman" w:eastAsia="Calibri" w:cs="Times New Roman"/>
                <w:color w:val="0070C0"/>
              </w:rPr>
            </w:pPr>
            <w:r>
              <w:rPr>
                <w:rFonts w:eastAsia="Calibri" w:cs="Times New Roman" w:ascii="Times New Roman" w:hAnsi="Times New Roman"/>
              </w:rPr>
              <w:t>В целях получения ценовой информации в отношении товара для определения начальной (максимальной) цены контракта</w:t>
            </w:r>
            <w:r>
              <w:rPr>
                <w:rFonts w:eastAsia="Times New Roman" w:cs="Times New Roman" w:ascii="Times New Roman" w:hAnsi="Times New Roman"/>
              </w:rPr>
              <w:t xml:space="preserve"> заказчиком</w:t>
            </w:r>
            <w:r>
              <w:rPr>
                <w:rFonts w:eastAsia="Calibri" w:cs="Times New Roman" w:ascii="Times New Roman" w:hAnsi="Times New Roman"/>
              </w:rPr>
              <w:t>:</w:t>
            </w:r>
          </w:p>
          <w:p>
            <w:pPr>
              <w:pStyle w:val="Normal"/>
              <w:spacing w:lineRule="exact" w:line="240" w:before="0" w:after="200"/>
              <w:ind w:firstLine="708"/>
              <w:contextualSpacing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с условиями, схожими с потребностями заказчика.</w:t>
            </w:r>
          </w:p>
          <w:p>
            <w:pPr>
              <w:pStyle w:val="Normal"/>
              <w:spacing w:lineRule="exact" w:line="240" w:before="0" w:after="200"/>
              <w:ind w:firstLine="708"/>
              <w:contextualSpacing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      </w:r>
          </w:p>
          <w:tbl>
            <w:tblPr>
              <w:tblStyle w:val="a3"/>
              <w:tblW w:w="1593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538"/>
              <w:gridCol w:w="2359"/>
              <w:gridCol w:w="1067"/>
              <w:gridCol w:w="1745"/>
              <w:gridCol w:w="3020"/>
              <w:gridCol w:w="1245"/>
              <w:gridCol w:w="1377"/>
              <w:gridCol w:w="2216"/>
              <w:gridCol w:w="2370"/>
            </w:tblGrid>
            <w:tr>
              <w:trPr/>
              <w:tc>
                <w:tcPr>
                  <w:tcW w:w="538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both"/>
                    <w:rPr>
                      <w:rFonts w:ascii="Times New Roman" w:hAnsi="Times New Roman" w:eastAsia="Times New Roman" w:cs="Times New Roman"/>
                      <w:b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 xml:space="preserve">№ </w:t>
                  </w:r>
                  <w:r>
                    <w:rPr>
                      <w:rFonts w:eastAsia="Times New Roman" w:cs="Times New Roman" w:ascii="Times New Roman" w:hAnsi="Times New Roman"/>
                      <w:b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>п/п</w:t>
                  </w:r>
                </w:p>
              </w:tc>
              <w:tc>
                <w:tcPr>
                  <w:tcW w:w="2359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both"/>
                    <w:rPr>
                      <w:rFonts w:ascii="Times New Roman" w:hAnsi="Times New Roman" w:eastAsia="Times New Roman" w:cs="Times New Roman"/>
                      <w:b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>Реестровая запись</w:t>
                  </w:r>
                </w:p>
              </w:tc>
              <w:tc>
                <w:tcPr>
                  <w:tcW w:w="1067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both"/>
                    <w:rPr>
                      <w:rFonts w:ascii="Times New Roman" w:hAnsi="Times New Roman" w:eastAsia="Times New Roman" w:cs="Times New Roman"/>
                      <w:b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 xml:space="preserve">Объем </w:t>
                  </w:r>
                </w:p>
              </w:tc>
              <w:tc>
                <w:tcPr>
                  <w:tcW w:w="1745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both"/>
                    <w:rPr>
                      <w:rFonts w:ascii="Times New Roman" w:hAnsi="Times New Roman" w:eastAsia="Times New Roman" w:cs="Times New Roman"/>
                      <w:b/>
                      <w:bCs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>Условия оплаты</w:t>
                  </w:r>
                </w:p>
              </w:tc>
              <w:tc>
                <w:tcPr>
                  <w:tcW w:w="3020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both"/>
                    <w:rPr>
                      <w:rFonts w:ascii="Times New Roman" w:hAnsi="Times New Roman" w:eastAsia="Times New Roman" w:cs="Times New Roman"/>
                      <w:b/>
                      <w:bCs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>Условия передачи неисключительных прав на использование программного обеспечения</w:t>
                  </w:r>
                </w:p>
              </w:tc>
              <w:tc>
                <w:tcPr>
                  <w:tcW w:w="1245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both"/>
                    <w:rPr>
                      <w:rFonts w:ascii="Times New Roman" w:hAnsi="Times New Roman" w:eastAsia="Times New Roman" w:cs="Times New Roman"/>
                      <w:b/>
                      <w:bCs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>Обеспечение исполнения контракта (договора)</w:t>
                  </w:r>
                </w:p>
              </w:tc>
              <w:tc>
                <w:tcPr>
                  <w:tcW w:w="1377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both"/>
                    <w:rPr>
                      <w:rFonts w:ascii="Times New Roman" w:hAnsi="Times New Roman" w:eastAsia="Times New Roman" w:cs="Times New Roman"/>
                      <w:b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>Дата исполнения контракта (договора)</w:t>
                  </w:r>
                </w:p>
              </w:tc>
              <w:tc>
                <w:tcPr>
                  <w:tcW w:w="2216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both"/>
                    <w:rPr>
                      <w:rFonts w:ascii="Times New Roman" w:hAnsi="Times New Roman" w:eastAsia="Times New Roman" w:cs="Times New Roman"/>
                      <w:b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 xml:space="preserve">Цена за </w:t>
                  </w:r>
                </w:p>
                <w:p>
                  <w:pPr>
                    <w:pStyle w:val="Normal"/>
                    <w:widowControl/>
                    <w:spacing w:lineRule="exact" w:line="240" w:before="0" w:after="0"/>
                    <w:jc w:val="both"/>
                    <w:rPr>
                      <w:rFonts w:ascii="Times New Roman" w:hAnsi="Times New Roman" w:eastAsia="Times New Roman" w:cs="Times New Roman"/>
                      <w:b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>единицу, руб</w:t>
                  </w:r>
                </w:p>
              </w:tc>
              <w:tc>
                <w:tcPr>
                  <w:tcW w:w="2370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both"/>
                    <w:rPr>
                      <w:rFonts w:ascii="Times New Roman" w:hAnsi="Times New Roman" w:eastAsia="Times New Roman" w:cs="Times New Roman"/>
                      <w:b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>Причина невозможности использования</w:t>
                  </w:r>
                </w:p>
              </w:tc>
            </w:tr>
            <w:tr>
              <w:trPr/>
              <w:tc>
                <w:tcPr>
                  <w:tcW w:w="538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1</w:t>
                  </w:r>
                </w:p>
              </w:tc>
              <w:tc>
                <w:tcPr>
                  <w:tcW w:w="2359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center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ru-RU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ru-RU" w:eastAsia="en-US" w:bidi="ar-SA"/>
                    </w:rPr>
                    <w:t>1770989550924000080</w:t>
                  </w:r>
                </w:p>
                <w:p>
                  <w:pPr>
                    <w:pStyle w:val="Normal"/>
                    <w:widowControl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hyperlink r:id="rId2">
                    <w:r>
                      <w:rPr>
                        <w:rStyle w:val="Hyperlink"/>
                        <w:rFonts w:eastAsia="Calibri" w:cs=""/>
                        <w:kern w:val="0"/>
                        <w:sz w:val="22"/>
                        <w:szCs w:val="22"/>
                        <w:lang w:val="ru-RU" w:eastAsia="en-US" w:bidi="ar-SA"/>
                      </w:rPr>
                      <w:t>Карточка контракта</w:t>
                    </w:r>
                  </w:hyperlink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 xml:space="preserve"> </w:t>
                  </w:r>
                </w:p>
              </w:tc>
              <w:tc>
                <w:tcPr>
                  <w:tcW w:w="1067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center"/>
                    <w:rPr>
                      <w:rFonts w:ascii="Times New Roman" w:hAnsi="Times New Roman" w:eastAsia="Times New Roman" w:cs="Times New Roman"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>1 усл. ед</w:t>
                  </w:r>
                </w:p>
              </w:tc>
              <w:tc>
                <w:tcPr>
                  <w:tcW w:w="1745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Оплата по Контракту осуществляется Заказчиком ежеквартально по факту оказанных Исполнителем и принятых Заказчиком Услуг в соответствующем этапе в течение 7 (семи) рабочих дней с даты подписания Заказчиком Документа о приемке, в порядке, установленном разделом 5 настоящего Контракта, в безналичной форме, путем перечисления Заказчиком денежных средств на расчетный счет Исполнителя.</w:t>
                  </w:r>
                </w:p>
              </w:tc>
              <w:tc>
                <w:tcPr>
                  <w:tcW w:w="3020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center"/>
                    <w:rPr>
                      <w:rFonts w:ascii="Times New Roman" w:hAnsi="Times New Roman" w:eastAsia="Times New Roman" w:cs="Times New Roman"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>Исполнитель оказывает Услуги в соответствии с Описанием объекта закупки.</w:t>
                  </w:r>
                </w:p>
              </w:tc>
              <w:tc>
                <w:tcPr>
                  <w:tcW w:w="1245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center"/>
                    <w:rPr>
                      <w:rFonts w:ascii="Times New Roman" w:hAnsi="Times New Roman" w:eastAsia="Times New Roman" w:cs="Times New Roman"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>5%</w:t>
                  </w:r>
                </w:p>
              </w:tc>
              <w:tc>
                <w:tcPr>
                  <w:tcW w:w="1377" w:type="dxa"/>
                  <w:tcBorders/>
                </w:tcPr>
                <w:p>
                  <w:pPr>
                    <w:pStyle w:val="Normal"/>
                    <w:widowControl/>
                    <w:tabs>
                      <w:tab w:val="clear" w:pos="708"/>
                      <w:tab w:val="center" w:pos="580" w:leader="none"/>
                    </w:tabs>
                    <w:spacing w:lineRule="exact" w:line="240" w:before="0" w:after="0"/>
                    <w:jc w:val="left"/>
                    <w:rPr>
                      <w:rFonts w:ascii="Times New Roman" w:hAnsi="Times New Roman" w:eastAsia="Times New Roman" w:cs="Times New Roman"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themeColor="text1" w:val="000000"/>
                      <w:kern w:val="0"/>
                      <w:sz w:val="20"/>
                      <w:szCs w:val="20"/>
                      <w:lang w:val="ru-RU" w:eastAsia="en-US" w:bidi="ar-SA"/>
                    </w:rPr>
                    <w:tab/>
                    <w:t>13.10.2025</w:t>
                  </w:r>
                </w:p>
              </w:tc>
              <w:tc>
                <w:tcPr>
                  <w:tcW w:w="2216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center"/>
                    <w:rPr>
                      <w:rFonts w:ascii="Times New Roman" w:hAnsi="Times New Roman" w:eastAsia="Times New Roman" w:cs="Times New Roman"/>
                      <w:color w:themeColor="text1"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350 000,00</w:t>
                  </w:r>
                </w:p>
              </w:tc>
              <w:tc>
                <w:tcPr>
                  <w:tcW w:w="2370" w:type="dxa"/>
                  <w:tcBorders/>
                </w:tcPr>
                <w:p>
                  <w:pPr>
                    <w:pStyle w:val="Normal"/>
                    <w:widowControl/>
                    <w:spacing w:lineRule="exact" w:line="240" w:before="0" w:after="0"/>
                    <w:jc w:val="center"/>
                    <w:rPr>
                      <w:rFonts w:ascii="Times New Roman" w:hAnsi="Times New Roman" w:eastAsia="Times New Roman" w:cs="Times New Roman"/>
                      <w:color w:themeColor="text1" w:val="000000"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Условие оказания услуг и техническая часть, указанные в реестровой записи, а также условия оплаты не соответствуют техническому заданию.</w:t>
                  </w:r>
                  <w:bookmarkStart w:id="0" w:name="_GoBack"/>
                  <w:bookmarkEnd w:id="0"/>
                </w:p>
              </w:tc>
            </w:tr>
          </w:tbl>
          <w:p>
            <w:pPr>
              <w:pStyle w:val="Normal"/>
              <w:spacing w:before="0" w:after="200"/>
              <w:ind w:firstLine="708"/>
              <w:contextualSpacing/>
              <w:jc w:val="both"/>
              <w:rPr>
                <w:rFonts w:ascii="Times New Roman" w:hAnsi="Times New Roman" w:eastAsia="Times New Roman" w:cs="Times New Roman"/>
                <w:b/>
                <w:bCs/>
                <w:color w:val="0070C0"/>
              </w:rPr>
            </w:pPr>
            <w:r>
              <w:rPr>
                <w:rFonts w:eastAsia="Calibri" w:cs="Times New Roman" w:ascii="Times New Roman" w:hAnsi="Times New Roman"/>
              </w:rPr>
              <w:t>Осуществлен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</w:t>
            </w:r>
            <w:r>
              <w:rPr>
                <w:rFonts w:eastAsia="Calibri" w:cs="Times New Roman" w:ascii="Times New Roman" w:hAnsi="Times New Roman"/>
                <w:bCs/>
              </w:rPr>
              <w:t xml:space="preserve"> </w:t>
            </w:r>
            <w:r>
              <w:rPr>
                <w:rFonts w:eastAsia="Calibri" w:cs="Times New Roman" w:ascii="Times New Roman" w:hAnsi="Times New Roman"/>
              </w:rPr>
              <w:t>на оказание услуг с условиями, схожими с потребностями заказчика</w:t>
            </w:r>
            <w:r>
              <w:rPr>
                <w:rFonts w:eastAsia="Times New Roman" w:cs="Times New Roman" w:ascii="Times New Roman" w:hAnsi="Times New Roman"/>
              </w:rPr>
              <w:t>)</w:t>
            </w:r>
            <w:r>
              <w:rPr>
                <w:rFonts w:eastAsia="Calibri" w:cs="Times New Roman" w:ascii="Times New Roman" w:hAnsi="Times New Roman"/>
              </w:rPr>
              <w:t>:</w:t>
            </w:r>
          </w:p>
          <w:tbl>
            <w:tblPr>
              <w:tblStyle w:val="a3"/>
              <w:tblW w:w="1593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846"/>
              <w:gridCol w:w="10051"/>
              <w:gridCol w:w="5042"/>
            </w:tblGrid>
            <w:tr>
              <w:trPr/>
              <w:tc>
                <w:tcPr>
                  <w:tcW w:w="846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both"/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</w:r>
                </w:p>
              </w:tc>
              <w:tc>
                <w:tcPr>
                  <w:tcW w:w="10051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both"/>
                    <w:rPr>
                      <w:rFonts w:ascii="Times New Roman" w:hAnsi="Times New Roman" w:eastAsia="Calibri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b/>
                      <w:kern w:val="0"/>
                      <w:sz w:val="20"/>
                      <w:szCs w:val="20"/>
                      <w:lang w:val="ru-RU" w:eastAsia="en-US" w:bidi="ar-SA"/>
                    </w:rPr>
                    <w:t>Наименование источника</w:t>
                  </w:r>
                </w:p>
              </w:tc>
              <w:tc>
                <w:tcPr>
                  <w:tcW w:w="5042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both"/>
                    <w:rPr>
                      <w:rFonts w:ascii="Times New Roman" w:hAnsi="Times New Roman" w:eastAsia="Calibri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b/>
                      <w:kern w:val="0"/>
                      <w:sz w:val="20"/>
                      <w:szCs w:val="20"/>
                      <w:lang w:val="ru-RU" w:eastAsia="en-US" w:bidi="ar-SA"/>
                    </w:rPr>
                    <w:t>Причина невозможности использования</w:t>
                  </w:r>
                </w:p>
              </w:tc>
            </w:tr>
            <w:tr>
              <w:trPr/>
              <w:tc>
                <w:tcPr>
                  <w:tcW w:w="15939" w:type="dxa"/>
                  <w:gridSpan w:val="3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both"/>
                    <w:rPr>
                      <w:rFonts w:ascii="Times New Roman" w:hAnsi="Times New Roman" w:eastAsia="Calibri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b/>
                      <w:kern w:val="0"/>
                      <w:sz w:val="20"/>
                      <w:szCs w:val="20"/>
                      <w:lang w:val="ru-RU" w:eastAsia="en-US" w:bidi="ar-SA"/>
                    </w:rPr>
                  </w:r>
                </w:p>
              </w:tc>
            </w:tr>
            <w:tr>
              <w:trPr/>
              <w:tc>
                <w:tcPr>
                  <w:tcW w:w="846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both"/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1</w:t>
                  </w:r>
                </w:p>
              </w:tc>
              <w:tc>
                <w:tcPr>
                  <w:tcW w:w="10051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left"/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en-US" w:eastAsia="en-US" w:bidi="ar-SA"/>
                    </w:rPr>
                    <w:t>https</w:t>
                  </w: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://</w:t>
                  </w: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en-US" w:eastAsia="en-US" w:bidi="ar-SA"/>
                    </w:rPr>
                    <w:t>www</w:t>
                  </w: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.</w:t>
                  </w: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en-US" w:eastAsia="en-US" w:bidi="ar-SA"/>
                    </w:rPr>
                    <w:t>rss</w:t>
                  </w: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27.</w:t>
                  </w: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en-US" w:eastAsia="en-US" w:bidi="ar-SA"/>
                    </w:rPr>
                    <w:t>ru</w:t>
                  </w: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/</w:t>
                  </w:r>
                </w:p>
              </w:tc>
              <w:tc>
                <w:tcPr>
                  <w:tcW w:w="5042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both"/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Ценовая информация отсутствует</w:t>
                  </w:r>
                </w:p>
              </w:tc>
            </w:tr>
            <w:tr>
              <w:trPr/>
              <w:tc>
                <w:tcPr>
                  <w:tcW w:w="846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both"/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2</w:t>
                  </w:r>
                </w:p>
              </w:tc>
              <w:tc>
                <w:tcPr>
                  <w:tcW w:w="10051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http://www.</w:t>
                  </w: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en-US" w:eastAsia="en-US" w:bidi="ar-SA"/>
                    </w:rPr>
                    <w:t>rpart</w:t>
                  </w: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.ru/</w:t>
                  </w:r>
                </w:p>
              </w:tc>
              <w:tc>
                <w:tcPr>
                  <w:tcW w:w="5042" w:type="dxa"/>
                  <w:tcBorders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both"/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0"/>
                      <w:szCs w:val="20"/>
                      <w:lang w:val="ru-RU" w:eastAsia="en-US" w:bidi="ar-SA"/>
                    </w:rPr>
                    <w:t>Ценовая информация отсутствует</w:t>
                  </w:r>
                </w:p>
              </w:tc>
            </w:tr>
          </w:tbl>
          <w:p>
            <w:pPr>
              <w:pStyle w:val="Normal"/>
              <w:spacing w:lineRule="exact" w:line="240" w:before="0" w:after="200"/>
              <w:ind w:firstLine="771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65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firstLine="708"/>
              <w:contextualSpacing/>
              <w:jc w:val="both"/>
              <w:rPr>
                <w:rFonts w:ascii="Times New Roman" w:hAnsi="Times New Roman" w:eastAsia="Calibri" w:cs="Times New Roman"/>
                <w:color w:val="0070C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Направлены запросы о предоставлении ценовой информации 6 исполнителям, обладающим опытом оказания услуг по предоставлению канала доступа в сеть Интернет, информация о которых имеется в свободном доступе.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Получены ценовые предложения от 3 исполнителей.</w:t>
            </w:r>
          </w:p>
          <w:p>
            <w:pPr>
              <w:pStyle w:val="Normal"/>
              <w:widowControl/>
              <w:spacing w:lineRule="auto" w:line="240" w:before="0" w:after="0"/>
              <w:ind w:firstLine="708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 основании полученной ценовой информации осуществлен расчет начальной (максимальной) цены контракта: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1" w:name="_MON_1452692368"/>
      <w:bookmarkStart w:id="2" w:name="_MON_1452692368"/>
      <w:bookmarkEnd w:id="2"/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bookmarkStart w:id="3" w:name="_MON_1452692368"/>
      <w:bookmarkEnd w:id="3"/>
      <w:r>
        <w:rPr/>
        <w:object w:dxaOrig="17935" w:dyaOrig="2532">
          <v:shapetype id="_x0000_tole_rId3" coordsize="21600,21600" o:spt="ole_rId3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3" type="_x0000_tole_rId3" style="width:852pt;height:133pt;mso-wrap-distance-right:0pt" filled="f" o:ole="">
            <v:imagedata r:id="rId4" o:title=""/>
          </v:shape>
          <o:OLEObject Type="Embed" ProgID="Excel.Sheet.12" ShapeID="ole_rId3" DrawAspect="Content" ObjectID="_531285418" r:id="rId3"/>
        </w:objec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По результатам расчетов начальная максимальная цена контракта составила 582 286 рублей 67 коп.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Предложение 1 – №</w:t>
      </w:r>
      <w:r>
        <w:rPr>
          <w:rFonts w:cs="Times New Roman" w:ascii="Times New Roman" w:hAnsi="Times New Roman"/>
        </w:rPr>
        <w:t>85/1</w:t>
      </w:r>
      <w:r>
        <w:rPr>
          <w:rFonts w:cs="Times New Roman" w:ascii="Times New Roman" w:hAnsi="Times New Roman"/>
        </w:rPr>
        <w:t xml:space="preserve"> от </w:t>
      </w:r>
      <w:r>
        <w:rPr>
          <w:rFonts w:cs="Times New Roman" w:ascii="Times New Roman" w:hAnsi="Times New Roman"/>
        </w:rPr>
        <w:t>10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</w:rPr>
        <w:t>06</w:t>
      </w:r>
      <w:r>
        <w:rPr>
          <w:rFonts w:cs="Times New Roman" w:ascii="Times New Roman" w:hAnsi="Times New Roman"/>
        </w:rPr>
        <w:t>.202</w:t>
      </w:r>
      <w:r>
        <w:rPr>
          <w:rFonts w:cs="Times New Roman" w:ascii="Times New Roman" w:hAnsi="Times New Roman"/>
        </w:rPr>
        <w:t>6</w:t>
      </w:r>
      <w:r>
        <w:rPr>
          <w:rFonts w:cs="Times New Roman" w:ascii="Times New Roman" w:hAnsi="Times New Roman"/>
        </w:rPr>
        <w:t>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Предложение 2 –№</w:t>
      </w:r>
      <w:r>
        <w:rPr>
          <w:rFonts w:cs="Times New Roman" w:ascii="Times New Roman" w:hAnsi="Times New Roman"/>
        </w:rPr>
        <w:t>382</w:t>
      </w:r>
      <w:r>
        <w:rPr>
          <w:rFonts w:cs="Times New Roman" w:ascii="Times New Roman" w:hAnsi="Times New Roman"/>
        </w:rPr>
        <w:t xml:space="preserve"> от </w:t>
      </w:r>
      <w:r>
        <w:rPr>
          <w:rFonts w:cs="Times New Roman" w:ascii="Times New Roman" w:hAnsi="Times New Roman"/>
        </w:rPr>
        <w:t>1</w:t>
      </w:r>
      <w:r>
        <w:rPr>
          <w:rFonts w:cs="Times New Roman" w:ascii="Times New Roman" w:hAnsi="Times New Roman"/>
        </w:rPr>
        <w:t>0.</w:t>
      </w:r>
      <w:r>
        <w:rPr>
          <w:rFonts w:cs="Times New Roman" w:ascii="Times New Roman" w:hAnsi="Times New Roman"/>
        </w:rPr>
        <w:t>06</w:t>
      </w:r>
      <w:r>
        <w:rPr>
          <w:rFonts w:cs="Times New Roman" w:ascii="Times New Roman" w:hAnsi="Times New Roman"/>
        </w:rPr>
        <w:t>.202</w:t>
      </w:r>
      <w:r>
        <w:rPr>
          <w:rFonts w:cs="Times New Roman" w:ascii="Times New Roman" w:hAnsi="Times New Roman"/>
        </w:rPr>
        <w:t>6</w:t>
      </w:r>
      <w:r>
        <w:rPr>
          <w:rFonts w:cs="Times New Roman" w:ascii="Times New Roman" w:hAnsi="Times New Roman"/>
        </w:rPr>
        <w:t>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Предложение 3 – №</w:t>
      </w:r>
      <w:r>
        <w:rPr>
          <w:rFonts w:cs="Times New Roman" w:ascii="Times New Roman" w:hAnsi="Times New Roman"/>
        </w:rPr>
        <w:t>126</w:t>
      </w:r>
      <w:r>
        <w:rPr>
          <w:rFonts w:cs="Times New Roman" w:ascii="Times New Roman" w:hAnsi="Times New Roman"/>
        </w:rPr>
        <w:t xml:space="preserve"> от </w:t>
      </w:r>
      <w:r>
        <w:rPr>
          <w:rFonts w:cs="Times New Roman" w:ascii="Times New Roman" w:hAnsi="Times New Roman"/>
        </w:rPr>
        <w:t>1</w:t>
      </w:r>
      <w:r>
        <w:rPr>
          <w:rFonts w:cs="Times New Roman" w:ascii="Times New Roman" w:hAnsi="Times New Roman"/>
        </w:rPr>
        <w:t>0.</w:t>
      </w:r>
      <w:r>
        <w:rPr>
          <w:rFonts w:cs="Times New Roman" w:ascii="Times New Roman" w:hAnsi="Times New Roman"/>
        </w:rPr>
        <w:t>06</w:t>
      </w:r>
      <w:r>
        <w:rPr>
          <w:rFonts w:cs="Times New Roman" w:ascii="Times New Roman" w:hAnsi="Times New Roman"/>
        </w:rPr>
        <w:t>.202</w:t>
      </w:r>
      <w:r>
        <w:rPr>
          <w:rFonts w:cs="Times New Roman" w:ascii="Times New Roman" w:hAnsi="Times New Roman"/>
        </w:rPr>
        <w:t>6</w:t>
      </w:r>
      <w:r>
        <w:rPr>
          <w:rFonts w:cs="Times New Roman" w:ascii="Times New Roman" w:hAnsi="Times New Roman"/>
        </w:rPr>
        <w:t>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Исполнитель: Лотаков Алексей Анатольевич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Дата подготовки обоснования начальной (максимальной) цены контракта: </w:t>
      </w:r>
      <w:r>
        <w:rPr>
          <w:rFonts w:cs="Times New Roman" w:ascii="Times New Roman" w:hAnsi="Times New Roman"/>
        </w:rPr>
        <w:t>15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</w:rPr>
        <w:t>06</w:t>
      </w:r>
      <w:r>
        <w:rPr>
          <w:rFonts w:cs="Times New Roman" w:ascii="Times New Roman" w:hAnsi="Times New Roman"/>
        </w:rPr>
        <w:t>.202</w:t>
      </w:r>
      <w:r>
        <w:rPr>
          <w:rFonts w:cs="Times New Roman" w:ascii="Times New Roman" w:hAnsi="Times New Roman"/>
        </w:rPr>
        <w:t>6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Ф.И.О. контрактного управляющего (сотрудника контрактной службы): Слюсаренко Л.А.</w:t>
      </w:r>
    </w:p>
    <w:sectPr>
      <w:type w:val="nextPage"/>
      <w:pgSz w:orient="landscape" w:w="16838" w:h="11906"/>
      <w:pgMar w:left="238" w:right="244" w:gutter="0" w:header="0" w:top="567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61faf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c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4589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5b9e"/>
    <w:rPr>
      <w:color w:themeColor="followedHyperlink" w:val="8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"/>
    </w:rPr>
  </w:style>
  <w:style w:type="paragraph" w:styleId="ListParagraph">
    <w:name w:val="List Paragraph"/>
    <w:basedOn w:val="Normal"/>
    <w:uiPriority w:val="34"/>
    <w:qFormat/>
    <w:rsid w:val="00ea22a8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c2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akupki.gov.ru/epz/contract/contractCard/common-info.html?reestrNumber=1770989550924000080" TargetMode="External"/><Relationship Id="rId3" Type="http://schemas.openxmlformats.org/officeDocument/2006/relationships/package" Target="embeddings/oleObject1.xlsx"/><Relationship Id="rId4" Type="http://schemas.openxmlformats.org/officeDocument/2006/relationships/image" Target="media/image1.emf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LibreOffice/24.8.4.1$Linux_X86_64 LibreOffice_project/480$Build-1</Application>
  <AppVersion>15.0000</AppVersion>
  <Pages>2</Pages>
  <Words>400</Words>
  <Characters>2993</Characters>
  <CharactersWithSpaces>3355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2024-01-31T04:07:00Z</dcterms:created>
  <dc:creator>Карпов Юрий Владимирович</dc:creator>
  <dc:description/>
  <dc:language>ru-RU</dc:language>
  <cp:lastModifiedBy/>
  <cp:lastPrinted>2020-12-18T02:01:00Z</cp:lastPrinted>
  <dcterms:modified xsi:type="dcterms:W3CDTF">2026-06-15T11:58:27Z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