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/>
        </w:rPr>
      </w:pPr>
      <w:r>
        <w:rPr>
          <w:b/>
        </w:rPr>
        <w:t xml:space="preserve">ПРОЕКТ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ДОГОВОР</w:t>
      </w:r>
      <w:r>
        <w:rPr>
          <w:b/>
        </w:rPr>
        <w:t xml:space="preserve"> № </w:t>
      </w:r>
      <w:r>
        <w:rPr>
          <w:b/>
        </w:rPr>
        <w:t xml:space="preserve">_____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  <w:t xml:space="preserve">Приобретение информационных табличек</w:t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>
        <w:tblPrEx/>
        <w:trPr/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pPr>
              <w:jc w:val="both"/>
            </w:pPr>
            <w:r>
              <w:t xml:space="preserve">г. Чита                                                                                      </w:t>
            </w:r>
            <w:r/>
          </w:p>
        </w:tc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pPr>
              <w:jc w:val="right"/>
            </w:pPr>
            <w:r>
              <w:t xml:space="preserve">«     » ____________ 20</w:t>
            </w:r>
            <w:r>
              <w:t xml:space="preserve">26</w:t>
            </w:r>
            <w:r>
              <w:t xml:space="preserve"> г.</w:t>
            </w:r>
            <w:r/>
          </w:p>
        </w:tc>
      </w:tr>
    </w:tbl>
    <w:p>
      <w:pPr>
        <w:jc w:val="both"/>
        <w:rPr>
          <w:spacing w:val="9"/>
        </w:rPr>
      </w:pPr>
      <w:r>
        <w:rPr>
          <w:spacing w:val="9"/>
        </w:rPr>
      </w:r>
      <w:r>
        <w:rPr>
          <w:spacing w:val="9"/>
        </w:rPr>
      </w:r>
      <w:r>
        <w:rPr>
          <w:spacing w:val="9"/>
        </w:rPr>
      </w:r>
    </w:p>
    <w:p>
      <w:pPr>
        <w:jc w:val="both"/>
        <w:widowControl w:val="off"/>
      </w:pPr>
      <w:r>
        <w:t xml:space="preserve">Управление Федеральной службы государственной регистрации, кадастра и картографии по Забайкальскому краю, именуемое в дальнейшем «Заказчик», в лице</w:t>
      </w:r>
      <w:r>
        <w:t xml:space="preserve"> </w:t>
      </w:r>
      <w:r>
        <w:t xml:space="preserve">руководителя Управления </w:t>
      </w:r>
      <w:r>
        <w:t xml:space="preserve">Крыловой Оксаны Сергеевны</w:t>
      </w:r>
      <w:r>
        <w:t xml:space="preserve">, действующе</w:t>
      </w:r>
      <w:r>
        <w:t xml:space="preserve">й</w:t>
      </w:r>
      <w:r>
        <w:t xml:space="preserve"> на основании Приказа Росреестр</w:t>
      </w:r>
      <w:r>
        <w:t xml:space="preserve">а</w:t>
      </w:r>
      <w:r>
        <w:t xml:space="preserve"> от </w:t>
      </w:r>
      <w:r>
        <w:t xml:space="preserve">14</w:t>
      </w:r>
      <w:r>
        <w:t xml:space="preserve">.0</w:t>
      </w:r>
      <w:r>
        <w:t xml:space="preserve">3</w:t>
      </w:r>
      <w:r>
        <w:t xml:space="preserve">.202</w:t>
      </w:r>
      <w:r>
        <w:t xml:space="preserve">5</w:t>
      </w:r>
      <w:r>
        <w:t xml:space="preserve"> г. № </w:t>
      </w:r>
      <w:r>
        <w:t xml:space="preserve">55</w:t>
      </w:r>
      <w:r>
        <w:t xml:space="preserve">-к</w:t>
      </w:r>
      <w:r>
        <w:t xml:space="preserve">, и __________________, именуемый в дальнейшем «</w:t>
      </w:r>
      <w:r>
        <w:t xml:space="preserve">Поставщик</w:t>
      </w:r>
      <w:r>
        <w:t xml:space="preserve">», в лице __________________, действующего на основании __________________, с другой стороны, вместе именуемые в дальнейшем «Стороны», на основании __________________ заключили настоящий государственный контракт (далее – Контракт) о нижеследующем.</w:t>
      </w:r>
      <w:r/>
    </w:p>
    <w:p>
      <w:pPr>
        <w:ind w:firstLine="357"/>
        <w:jc w:val="both"/>
      </w:pPr>
      <w:r/>
      <w:r/>
    </w:p>
    <w:p>
      <w:pPr>
        <w:jc w:val="center"/>
        <w:rPr>
          <w:b/>
        </w:rPr>
      </w:pPr>
      <w:r>
        <w:rPr>
          <w:b/>
        </w:rPr>
        <w:t xml:space="preserve">1. </w:t>
      </w:r>
      <w:r>
        <w:rPr>
          <w:b/>
        </w:rPr>
        <w:t xml:space="preserve">ПРЕДМЕТ </w:t>
      </w:r>
      <w:r>
        <w:rPr>
          <w:b/>
        </w:rPr>
        <w:t xml:space="preserve">ДОГОВОР</w:t>
      </w:r>
      <w:r>
        <w:rPr>
          <w:b/>
        </w:rPr>
        <w:t xml:space="preserve">А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tabs>
          <w:tab w:val="left" w:pos="357" w:leader="none"/>
          <w:tab w:val="left" w:pos="10205" w:leader="none"/>
        </w:tabs>
        <w:rPr>
          <w:highlight w:val="none"/>
        </w:rPr>
      </w:pPr>
      <w:r>
        <w:t xml:space="preserve">1.1. </w:t>
      </w:r>
      <w:r>
        <w:t xml:space="preserve">Поставщик</w:t>
      </w:r>
      <w:r>
        <w:t xml:space="preserve"> обязуется </w:t>
      </w:r>
      <w:r>
        <w:t xml:space="preserve">поставить </w:t>
      </w:r>
      <w:r>
        <w:t xml:space="preserve">информационные таблички</w:t>
      </w:r>
      <w:r>
        <w:t xml:space="preserve"> </w:t>
      </w:r>
      <w:r>
        <w:t xml:space="preserve">(далее – </w:t>
      </w:r>
      <w:r>
        <w:t xml:space="preserve">Товар</w:t>
      </w:r>
      <w:r>
        <w:t xml:space="preserve">) в соответствии с Техническим заданием</w:t>
      </w:r>
      <w:r>
        <w:t xml:space="preserve"> (Приложение № 1 к настоящему </w:t>
      </w:r>
      <w:r>
        <w:t xml:space="preserve">Договор</w:t>
      </w:r>
      <w:r>
        <w:t xml:space="preserve">у), а Заказчик обязуется принять и оплатить.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-2" w:firstLine="283"/>
        <w:jc w:val="both"/>
      </w:pPr>
      <w:r>
        <w:t xml:space="preserve">1.2. В состав выполняемых работ входит:</w:t>
      </w:r>
      <w:r/>
    </w:p>
    <w:p>
      <w:pPr>
        <w:ind w:left="0" w:right="-2" w:firstLine="283"/>
        <w:jc w:val="both"/>
        <w:rPr>
          <w:highlight w:val="white"/>
          <w14:ligatures w14:val="none"/>
        </w:rPr>
      </w:pPr>
      <w:r>
        <w:t xml:space="preserve">1.2.</w:t>
      </w:r>
      <w:r>
        <w:t xml:space="preserve">1 </w:t>
      </w:r>
      <w:r>
        <w:t xml:space="preserve">Согласование материалов для производства продукции, изготовление продукции, поставка продукции Заказчику, погрузочно-разгрузочные раб</w:t>
      </w:r>
      <w:r>
        <w:rPr>
          <w:highlight w:val="white"/>
        </w:rPr>
        <w:t xml:space="preserve">оты, </w:t>
      </w:r>
      <w:r>
        <w:rPr>
          <w:highlight w:val="white"/>
        </w:rPr>
        <w:t xml:space="preserve">монтаж (согласно </w:t>
      </w:r>
      <w:r>
        <w:rPr>
          <w:highlight w:val="white"/>
        </w:rPr>
        <w:t xml:space="preserve">Приложению № 1 к настоящему </w:t>
      </w:r>
      <w:r>
        <w:rPr>
          <w:highlight w:val="white"/>
        </w:rPr>
        <w:t xml:space="preserve">Договор</w:t>
      </w:r>
      <w:r>
        <w:rPr>
          <w:highlight w:val="white"/>
        </w:rPr>
        <w:t xml:space="preserve">у</w:t>
      </w:r>
      <w:r>
        <w:rPr>
          <w:highlight w:val="white"/>
        </w:rPr>
        <w:t xml:space="preserve">).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left="0" w:right="-2" w:firstLine="283"/>
        <w:jc w:val="both"/>
        <w:rPr>
          <w:b/>
          <w:bCs/>
          <w:highlight w:val="none"/>
          <w14:ligatures w14:val="none"/>
        </w:rPr>
      </w:pPr>
      <w:r>
        <w:t xml:space="preserve">1.2.</w:t>
      </w:r>
      <w:r>
        <w:t xml:space="preserve">2 </w:t>
      </w:r>
      <w:r>
        <w:t xml:space="preserve">Согласование с Заказчиком макетов </w:t>
      </w:r>
      <w:r>
        <w:t xml:space="preserve">таблиц с учетом требований брендбука.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ind w:left="0" w:right="-2" w:firstLine="283"/>
        <w:jc w:val="both"/>
        <w:rPr>
          <w:b/>
          <w:bCs/>
          <w14:ligatures w14:val="none"/>
        </w:rPr>
      </w:pPr>
      <w:r>
        <w:rPr>
          <w:b/>
          <w:highlight w:val="none"/>
        </w:rPr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jc w:val="center"/>
        <w:rPr>
          <w:b/>
        </w:rPr>
      </w:pPr>
      <w:r>
        <w:rPr>
          <w:b/>
        </w:rPr>
        <w:t xml:space="preserve">2. ЦЕНА И ПОРЯДОК РАСЧЕТОВ</w:t>
      </w:r>
      <w:r>
        <w:rPr>
          <w:b/>
        </w:rPr>
      </w:r>
      <w:r>
        <w:rPr>
          <w:b/>
        </w:rPr>
      </w:r>
    </w:p>
    <w:p>
      <w:pPr>
        <w:ind w:firstLine="357"/>
        <w:jc w:val="both"/>
      </w:pPr>
      <w:r>
        <w:t xml:space="preserve">2.1. </w:t>
      </w:r>
      <w:r>
        <w:t xml:space="preserve">Цена </w:t>
      </w:r>
      <w:r>
        <w:t xml:space="preserve">Договор</w:t>
      </w:r>
      <w:r>
        <w:t xml:space="preserve">а</w:t>
      </w:r>
      <w:r>
        <w:t xml:space="preserve"> </w:t>
      </w:r>
      <w:r>
        <w:t xml:space="preserve">составляет _____________ (_____) рублей __ копеек, в том числе НДС _____ (_____) рублей _____ копеек. (НДС не облагается)</w:t>
      </w:r>
      <w:r>
        <w:rPr>
          <w:vertAlign w:val="superscript"/>
        </w:rPr>
        <w:footnoteReference w:id="2"/>
      </w:r>
      <w:r>
        <w:t xml:space="preserve">.</w:t>
      </w:r>
      <w:r/>
    </w:p>
    <w:p>
      <w:pPr>
        <w:ind w:firstLine="357"/>
        <w:jc w:val="both"/>
        <w:rPr>
          <w:rFonts w:eastAsia="Calibri"/>
        </w:rPr>
      </w:pPr>
      <w:r>
        <w:rPr>
          <w:rFonts w:eastAsia="Calibri"/>
        </w:rPr>
        <w:t xml:space="preserve">2.</w:t>
      </w:r>
      <w:r>
        <w:rPr>
          <w:rFonts w:eastAsia="Calibri"/>
        </w:rPr>
        <w:t xml:space="preserve">2</w:t>
      </w:r>
      <w:r>
        <w:rPr>
          <w:rFonts w:eastAsia="Calibri"/>
        </w:rPr>
        <w:t xml:space="preserve">. Цена </w:t>
      </w:r>
      <w:r>
        <w:rPr>
          <w:rFonts w:eastAsia="Calibri"/>
        </w:rPr>
        <w:t xml:space="preserve">Договор</w:t>
      </w:r>
      <w:r>
        <w:rPr>
          <w:rFonts w:eastAsia="Calibri"/>
        </w:rPr>
        <w:t xml:space="preserve">а является твердой и не может изменяться в ходе его исполнения, за исключением случаев, установленных </w:t>
      </w:r>
      <w:r>
        <w:t xml:space="preserve">ч.</w:t>
      </w:r>
      <w:r>
        <w:t xml:space="preserve">1 ст</w:t>
      </w:r>
      <w:r>
        <w:t xml:space="preserve">.</w:t>
      </w:r>
      <w:r>
        <w:t xml:space="preserve">95</w:t>
      </w:r>
      <w:r>
        <w:rPr>
          <w:rFonts w:eastAsia="Calibri"/>
        </w:rPr>
        <w:t xml:space="preserve"> Федерального закона № 44-ФЗ.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2.</w:t>
      </w:r>
      <w:r>
        <w:t xml:space="preserve">3</w:t>
      </w:r>
      <w:r>
        <w:t xml:space="preserve">. </w:t>
      </w:r>
      <w:r>
        <w:t xml:space="preserve">Цена настоящего </w:t>
      </w:r>
      <w:r>
        <w:t xml:space="preserve">Договор</w:t>
      </w:r>
      <w:r>
        <w:t xml:space="preserve">а формируется с учетом всех расходов, в том числе с уплатой всех пошлин, налогов и иных платежей в соответствии с законодательством</w:t>
      </w:r>
      <w:r>
        <w:t xml:space="preserve"> Российской Федерации и пункта 2</w:t>
      </w:r>
      <w:r>
        <w:t xml:space="preserve">.1 настоящего </w:t>
      </w:r>
      <w:r>
        <w:t xml:space="preserve">Договор</w:t>
      </w:r>
      <w:r>
        <w:t xml:space="preserve">а</w:t>
      </w:r>
      <w:r>
        <w:t xml:space="preserve">.</w:t>
      </w:r>
      <w:r/>
    </w:p>
    <w:p>
      <w:pPr>
        <w:ind w:firstLine="357"/>
        <w:jc w:val="both"/>
        <w:shd w:val="clear" w:color="ffffff" w:themeColor="background1" w:fill="ffffff" w:themeFill="background1"/>
        <w:widowControl w:val="off"/>
        <w:rPr>
          <w:highlight w:val="white"/>
        </w:rPr>
      </w:pPr>
      <w:r/>
      <w:bookmarkStart w:id="0" w:name="undefined"/>
      <w:r/>
      <w:bookmarkEnd w:id="0"/>
      <w:r>
        <w:t xml:space="preserve">2.</w:t>
      </w:r>
      <w:r>
        <w:t xml:space="preserve">4</w:t>
      </w:r>
      <w:r>
        <w:t xml:space="preserve">. </w:t>
      </w:r>
      <w:r>
        <w:t xml:space="preserve">Источник финансирования </w:t>
      </w:r>
      <w:r>
        <w:t xml:space="preserve">Договор</w:t>
      </w:r>
      <w:r>
        <w:t xml:space="preserve">а – Федеральный бюджет</w:t>
      </w:r>
      <w:r>
        <w:rPr>
          <w:highlight w:val="white"/>
        </w:rPr>
        <w:t xml:space="preserve"> </w:t>
      </w:r>
      <w:r>
        <w:rPr>
          <w:highlight w:val="white"/>
        </w:rPr>
        <w:t xml:space="preserve">(по главе 321, разделу 04, подразделу 12, целев</w:t>
      </w:r>
      <w:r>
        <w:rPr>
          <w:highlight w:val="white"/>
        </w:rPr>
        <w:t xml:space="preserve">ой статье расходов 54 4 01 900</w:t>
      </w:r>
      <w:r>
        <w:rPr>
          <w:highlight w:val="white"/>
        </w:rPr>
        <w:t xml:space="preserve">20</w:t>
      </w:r>
      <w:r>
        <w:rPr>
          <w:highlight w:val="white"/>
        </w:rPr>
        <w:t xml:space="preserve">, виду расходов 24</w:t>
      </w:r>
      <w:r>
        <w:rPr>
          <w:highlight w:val="white"/>
        </w:rPr>
        <w:t xml:space="preserve">4</w:t>
      </w:r>
      <w:r>
        <w:rPr>
          <w:highlight w:val="white"/>
        </w:rPr>
        <w:t xml:space="preserve">).</w:t>
      </w:r>
      <w:r>
        <w:rPr>
          <w:highlight w:val="white"/>
        </w:rPr>
      </w:r>
      <w:r>
        <w:rPr>
          <w:highlight w:val="white"/>
        </w:rPr>
      </w:r>
    </w:p>
    <w:p>
      <w:pPr>
        <w:ind w:firstLine="357"/>
        <w:jc w:val="both"/>
        <w:shd w:val="clear" w:color="ffffff" w:themeColor="background1" w:fill="ffffff" w:themeFill="background1"/>
        <w:widowControl w:val="off"/>
      </w:pPr>
      <w:r>
        <w:t xml:space="preserve">2.5</w:t>
      </w:r>
      <w:r>
        <w:t xml:space="preserve">. </w:t>
      </w:r>
      <w:r>
        <w:t xml:space="preserve">Оплата осуществляется Заказчиком без авансового платежа не позднее 1</w:t>
      </w:r>
      <w:r>
        <w:t xml:space="preserve">0</w:t>
      </w:r>
      <w:r>
        <w:t xml:space="preserve"> (</w:t>
      </w:r>
      <w:r>
        <w:t xml:space="preserve">Десяти</w:t>
      </w:r>
      <w:r>
        <w:t xml:space="preserve">) рабочих дней с даты подписания Заказчиком </w:t>
      </w:r>
      <w:r>
        <w:t xml:space="preserve">документа о приемке</w:t>
      </w:r>
      <w:r>
        <w:t xml:space="preserve">.</w:t>
      </w:r>
      <w:r/>
    </w:p>
    <w:p>
      <w:pPr>
        <w:contextualSpacing/>
        <w:jc w:val="both"/>
        <w:shd w:val="clear" w:color="ffffff" w:themeColor="background1" w:fill="ffffff" w:themeFill="background1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contextualSpacing/>
        <w:jc w:val="center"/>
        <w:shd w:val="clear" w:color="ffffff" w:themeColor="background1" w:fill="ffffff" w:themeFill="background1"/>
        <w:rPr>
          <w:b/>
          <w:bCs/>
        </w:rPr>
      </w:pPr>
      <w:r>
        <w:rPr>
          <w:b/>
          <w:bCs/>
        </w:rPr>
        <w:t xml:space="preserve">3. </w:t>
      </w:r>
      <w:r>
        <w:rPr>
          <w:b/>
        </w:rPr>
        <w:t xml:space="preserve">СРОКИ И ПОРЯДОК ПРИЕМКИ</w:t>
      </w:r>
      <w:r>
        <w:rPr>
          <w:b/>
          <w:bCs/>
        </w:rPr>
      </w:r>
      <w:r>
        <w:rPr>
          <w:b/>
          <w:bCs/>
        </w:rPr>
      </w:r>
    </w:p>
    <w:p>
      <w:pPr>
        <w:pStyle w:val="737"/>
        <w:ind w:firstLine="357"/>
        <w:jc w:val="both"/>
        <w:shd w:val="clear" w:color="ffffff" w:themeColor="background1" w:fill="ffffff" w:themeFill="background1"/>
        <w:widowControl w:val="off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поставки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в течение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30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тридцать) календарных</w:t>
      </w:r>
      <w:r>
        <w:rPr>
          <w:rFonts w:ascii="Times New Roman" w:hAnsi="Times New Roman"/>
          <w:sz w:val="24"/>
          <w:szCs w:val="24"/>
        </w:rPr>
        <w:t xml:space="preserve"> дней с даты подписания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ind w:left="0" w:right="-2" w:firstLine="283"/>
        <w:jc w:val="both"/>
        <w:shd w:val="clear" w:color="ffffff" w:themeColor="background1" w:fill="ffffff" w:themeFill="background1"/>
      </w:pPr>
      <w:r>
        <w:t xml:space="preserve">3.</w:t>
      </w:r>
      <w:r>
        <w:t xml:space="preserve">2</w:t>
      </w:r>
      <w:r>
        <w:t xml:space="preserve">. </w:t>
      </w:r>
      <w:r>
        <w:t xml:space="preserve">Место поставки</w:t>
      </w:r>
      <w:r>
        <w:t xml:space="preserve">: 672039, Забайкальский край, г. Чита, ул. Амурская, д. 15 (далее – место доставки) </w:t>
      </w:r>
      <w:r>
        <w:t xml:space="preserve">с 08-00 до 17-00</w:t>
      </w:r>
      <w:r>
        <w:t xml:space="preserve">.</w:t>
      </w:r>
      <w:r>
        <w:t xml:space="preserve"> </w:t>
      </w:r>
      <w:r/>
    </w:p>
    <w:p>
      <w:pPr>
        <w:ind w:left="0" w:right="-2" w:firstLine="283"/>
        <w:jc w:val="both"/>
        <w:shd w:val="clear" w:color="ffffff" w:themeColor="background1" w:fill="ffffff" w:themeFill="background1"/>
      </w:pPr>
      <w:r>
        <w:t xml:space="preserve">Поставщик</w:t>
      </w:r>
      <w:r>
        <w:t xml:space="preserve"> не позднее чем за 1 (один) рабочий день согласовывает точную дату и время доставки с Заказчиком. Доставка изготовленной продукции осуществляется средствами Поставщика.</w:t>
      </w:r>
      <w:r/>
    </w:p>
    <w:p>
      <w:pPr>
        <w:ind w:firstLine="357"/>
        <w:jc w:val="both"/>
        <w:shd w:val="clear" w:color="ffffff" w:themeColor="background1" w:fill="ffffff" w:themeFill="background1"/>
        <w:widowControl w:val="off"/>
      </w:pPr>
      <w:r>
        <w:t xml:space="preserve">3.</w:t>
      </w:r>
      <w:r>
        <w:t xml:space="preserve">3</w:t>
      </w:r>
      <w:r>
        <w:t xml:space="preserve">. При отсутствии претензий к объему и качеству </w:t>
      </w:r>
      <w:r>
        <w:t xml:space="preserve">поставленного Товара</w:t>
      </w:r>
      <w:r>
        <w:t xml:space="preserve">, Заказчик (или уполномоченное лицо) в течение </w:t>
      </w:r>
      <w:r>
        <w:t xml:space="preserve">20 (Двадцати)</w:t>
      </w:r>
      <w:r>
        <w:t xml:space="preserve"> рабочих дней обязан подписать </w:t>
      </w:r>
      <w:r>
        <w:t xml:space="preserve">документ о приемке</w:t>
      </w:r>
      <w:r>
        <w:t xml:space="preserve">.</w:t>
      </w:r>
      <w:r/>
    </w:p>
    <w:p>
      <w:pPr>
        <w:ind w:firstLine="357"/>
        <w:jc w:val="both"/>
        <w:shd w:val="clear" w:color="ffffff" w:themeColor="background1" w:fill="ffffff" w:themeFill="background1"/>
        <w:widowControl w:val="off"/>
        <w:tabs>
          <w:tab w:val="left" w:pos="12392" w:leader="underscore"/>
        </w:tabs>
      </w:pPr>
      <w:r>
        <w:t xml:space="preserve">3.</w:t>
      </w:r>
      <w:r>
        <w:t xml:space="preserve">4</w:t>
      </w:r>
      <w:r>
        <w:t xml:space="preserve">. При наличии претензий к объему и/или качеству, Заказчик обязан оформить в письменном виде мотивированный отказ от подписания </w:t>
      </w:r>
      <w:r>
        <w:t xml:space="preserve">документа о приемке</w:t>
      </w:r>
      <w:r>
        <w:t xml:space="preserve"> и направить его в адрес </w:t>
      </w:r>
      <w:r>
        <w:t xml:space="preserve">Поставщика</w:t>
      </w:r>
      <w:r>
        <w:t xml:space="preserve"> не позднее 5 (пяти) рабочих дней со дня поступления </w:t>
      </w:r>
      <w:r>
        <w:t xml:space="preserve">документа о приемке</w:t>
      </w:r>
      <w:r>
        <w:t xml:space="preserve"> Заказчику.</w:t>
      </w:r>
      <w:r/>
    </w:p>
    <w:p>
      <w:pPr>
        <w:ind w:firstLine="357"/>
        <w:jc w:val="both"/>
        <w:widowControl w:val="off"/>
      </w:pPr>
      <w:r>
        <w:t xml:space="preserve">3.</w:t>
      </w:r>
      <w:r>
        <w:t xml:space="preserve">5</w:t>
      </w:r>
      <w:r>
        <w:t xml:space="preserve">. В случае мотивированного отказа Заказчика от подписания </w:t>
      </w:r>
      <w:r>
        <w:t xml:space="preserve">документа о приемке</w:t>
      </w:r>
      <w:r>
        <w:t xml:space="preserve">, сторонами составляется акт с перечнем необходимых доработок и сроков их выполнения за счет </w:t>
      </w:r>
      <w:r>
        <w:t xml:space="preserve">Поставщика</w:t>
      </w:r>
      <w:r>
        <w:t xml:space="preserve">.</w:t>
      </w:r>
      <w:r/>
    </w:p>
    <w:p>
      <w:pPr>
        <w:ind w:firstLine="357"/>
        <w:jc w:val="center"/>
        <w:widowControl w:val="off"/>
      </w:pPr>
      <w:r/>
      <w:r/>
    </w:p>
    <w:p>
      <w:pPr>
        <w:jc w:val="center"/>
        <w:widowControl w:val="off"/>
        <w:rPr>
          <w:b/>
        </w:rPr>
        <w:outlineLvl w:val="1"/>
      </w:pPr>
      <w:r>
        <w:rPr>
          <w:b/>
        </w:rPr>
        <w:t xml:space="preserve">4</w:t>
      </w:r>
      <w:r>
        <w:rPr>
          <w:b/>
        </w:rPr>
        <w:t xml:space="preserve">. ПРАВА И ОБЯЗАННОСТИ СТОРОН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widowControl w:val="off"/>
        <w:rPr>
          <w:b/>
        </w:rPr>
      </w:pPr>
      <w:r>
        <w:rPr>
          <w:b/>
        </w:rPr>
        <w:t xml:space="preserve">4.1. Поставщик обязан: </w:t>
      </w:r>
      <w:r>
        <w:rPr>
          <w:b/>
        </w:rPr>
      </w:r>
      <w:r>
        <w:rPr>
          <w:b/>
        </w:rPr>
      </w:r>
    </w:p>
    <w:p>
      <w:pPr>
        <w:ind w:left="0" w:right="0" w:firstLine="425"/>
        <w:jc w:val="both"/>
        <w:shd w:val="clear" w:color="auto" w:fill="auto"/>
        <w:rPr>
          <w:rFonts w:eastAsia="SimSun" w:cs="Mangal"/>
          <w:lang w:eastAsia="zh-CN" w:bidi="hi-IN"/>
          <w14:ligatures w14:val="none"/>
        </w:rPr>
      </w:pPr>
      <w:r>
        <w:rPr>
          <w:highlight w:val="none"/>
        </w:rPr>
        <w:t xml:space="preserve">4.1.1. </w:t>
      </w:r>
      <w:r>
        <w:rPr>
          <w:rFonts w:eastAsia="SimSun" w:cs="Mangal"/>
          <w:lang w:eastAsia="zh-CN" w:bidi="hi-IN"/>
        </w:rPr>
        <w:t xml:space="preserve">В течени</w:t>
      </w:r>
      <w:r>
        <w:rPr>
          <w:rFonts w:eastAsia="SimSun" w:cs="Mangal"/>
          <w:lang w:eastAsia="zh-CN" w:bidi="hi-IN"/>
        </w:rPr>
        <w:t xml:space="preserve">е </w:t>
      </w:r>
      <w:r>
        <w:rPr>
          <w:rFonts w:eastAsia="SimSun" w:cs="Mangal"/>
          <w:lang w:eastAsia="zh-CN" w:bidi="hi-IN"/>
        </w:rPr>
        <w:t xml:space="preserve">3</w:t>
      </w:r>
      <w:r>
        <w:rPr>
          <w:rFonts w:eastAsia="SimSun" w:cs="Mangal"/>
          <w:lang w:eastAsia="zh-CN" w:bidi="hi-IN"/>
        </w:rPr>
        <w:t xml:space="preserve"> </w:t>
      </w:r>
      <w:r>
        <w:rPr>
          <w:rFonts w:eastAsia="SimSun" w:cs="Mangal"/>
          <w:lang w:eastAsia="zh-CN" w:bidi="hi-IN"/>
        </w:rPr>
        <w:t xml:space="preserve">(трех) рабочих дне</w:t>
      </w:r>
      <w:r>
        <w:rPr>
          <w:rFonts w:eastAsia="SimSun" w:cs="Mangal"/>
          <w:lang w:eastAsia="zh-CN" w:bidi="hi-IN"/>
        </w:rPr>
        <w:t xml:space="preserve">й с момента заключения Договора </w:t>
      </w:r>
      <w:r>
        <w:rPr>
          <w:rFonts w:eastAsia="SimSun" w:cs="Mangal"/>
          <w:lang w:eastAsia="zh-CN" w:bidi="hi-IN"/>
        </w:rPr>
        <w:t xml:space="preserve">Поставщик</w:t>
      </w:r>
      <w:r>
        <w:rPr>
          <w:rFonts w:eastAsia="SimSun" w:cs="Mangal"/>
          <w:lang w:eastAsia="zh-CN" w:bidi="hi-IN"/>
        </w:rPr>
        <w:t xml:space="preserve"> присылает </w:t>
      </w:r>
      <w:r>
        <w:rPr>
          <w:rFonts w:eastAsia="SimSun" w:cs="Mangal"/>
          <w:lang w:eastAsia="zh-CN" w:bidi="hi-IN"/>
        </w:rPr>
        <w:t xml:space="preserve">образцы (фото/ макет/из</w:t>
      </w:r>
      <w:r>
        <w:rPr>
          <w:rFonts w:eastAsia="SimSun" w:cs="Mangal"/>
          <w:lang w:eastAsia="zh-CN" w:bidi="hi-IN"/>
        </w:rPr>
        <w:t xml:space="preserve">о</w:t>
      </w:r>
      <w:r>
        <w:rPr>
          <w:rFonts w:eastAsia="SimSun" w:cs="Mangal"/>
          <w:lang w:eastAsia="zh-CN" w:bidi="hi-IN"/>
        </w:rPr>
        <w:t xml:space="preserve">бражение)</w:t>
      </w:r>
      <w:r>
        <w:rPr>
          <w:rFonts w:eastAsia="SimSun" w:cs="Mangal"/>
          <w:lang w:eastAsia="zh-CN" w:bidi="hi-IN"/>
        </w:rPr>
        <w:t xml:space="preserve"> на согласование. Заказчик принимает на проверку, по необходимости вносит изменения, пи</w:t>
      </w:r>
      <w:r>
        <w:rPr>
          <w:rFonts w:eastAsia="SimSun" w:cs="Mangal"/>
          <w:lang w:eastAsia="zh-CN" w:bidi="hi-IN"/>
        </w:rPr>
        <w:t xml:space="preserve">сь</w:t>
      </w:r>
      <w:r>
        <w:rPr>
          <w:rFonts w:eastAsia="SimSun" w:cs="Mangal"/>
          <w:lang w:eastAsia="zh-CN" w:bidi="hi-IN"/>
        </w:rPr>
        <w:t xml:space="preserve">менно согласовывает и отправляет скан </w:t>
      </w:r>
      <w:r>
        <w:rPr>
          <w:rFonts w:eastAsia="SimSun" w:cs="Mangal"/>
          <w:lang w:eastAsia="zh-CN" w:bidi="hi-IN"/>
        </w:rPr>
        <w:t xml:space="preserve">Поставщику</w:t>
      </w:r>
      <w:r>
        <w:rPr>
          <w:rFonts w:eastAsia="SimSun" w:cs="Mangal"/>
          <w:lang w:eastAsia="zh-CN" w:bidi="hi-IN"/>
        </w:rPr>
        <w:t xml:space="preserve"> в течение </w:t>
      </w:r>
      <w:r>
        <w:rPr>
          <w:rFonts w:eastAsia="SimSun" w:cs="Mangal"/>
          <w:lang w:eastAsia="zh-CN" w:bidi="hi-IN"/>
        </w:rPr>
        <w:t xml:space="preserve">2</w:t>
      </w:r>
      <w:r>
        <w:rPr>
          <w:rFonts w:eastAsia="SimSun" w:cs="Mangal"/>
          <w:lang w:eastAsia="zh-CN" w:bidi="hi-IN"/>
        </w:rPr>
        <w:t xml:space="preserve"> (двух) рабочих дне</w:t>
      </w:r>
      <w:r>
        <w:rPr>
          <w:rFonts w:eastAsia="SimSun" w:cs="Mangal"/>
          <w:lang w:eastAsia="zh-CN" w:bidi="hi-IN"/>
        </w:rPr>
        <w:t xml:space="preserve">й</w:t>
      </w:r>
      <w:r>
        <w:rPr>
          <w:rFonts w:eastAsia="SimSun" w:cs="Mangal"/>
          <w:lang w:eastAsia="zh-CN" w:bidi="hi-IN"/>
        </w:rPr>
        <w:t xml:space="preserve">.</w:t>
      </w:r>
      <w:r>
        <w:rPr>
          <w:rFonts w:eastAsia="SimSun" w:cs="Mangal"/>
          <w:lang w:eastAsia="zh-CN" w:bidi="hi-IN"/>
        </w:rPr>
      </w:r>
      <w:r>
        <w:rPr>
          <w:rFonts w:eastAsia="SimSun" w:cs="Mangal"/>
          <w:lang w:eastAsia="zh-CN" w:bidi="hi-IN"/>
          <w14:ligatures w14:val="none"/>
        </w:rPr>
      </w:r>
    </w:p>
    <w:p>
      <w:pPr>
        <w:ind w:left="0" w:right="0" w:firstLine="425"/>
        <w:jc w:val="both"/>
        <w:shd w:val="clear" w:color="auto" w:fill="auto"/>
        <w:rPr>
          <w:highlight w:val="none"/>
        </w:rPr>
      </w:pPr>
      <w:r>
        <w:rPr>
          <w:rFonts w:eastAsia="SimSun" w:cs="Mangal"/>
          <w:lang w:eastAsia="zh-CN" w:bidi="hi-IN"/>
        </w:rPr>
      </w:r>
      <w:r>
        <w:rPr>
          <w:rFonts w:eastAsia="SimSun" w:cs="Mangal"/>
          <w:lang w:eastAsia="zh-CN" w:bidi="hi-IN"/>
        </w:rPr>
        <w:t xml:space="preserve">4.1.2. </w:t>
      </w:r>
      <w:r>
        <w:rPr>
          <w:rFonts w:eastAsia="SimSun" w:cs="Mangal"/>
          <w:lang w:eastAsia="zh-CN" w:bidi="hi-IN"/>
        </w:rPr>
        <w:t xml:space="preserve">Поставщик должен испо</w:t>
      </w:r>
      <w:r>
        <w:rPr>
          <w:highlight w:val="none"/>
        </w:rPr>
        <w:t xml:space="preserve">льзовать оборудование и материалы, сертифицированные и применяющиеся на территории Российской Федерации. </w:t>
      </w:r>
      <w:r>
        <w:rPr>
          <w:highlight w:val="none"/>
        </w:rPr>
      </w:r>
      <w:r>
        <w:rPr>
          <w:highlight w:val="none"/>
        </w:rPr>
      </w:r>
    </w:p>
    <w:p>
      <w:pPr>
        <w:ind w:firstLine="357"/>
        <w:jc w:val="both"/>
        <w:shd w:val="clear" w:color="ffffff" w:themeColor="background1" w:fill="ffffff" w:themeFill="background1"/>
        <w:widowControl w:val="off"/>
      </w:pPr>
      <w:r>
        <w:rPr>
          <w:highlight w:val="none"/>
        </w:rPr>
        <w:t xml:space="preserve">2.3. Подрядчик должен о</w:t>
      </w:r>
      <w:r>
        <w:rPr>
          <w:highlight w:val="none"/>
        </w:rPr>
        <w:t xml:space="preserve">б</w:t>
      </w:r>
      <w:r>
        <w:rPr>
          <w:highlight w:val="none"/>
        </w:rPr>
        <w:t xml:space="preserve">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</w:t>
      </w:r>
      <w:r>
        <w:rPr>
          <w:highlight w:val="none"/>
        </w:rPr>
        <w:t xml:space="preserve">Российской Федерации и Договором</w:t>
      </w:r>
      <w:r>
        <w:rPr>
          <w:highlight w:val="none"/>
        </w:rPr>
        <w:t xml:space="preserve">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2.4. Поставщик </w:t>
      </w:r>
      <w:r>
        <w:rPr>
          <w:highlight w:val="none"/>
        </w:rPr>
        <w:t xml:space="preserve"> несёт перед Заказчиком ответственность за ненадлежащее исполнение своих обязательств по выполнению условий Договора. </w:t>
      </w:r>
      <w:r>
        <w:rPr>
          <w:highlight w:val="none"/>
        </w:rPr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2.5. Поставщик вправе привлекать третьих лиц (субподрядчиков). При этом привлечение субподрядчиков должно быть согласовано с Заказчиком. В случае привлечения субподрядчиков к выполнению работ данные лица должны иметь действующие лицензии/сертиф</w:t>
      </w:r>
      <w:r>
        <w:rPr>
          <w:highlight w:val="none"/>
        </w:rPr>
        <w:t xml:space="preserve">икаты соответствия (если выполняемые ими работы подлежат обязательному лицензированию/ сертификации согласно законодательству РФ).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2.6. Поставщик несет ответственность перед Заказчиком за конечный результат работ, выполненных субподрядчиком. Контроль за качеством работ, выполняемых субподрядчиком, Подрядчик осуществляет самостоятельно.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2.7. Риск случайной гибели или случайного повреждения изготавливаемой и поставляемой продукции в ходе выполнения работ по Контракту, до приемки результатов выполненных работ Заказчиком, несет Поставщик.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2.8. Изготавливаемая и поставляемая продукция должна быть новой.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2.9. Поставщик поставляет изготовленную продукцию в соответствии с действующими нормативными актами и законодательством Российской Федерации.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2.10. Товар должен быть упакован. Упаковка должна обеспечить полную сохранность, предотвращать товар от повреждений при транспортировке различными видами транспорта, а также предохранять от атмосферных влияний. Упаковка не </w:t>
      </w:r>
      <w:r>
        <w:rPr>
          <w:highlight w:val="none"/>
        </w:rPr>
        <w:t xml:space="preserve">должна содержать вскрытий, вмятин, порезов. Упаковка и маркировка должна соответствовать требованиям действующих нормативных актов Российской Федерации. Упаковка продукции возврату Поставщику не подлежит.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</w:t>
      </w:r>
      <w:r>
        <w:rPr>
          <w:highlight w:val="none"/>
        </w:rPr>
        <w:t xml:space="preserve">.11. При обнаружении дефектов, в том числе связанных c неукомплектованностью поставленной продукции и невозможности их устранения на месте, продукция подлежит замене. Устранение производственных дефектов и доукомплектование производится Поставщиком в течен</w:t>
      </w:r>
      <w:r>
        <w:rPr>
          <w:highlight w:val="none"/>
        </w:rPr>
        <w:t xml:space="preserve">ие 5 (пяти) рабочих дней с даты заявления о них Заказчиком. </w:t>
      </w:r>
      <w:r/>
    </w:p>
    <w:p>
      <w:pPr>
        <w:ind w:firstLine="357"/>
        <w:jc w:val="both"/>
        <w:widowControl w:val="off"/>
      </w:pPr>
      <w:r>
        <w:rPr>
          <w:highlight w:val="none"/>
        </w:rPr>
        <w:t xml:space="preserve">2.12. Поставщик соблюдает правила действующего внутреннего распорядка, контрольно-пропускного режима и внутриобъектовый режим Заказчика, внутренние положения и инструкции (Заказчика).</w:t>
      </w:r>
      <w:r>
        <w:rPr>
          <w:highlight w:val="none"/>
        </w:rPr>
      </w:r>
      <w:r/>
    </w:p>
    <w:p>
      <w:pPr>
        <w:ind w:firstLine="357"/>
        <w:jc w:val="both"/>
        <w:widowControl w:val="off"/>
      </w:pPr>
      <w:r>
        <w:t xml:space="preserve">2.13. Постащик обяза</w:t>
      </w:r>
      <w:r>
        <w:t xml:space="preserve">н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  <w:r/>
    </w:p>
    <w:p>
      <w:pPr>
        <w:ind w:firstLine="357"/>
        <w:jc w:val="both"/>
        <w:widowControl w:val="off"/>
        <w:rPr>
          <w:b/>
        </w:rPr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End w:id="0"/>
      <w:r>
        <w:rPr>
          <w:b/>
        </w:rPr>
        <w:t xml:space="preserve">4.2. Поставщик вправе: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widowControl w:val="off"/>
      </w:pPr>
      <w:r>
        <w:t xml:space="preserve">4.2.1. требовать от Заказчика произвести приемку Товара в порядке и в сроки, предусмотренные Договором;</w:t>
      </w:r>
      <w:r/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r/>
    </w:p>
    <w:p>
      <w:pPr>
        <w:ind w:firstLine="357"/>
        <w:jc w:val="both"/>
        <w:widowControl w:val="off"/>
        <w:rPr>
          <w:b/>
        </w:rPr>
      </w:pPr>
      <w:r/>
      <w:bookmarkStart w:id="0" w:name="undefined"/>
      <w:r/>
      <w:bookmarkStart w:id="0" w:name="undefined"/>
      <w:r/>
      <w:bookmarkEnd w:id="0"/>
      <w:r>
        <w:rPr>
          <w:b/>
        </w:rPr>
        <w:t xml:space="preserve">4.3. Заказчик обязуется: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widowControl w:val="off"/>
      </w:pPr>
      <w:r>
        <w:t xml:space="preserve">4.3.1. обеспечить своевременную приемку и оплату поставленного Товара надлежащего качества в порядке и сроки, предусмотренные Договором; </w:t>
      </w:r>
      <w:r/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4.3.2.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</w:t>
      </w:r>
      <w:r>
        <w:t xml:space="preserve">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r/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4.3.3. в случае принятия решения об одностороннем отказе от исполнения Договора не по</w:t>
      </w:r>
      <w:r>
        <w:t xml:space="preserve">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Договоре, </w:t>
      </w:r>
      <w:r>
        <w:t xml:space="preserve">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  <w:r/>
    </w:p>
    <w:p>
      <w:pPr>
        <w:ind w:firstLine="357"/>
        <w:jc w:val="both"/>
        <w:widowControl w:val="off"/>
      </w:pPr>
      <w:r>
        <w:t xml:space="preserve">4.3.4. требовать уплаты неустоек (штрафов, пеней) в соответствии с </w:t>
      </w:r>
      <w:hyperlink w:tooltip="#P1550" w:anchor="P1550" w:history="1">
        <w:r>
          <w:t xml:space="preserve">разделом </w:t>
        </w:r>
        <w:r>
          <w:t xml:space="preserve">5</w:t>
        </w:r>
      </w:hyperlink>
      <w:r>
        <w:t xml:space="preserve"> Договора;</w:t>
      </w:r>
      <w:r/>
    </w:p>
    <w:p>
      <w:pPr>
        <w:ind w:firstLine="357"/>
        <w:jc w:val="both"/>
        <w:widowControl w:val="off"/>
        <w:rPr>
          <w:b/>
        </w:rPr>
      </w:pPr>
      <w:r/>
      <w:bookmarkStart w:id="0" w:name="undefined"/>
      <w:r/>
      <w:bookmarkEnd w:id="0"/>
      <w:r>
        <w:rPr>
          <w:b/>
        </w:rPr>
        <w:t xml:space="preserve">4.4. Заказчик вправе: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widowControl w:val="off"/>
      </w:pPr>
      <w:r>
        <w:t xml:space="preserve">4.4.1. требовать от Поставщика надлежащего исполнения обязательств по Договору;</w:t>
      </w:r>
      <w:r/>
    </w:p>
    <w:p>
      <w:pPr>
        <w:ind w:firstLine="357"/>
        <w:jc w:val="both"/>
        <w:widowControl w:val="off"/>
      </w:pPr>
      <w: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  <w:r/>
    </w:p>
    <w:p>
      <w:pPr>
        <w:ind w:firstLine="357"/>
        <w:jc w:val="both"/>
        <w:widowControl w:val="off"/>
      </w:pPr>
      <w:r>
        <w:t xml:space="preserve"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  <w:r/>
    </w:p>
    <w:p>
      <w:pPr>
        <w:ind w:firstLine="357"/>
        <w:jc w:val="both"/>
        <w:widowControl w:val="off"/>
      </w:pPr>
      <w:r>
        <w:t xml:space="preserve">4.4.4. требовать возмещения убытков в соответствии с </w:t>
      </w:r>
      <w:hyperlink w:tooltip="#P1550" w:anchor="P1550" w:history="1">
        <w:r>
          <w:t xml:space="preserve">разделом </w:t>
        </w:r>
        <w:r>
          <w:t xml:space="preserve">5</w:t>
        </w:r>
      </w:hyperlink>
      <w:r>
        <w:t xml:space="preserve"> Договора, причиненных по вине Поставщика;</w:t>
      </w:r>
      <w:r/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4.4.</w:t>
      </w:r>
      <w:r>
        <w:t xml:space="preserve">5</w:t>
      </w:r>
      <w:r>
        <w:t xml:space="preserve">. отказаться от приемки и оплаты Товара, не соответствующего условиям Договор</w:t>
      </w:r>
      <w:r>
        <w:t xml:space="preserve">а.</w:t>
      </w:r>
      <w:r/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4.4.</w:t>
      </w:r>
      <w:r>
        <w:t xml:space="preserve">6</w:t>
      </w:r>
      <w:r>
        <w:t xml:space="preserve">. принять решение об одностороннем отказе от исполнения Договора в соответствии с гражданским законодательством; </w:t>
      </w:r>
      <w:r/>
    </w:p>
    <w:p>
      <w:pPr>
        <w:ind w:firstLine="357"/>
        <w:jc w:val="both"/>
        <w:widowControl w:val="off"/>
      </w:pPr>
      <w:r/>
      <w:bookmarkStart w:id="0" w:name="undefined"/>
      <w:r/>
      <w:bookmarkEnd w:id="0"/>
      <w:r>
        <w:t xml:space="preserve">4.4.</w:t>
      </w:r>
      <w:r>
        <w:t xml:space="preserve">7</w:t>
      </w:r>
      <w:r>
        <w:t xml:space="preserve">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организаций. </w:t>
      </w:r>
      <w:r/>
    </w:p>
    <w:p>
      <w:pPr>
        <w:ind w:firstLine="357"/>
        <w:jc w:val="both"/>
        <w:widowControl w:val="off"/>
      </w:pPr>
      <w:r/>
      <w:r/>
    </w:p>
    <w:p>
      <w:pPr>
        <w:ind w:left="-540" w:right="-129"/>
        <w:jc w:val="center"/>
        <w:rPr>
          <w:b/>
        </w:rPr>
      </w:pPr>
      <w:r>
        <w:rPr>
          <w:b/>
        </w:rPr>
        <w:t xml:space="preserve">5. ОТВЕТСТВЕННОСТЬ СТОРОН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widowControl w:val="off"/>
      </w:pPr>
      <w:r>
        <w:t xml:space="preserve">5.1. За неисполнение, ненадлежащее исполнение обязательств по настоящему Договору, Стороны несут ответственность в порядке, пред</w:t>
      </w:r>
      <w:r>
        <w:t xml:space="preserve">усмотренном действующим законодательством Российской Федерации и условиями настоящего Договора. Уплата неустойки (штрафа, пени), предусмотренного настоящим Договором, не освобождает виновную сторону от необходимости исполнить обязательство в полном объеме.</w:t>
      </w:r>
      <w:r/>
    </w:p>
    <w:p>
      <w:pPr>
        <w:ind w:firstLine="357"/>
        <w:jc w:val="both"/>
        <w:widowControl w:val="off"/>
      </w:pPr>
      <w:r>
        <w:t xml:space="preserve">5.2. В случае просрочки исполнения заказчиком обязательств, предусмотренных договором, а </w:t>
      </w:r>
      <w:r>
        <w:t xml:space="preserve">так же</w:t>
      </w:r>
      <w:r>
        <w:t xml:space="preserve">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  <w:r/>
    </w:p>
    <w:p>
      <w:pPr>
        <w:ind w:firstLine="357"/>
        <w:jc w:val="both"/>
        <w:widowControl w:val="off"/>
      </w:pPr>
      <w:r>
        <w:t xml:space="preserve">5.2.1. Размер пени, начисляемой за каждый день просрочки исполнения заказчиком обязательств, предусмотренного договором, устанавливается в соответствии с частью 5 статьи 34 Закона о контрактной системе.</w:t>
      </w:r>
      <w:r/>
    </w:p>
    <w:p>
      <w:pPr>
        <w:ind w:firstLine="357"/>
        <w:jc w:val="both"/>
        <w:widowControl w:val="off"/>
      </w:pPr>
      <w:r>
        <w:t xml:space="preserve">5.3. В случае просрочки исполне</w:t>
      </w:r>
      <w:r>
        <w:t xml:space="preserve">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  <w:r/>
    </w:p>
    <w:p>
      <w:pPr>
        <w:ind w:firstLine="357"/>
        <w:jc w:val="both"/>
        <w:widowControl w:val="off"/>
      </w:pPr>
      <w:r>
        <w:t xml:space="preserve">5.3.1. Размер пени, начисляемой за каждый день просрочки исполнения исполнителем обязательств, предусмотренного договором, устанавливается в соответствии с частью 7 статьи 34 Закона о контрактной системе.</w:t>
      </w:r>
      <w:r/>
    </w:p>
    <w:p>
      <w:pPr>
        <w:ind w:firstLine="357"/>
        <w:jc w:val="both"/>
        <w:widowControl w:val="off"/>
      </w:pPr>
      <w:r/>
      <w:r/>
    </w:p>
    <w:p>
      <w:pPr>
        <w:pStyle w:val="906"/>
        <w:ind w:left="0"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6</w:t>
      </w:r>
      <w:r>
        <w:rPr>
          <w:rFonts w:eastAsia="Calibri"/>
          <w:b/>
        </w:rPr>
        <w:t xml:space="preserve">. КАЧЕСТВ</w:t>
      </w:r>
      <w:r>
        <w:rPr>
          <w:rFonts w:eastAsia="Calibri"/>
          <w:b/>
          <w:lang w:val="ru-RU"/>
        </w:rPr>
        <w:t xml:space="preserve">О</w:t>
      </w:r>
      <w:r>
        <w:rPr>
          <w:rFonts w:eastAsia="Calibri"/>
          <w:b/>
        </w:rPr>
        <w:t xml:space="preserve"> </w:t>
      </w:r>
      <w:r>
        <w:rPr>
          <w:rFonts w:eastAsia="Calibri"/>
          <w:b/>
          <w:lang w:val="ru-RU"/>
        </w:rPr>
        <w:t xml:space="preserve">ТОВАРА</w:t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ind w:firstLine="357"/>
        <w:jc w:val="both"/>
        <w:widowControl w:val="off"/>
      </w:pPr>
      <w:r>
        <w:t xml:space="preserve">6</w:t>
      </w:r>
      <w:r>
        <w:t xml:space="preserve">.1. Поставщик гарантирует, что поставляемый Товар соответствует требованиям, установленным Контрактом.</w:t>
      </w:r>
      <w:r/>
    </w:p>
    <w:p>
      <w:pPr>
        <w:ind w:firstLine="357"/>
        <w:jc w:val="both"/>
        <w:widowControl w:val="off"/>
      </w:pPr>
      <w:r>
        <w:t xml:space="preserve">6</w:t>
      </w:r>
      <w:r>
        <w:t xml:space="preserve"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  <w:r/>
    </w:p>
    <w:p>
      <w:pPr>
        <w:ind w:firstLine="357"/>
        <w:jc w:val="both"/>
        <w:widowControl w:val="off"/>
      </w:pPr>
      <w:r>
        <w:t xml:space="preserve">6</w:t>
      </w:r>
      <w:r>
        <w:t xml:space="preserve">.3. Товар должен быть упакован и замаркирован в соответствии с действующими стандартами, если предусмотрено стандартами.</w:t>
      </w:r>
      <w:r/>
    </w:p>
    <w:p>
      <w:pPr>
        <w:ind w:firstLine="357"/>
        <w:jc w:val="both"/>
        <w:widowControl w:val="off"/>
      </w:pPr>
      <w:r>
        <w:t xml:space="preserve">6</w:t>
      </w:r>
      <w:r>
        <w:t xml:space="preserve">.4. Поставщик предоставляет гарантию качества с момента поставки</w:t>
      </w:r>
      <w:r>
        <w:t xml:space="preserve"> </w:t>
      </w:r>
      <w:r>
        <w:t xml:space="preserve">на товар:</w:t>
      </w:r>
      <w:r>
        <w:t xml:space="preserve"> </w:t>
      </w:r>
      <w:r>
        <w:t xml:space="preserve">не менее </w:t>
      </w:r>
      <w:r>
        <w:t xml:space="preserve">12</w:t>
      </w:r>
      <w:r>
        <w:t xml:space="preserve"> месяцев.</w:t>
      </w:r>
      <w:r/>
    </w:p>
    <w:p>
      <w:pPr>
        <w:ind w:firstLine="357"/>
        <w:jc w:val="both"/>
        <w:widowControl w:val="off"/>
      </w:pPr>
      <w:r/>
      <w:r/>
    </w:p>
    <w:p>
      <w:pPr>
        <w:jc w:val="center"/>
        <w:widowControl w:val="off"/>
        <w:tabs>
          <w:tab w:val="left" w:pos="0" w:leader="none"/>
          <w:tab w:val="num" w:pos="180" w:leader="none"/>
        </w:tabs>
        <w:rPr>
          <w:b/>
        </w:rPr>
      </w:pPr>
      <w:r/>
      <w:bookmarkStart w:id="0" w:name="undefined"/>
      <w:r/>
      <w:bookmarkEnd w:id="0"/>
      <w:r>
        <w:rPr>
          <w:b/>
        </w:rPr>
        <w:t xml:space="preserve">7</w:t>
      </w:r>
      <w:r>
        <w:rPr>
          <w:b/>
        </w:rPr>
        <w:t xml:space="preserve">. ОБСТОЯТЕЛЬСТВА НЕПРЕОДОЛИМОЙ СИЛЫ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shd w:val="clear" w:color="auto" w:fill="ffffff"/>
        <w:widowControl w:val="off"/>
      </w:pPr>
      <w:r>
        <w:t xml:space="preserve">7</w:t>
      </w:r>
      <w:r>
        <w:t xml:space="preserve">.1. При возникновении обстоятельств непреодолимой си</w:t>
      </w:r>
      <w:r>
        <w:t xml:space="preserve">лы, то есть чрезвычайных и непредотвратимых нормальными средствами обстоятельств, включающих, но не ограничивающихся: стихийные бедствия, акты государственных органов, действия органов или должностных лиц государства, возникшие после заключения настоящего </w:t>
      </w:r>
      <w:r>
        <w:t xml:space="preserve">Договор</w:t>
      </w:r>
      <w:r>
        <w:t xml:space="preserve">а и препятствующие его выполнению, Сторона, возникновение данных обстоятельств которой мешают исполнению ее обязательств по </w:t>
      </w:r>
      <w:r>
        <w:t xml:space="preserve">Договор</w:t>
      </w:r>
      <w:r>
        <w:t xml:space="preserve">у, обязана в течение 5 дней письменно информировать другую сторону о случившимся и его  причинах.</w:t>
      </w:r>
      <w:r/>
    </w:p>
    <w:p>
      <w:pPr>
        <w:ind w:firstLine="357"/>
        <w:jc w:val="both"/>
        <w:shd w:val="clear" w:color="auto" w:fill="ffffff"/>
        <w:widowControl w:val="off"/>
      </w:pPr>
      <w:r>
        <w:t xml:space="preserve">7</w:t>
      </w:r>
      <w:r>
        <w:t xml:space="preserve">.2. Если, по мнению сторон, исполнение </w:t>
      </w:r>
      <w:r>
        <w:t xml:space="preserve">Договор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 xml:space="preserve">Договор</w:t>
      </w:r>
      <w:r>
        <w:t xml:space="preserve">у продлевается соразмерно времени, которое необходимо для учета действия этих обстоятельств и последствий.</w:t>
      </w:r>
      <w:r/>
    </w:p>
    <w:p>
      <w:pPr>
        <w:ind w:firstLine="357"/>
        <w:jc w:val="both"/>
        <w:tabs>
          <w:tab w:val="num" w:pos="1260" w:leader="none"/>
        </w:tabs>
      </w:pPr>
      <w:r/>
      <w:r/>
    </w:p>
    <w:p>
      <w:pPr>
        <w:jc w:val="center"/>
        <w:rPr>
          <w:b/>
        </w:rPr>
      </w:pPr>
      <w:r>
        <w:rPr>
          <w:b/>
        </w:rPr>
        <w:t xml:space="preserve">8</w:t>
      </w:r>
      <w:r>
        <w:rPr>
          <w:b/>
        </w:rPr>
        <w:t xml:space="preserve">. СРОК ДЕЙСТВИЯ </w:t>
      </w:r>
      <w:r>
        <w:rPr>
          <w:b/>
        </w:rPr>
        <w:t xml:space="preserve">ДОГОВОРА</w:t>
      </w:r>
      <w:r>
        <w:rPr>
          <w:b/>
        </w:rPr>
        <w:t xml:space="preserve">, ЕГО ИЗМЕНЕНИЕ И РАСТОРЖЕНИЕ </w:t>
      </w:r>
      <w:r>
        <w:rPr>
          <w:b/>
        </w:rPr>
      </w:r>
      <w:r>
        <w:rPr>
          <w:b/>
        </w:rPr>
      </w:r>
    </w:p>
    <w:p>
      <w:pPr>
        <w:ind w:firstLine="357"/>
        <w:jc w:val="both"/>
        <w:spacing w:line="276" w:lineRule="auto"/>
        <w:widowControl w:val="off"/>
        <w:rPr>
          <w14:ligatures w14:val="none"/>
        </w:rPr>
      </w:pPr>
      <w:r>
        <w:rPr>
          <w:lang w:eastAsia="en-US"/>
        </w:rPr>
        <w:t xml:space="preserve">8</w:t>
      </w:r>
      <w:r>
        <w:rPr>
          <w:lang w:eastAsia="en-US"/>
        </w:rPr>
        <w:t xml:space="preserve">.1. </w:t>
      </w:r>
      <w:r>
        <w:t xml:space="preserve">Настоящий </w:t>
      </w:r>
      <w:r>
        <w:t xml:space="preserve">Договор</w:t>
      </w:r>
      <w:r>
        <w:t xml:space="preserve"> </w:t>
      </w:r>
      <w:r>
        <w:t xml:space="preserve">вступает в силу с даты его подписания сторонами и действует </w:t>
      </w:r>
      <w:r>
        <w:t xml:space="preserve">до </w:t>
      </w:r>
      <w:r>
        <w:t xml:space="preserve">30</w:t>
      </w:r>
      <w:r>
        <w:t xml:space="preserve"> ноября</w:t>
      </w:r>
      <w:r>
        <w:t xml:space="preserve"> 202</w:t>
      </w:r>
      <w:r>
        <w:t xml:space="preserve">6</w:t>
      </w:r>
      <w:r>
        <w:t xml:space="preserve"> года.</w:t>
      </w:r>
      <w:r/>
      <w:r>
        <w:rPr>
          <w14:ligatures w14:val="none"/>
        </w:rPr>
      </w:r>
    </w:p>
    <w:p>
      <w:pPr>
        <w:ind w:firstLine="357"/>
        <w:jc w:val="both"/>
        <w:shd w:val="clear" w:color="auto" w:fill="ffffff"/>
        <w:widowControl w:val="off"/>
      </w:pPr>
      <w:r>
        <w:t xml:space="preserve">8</w:t>
      </w:r>
      <w:r>
        <w:t xml:space="preserve">.2. </w:t>
      </w:r>
      <w:r>
        <w:t xml:space="preserve">Договор </w:t>
      </w:r>
      <w:r>
        <w:rPr>
          <w:color w:val="00000a"/>
        </w:rPr>
        <w:t xml:space="preserve">составлен в двух экземплярах, по одному для каждой из Сторон, имеющих одинаковую юридическую силу.</w:t>
      </w:r>
      <w:r/>
    </w:p>
    <w:p>
      <w:pPr>
        <w:ind w:firstLine="357"/>
        <w:jc w:val="both"/>
        <w:shd w:val="clear" w:color="auto" w:fill="ffffff"/>
        <w:widowControl w:val="off"/>
      </w:pPr>
      <w:r>
        <w:t xml:space="preserve">8</w:t>
      </w:r>
      <w:r>
        <w:t xml:space="preserve">.3. </w:t>
      </w:r>
      <w:r>
        <w:rPr>
          <w:color w:val="00000a"/>
        </w:rPr>
        <w:t xml:space="preserve">Прекращение (окончание) срока действия настоящего </w:t>
      </w:r>
      <w:r>
        <w:rPr>
          <w:color w:val="00000a"/>
        </w:rPr>
        <w:t xml:space="preserve">договора</w:t>
      </w:r>
      <w:r>
        <w:rPr>
          <w:color w:val="00000a"/>
        </w:rPr>
        <w:t xml:space="preserve"> не освобождает от обязательств Сторон по нему, не освобождает Стороны от ответственности за неисполнение или ненадлежащее исполнение </w:t>
      </w:r>
      <w:r>
        <w:t xml:space="preserve">Договора</w:t>
      </w:r>
      <w:r>
        <w:rPr>
          <w:color w:val="00000a"/>
        </w:rPr>
        <w:t xml:space="preserve">, если таковые имели место при исполнении условий настоящего </w:t>
      </w:r>
      <w:r>
        <w:t xml:space="preserve">Договора</w:t>
      </w:r>
      <w:r>
        <w:rPr>
          <w:color w:val="00000a"/>
        </w:rPr>
        <w:t xml:space="preserve">.</w:t>
      </w:r>
      <w:r/>
    </w:p>
    <w:p>
      <w:pPr>
        <w:ind w:firstLine="357"/>
        <w:jc w:val="both"/>
        <w:shd w:val="clear" w:color="auto" w:fill="ffffff"/>
        <w:widowControl w:val="off"/>
      </w:pPr>
      <w:r>
        <w:t xml:space="preserve">8</w:t>
      </w:r>
      <w:r>
        <w:t xml:space="preserve">.4. </w:t>
      </w:r>
      <w:r>
        <w:rPr>
          <w:spacing w:val="4"/>
        </w:rPr>
        <w:t xml:space="preserve">Изменения и дополнения настоящего </w:t>
      </w:r>
      <w:r>
        <w:t xml:space="preserve">Договора</w:t>
      </w:r>
      <w:r>
        <w:rPr>
          <w:spacing w:val="4"/>
        </w:rPr>
        <w:t xml:space="preserve">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>
        <w:t xml:space="preserve">Договору</w:t>
      </w:r>
      <w:r>
        <w:rPr>
          <w:spacing w:val="4"/>
        </w:rPr>
        <w:t xml:space="preserve">. Дополнительные соглашения к </w:t>
      </w:r>
      <w:r>
        <w:t xml:space="preserve">Договору</w:t>
      </w:r>
      <w:r>
        <w:rPr>
          <w:spacing w:val="4"/>
        </w:rPr>
        <w:t xml:space="preserve"> являются его неотъемлемой частью и вступает в силу с момента их подписания Сторонами.</w:t>
      </w:r>
      <w:r/>
    </w:p>
    <w:p>
      <w:pPr>
        <w:ind w:firstLine="357"/>
        <w:jc w:val="both"/>
        <w:shd w:val="clear" w:color="auto" w:fill="ffffff"/>
        <w:widowControl w:val="off"/>
        <w:rPr>
          <w:lang w:eastAsia="ar-SA"/>
        </w:rPr>
      </w:pPr>
      <w:r>
        <w:t xml:space="preserve">8</w:t>
      </w:r>
      <w:r>
        <w:t xml:space="preserve">.</w:t>
      </w:r>
      <w:r>
        <w:t xml:space="preserve">5</w:t>
      </w:r>
      <w:r>
        <w:t xml:space="preserve">. </w:t>
      </w:r>
      <w:r>
        <w:rPr>
          <w:lang w:eastAsia="ar-SA"/>
        </w:rPr>
        <w:t xml:space="preserve">Стороны обязуются незамедлительно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</w:t>
      </w:r>
      <w:r>
        <w:rPr>
          <w:lang w:eastAsia="ar-SA"/>
        </w:rPr>
      </w:r>
      <w:r>
        <w:rPr>
          <w:lang w:eastAsia="ar-SA"/>
        </w:rPr>
      </w:r>
    </w:p>
    <w:p>
      <w:pPr>
        <w:ind w:firstLine="357"/>
        <w:jc w:val="both"/>
        <w:shd w:val="clear" w:color="auto" w:fill="ffffff"/>
        <w:widowControl w:val="off"/>
        <w:rPr>
          <w:lang w:eastAsia="ar-SA"/>
        </w:rPr>
      </w:pPr>
      <w:r>
        <w:rPr>
          <w:lang w:eastAsia="ar-SA"/>
        </w:rPr>
        <w:t xml:space="preserve">8</w:t>
      </w:r>
      <w:r>
        <w:rPr>
          <w:lang w:eastAsia="ar-SA"/>
        </w:rPr>
        <w:t xml:space="preserve">.</w:t>
      </w:r>
      <w:r>
        <w:rPr>
          <w:lang w:eastAsia="ar-SA"/>
        </w:rPr>
        <w:t xml:space="preserve">6</w:t>
      </w:r>
      <w:r>
        <w:rPr>
          <w:lang w:eastAsia="ar-SA"/>
        </w:rPr>
        <w:t xml:space="preserve">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  <w:r>
        <w:rPr>
          <w:lang w:eastAsia="ar-SA"/>
        </w:rPr>
      </w:r>
      <w:r>
        <w:rPr>
          <w:lang w:eastAsia="ar-SA"/>
        </w:rPr>
      </w:r>
    </w:p>
    <w:p>
      <w:pPr>
        <w:ind w:firstLine="357"/>
        <w:jc w:val="both"/>
        <w:widowControl w:val="off"/>
        <w:tabs>
          <w:tab w:val="left" w:pos="709" w:leader="none"/>
        </w:tabs>
      </w:pPr>
      <w:r>
        <w:t xml:space="preserve">8</w:t>
      </w:r>
      <w:r>
        <w:t xml:space="preserve">.</w:t>
      </w:r>
      <w:r>
        <w:t xml:space="preserve">7</w:t>
      </w:r>
      <w:r>
        <w:t xml:space="preserve">. Во всем, что не предусмотрено настоящим Договором, Стороны руководствуются действующим законодательством Российской Федерации.</w:t>
      </w:r>
      <w:r/>
    </w:p>
    <w:p>
      <w:pPr>
        <w:ind w:firstLine="357"/>
        <w:jc w:val="both"/>
        <w:widowControl w:val="off"/>
        <w:tabs>
          <w:tab w:val="left" w:pos="709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9160" w:leader="none"/>
          <w:tab w:val="left" w:pos="93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8</w:t>
      </w:r>
      <w:r>
        <w:t xml:space="preserve">.</w:t>
      </w:r>
      <w:r>
        <w:t xml:space="preserve">8</w:t>
      </w:r>
      <w:r>
        <w:t xml:space="preserve">. </w:t>
      </w:r>
      <w:r>
        <w:t xml:space="preserve">Неотъемлемой частью </w:t>
      </w:r>
      <w:r>
        <w:t xml:space="preserve">Договора</w:t>
      </w:r>
      <w:r>
        <w:t xml:space="preserve"> явля</w:t>
      </w:r>
      <w:r>
        <w:t xml:space="preserve">ю</w:t>
      </w:r>
      <w:r>
        <w:t xml:space="preserve">тся следующ</w:t>
      </w:r>
      <w:r>
        <w:t xml:space="preserve">и</w:t>
      </w:r>
      <w:r>
        <w:t xml:space="preserve">е приложени</w:t>
      </w:r>
      <w:r>
        <w:t xml:space="preserve">я</w:t>
      </w:r>
      <w:r>
        <w:t xml:space="preserve">:</w:t>
      </w:r>
      <w:r/>
    </w:p>
    <w:p>
      <w:pPr>
        <w:ind w:firstLine="357"/>
        <w:jc w:val="both"/>
        <w:widowControl w:val="off"/>
      </w:pPr>
      <w:r>
        <w:t xml:space="preserve">-</w:t>
      </w:r>
      <w:r>
        <w:t xml:space="preserve"> Приложение № </w:t>
      </w:r>
      <w:r>
        <w:t xml:space="preserve">1</w:t>
      </w:r>
      <w:r>
        <w:t xml:space="preserve">.</w:t>
      </w:r>
      <w:r>
        <w:rPr>
          <w:b/>
          <w:bCs/>
        </w:rPr>
        <w:t xml:space="preserve"> </w:t>
      </w:r>
      <w:r>
        <w:t xml:space="preserve">Спецификация</w:t>
      </w:r>
      <w:r>
        <w:t xml:space="preserve">.</w:t>
      </w:r>
      <w:r/>
    </w:p>
    <w:p>
      <w:pPr>
        <w:widowControl w:val="off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</w:r>
      <w:r>
        <w:rPr>
          <w:rFonts w:ascii="Calibri" w:hAnsi="Calibri" w:cs="Calibri"/>
          <w:sz w:val="22"/>
        </w:rPr>
      </w:r>
      <w:r>
        <w:rPr>
          <w:rFonts w:ascii="Calibri" w:hAnsi="Calibri" w:cs="Calibri"/>
          <w:sz w:val="22"/>
        </w:rPr>
      </w:r>
    </w:p>
    <w:p>
      <w:pPr>
        <w:jc w:val="center"/>
        <w:tabs>
          <w:tab w:val="left" w:pos="360" w:leader="none"/>
        </w:tabs>
        <w:rPr>
          <w:b/>
          <w:caps/>
        </w:rPr>
      </w:pPr>
      <w:r>
        <w:rPr>
          <w:b/>
          <w:caps/>
        </w:rPr>
        <w:t xml:space="preserve">9</w:t>
      </w:r>
      <w:r>
        <w:rPr>
          <w:b/>
          <w:caps/>
        </w:rPr>
        <w:t xml:space="preserve">. АДРЕСА И РЕКВИЗИТЫ СТОРОН</w:t>
      </w:r>
      <w:r>
        <w:rPr>
          <w:b/>
          <w:caps/>
        </w:rPr>
      </w:r>
      <w:r>
        <w:rPr>
          <w:b/>
          <w:caps/>
        </w:rPr>
      </w:r>
    </w:p>
    <w:p>
      <w:pPr>
        <w:ind w:left="-540" w:right="-129"/>
        <w:jc w:val="center"/>
        <w:tabs>
          <w:tab w:val="left" w:pos="360" w:leader="none"/>
        </w:tabs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  <w:r>
        <w:rPr>
          <w:b/>
          <w:caps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5"/>
        <w:gridCol w:w="4820"/>
      </w:tblGrid>
      <w:tr>
        <w:tblPrEx/>
        <w:trPr>
          <w:trHeight w:val="257"/>
        </w:trPr>
        <w:tc>
          <w:tcPr>
            <w:tcW w:w="2424" w:type="pct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ПОСТАВЩИК</w:t>
            </w:r>
            <w:r>
              <w:rPr>
                <w:b/>
              </w:rPr>
              <w:t xml:space="preserve">:</w:t>
            </w:r>
            <w:r/>
          </w:p>
        </w:tc>
        <w:tc>
          <w:tcPr>
            <w:tcW w:w="2576" w:type="pc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5171"/>
        </w:trPr>
        <w:tc>
          <w:tcPr>
            <w:tcW w:w="2424" w:type="pct"/>
            <w:textDirection w:val="lrTb"/>
            <w:noWrap w:val="false"/>
          </w:tcPr>
          <w:p>
            <w:pPr>
              <w:jc w:val="left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76" w:type="pct"/>
            <w:textDirection w:val="lrTb"/>
            <w:noWrap w:val="false"/>
          </w:tcPr>
          <w:p>
            <w:pPr>
              <w:rPr>
                <w:rFonts w:eastAsia="Calibri"/>
                <w:color w:val="auto"/>
                <w:spacing w:val="-6"/>
                <w:szCs w:val="22"/>
                <w:lang w:eastAsia="en-US"/>
              </w:rPr>
            </w:pPr>
            <w:r>
              <w:rPr>
                <w:rFonts w:eastAsia="Calibri"/>
                <w:color w:val="auto"/>
                <w:spacing w:val="-6"/>
                <w:szCs w:val="22"/>
                <w:lang w:eastAsia="en-US"/>
              </w:rPr>
              <w:t xml:space="preserve">Управление Федеральной службы государственной регистрации, кадастра и картографии по Забайкальскому краю</w:t>
            </w:r>
            <w:r>
              <w:rPr>
                <w:rFonts w:eastAsia="Calibri"/>
                <w:color w:val="auto"/>
                <w:spacing w:val="-6"/>
                <w:szCs w:val="22"/>
                <w:lang w:eastAsia="en-US"/>
              </w:rPr>
            </w:r>
            <w:r>
              <w:rPr>
                <w:rFonts w:eastAsia="Calibri"/>
                <w:color w:val="auto"/>
                <w:spacing w:val="-6"/>
                <w:szCs w:val="22"/>
                <w:lang w:eastAsia="en-US"/>
              </w:rPr>
            </w:r>
          </w:p>
          <w:p>
            <w:pPr>
              <w:shd w:val="clear" w:color="auto" w:fill="ffffff"/>
              <w:rPr>
                <w:rFonts w:eastAsia="Calibri"/>
                <w:color w:val="auto"/>
                <w:spacing w:val="-1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  <w:t xml:space="preserve">ИНН/ КПП 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7536057403</w:t>
            </w:r>
            <w:r>
              <w:rPr>
                <w:rFonts w:eastAsia="Calibri"/>
                <w:color w:val="auto"/>
                <w:szCs w:val="22"/>
                <w:lang w:eastAsia="en-US"/>
              </w:rPr>
              <w:t xml:space="preserve"> / </w:t>
            </w:r>
            <w:r>
              <w:rPr>
                <w:rFonts w:eastAsia="Calibri"/>
                <w:color w:val="auto"/>
                <w:spacing w:val="-2"/>
                <w:szCs w:val="22"/>
                <w:lang w:eastAsia="en-US"/>
              </w:rPr>
              <w:t xml:space="preserve">753601001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</w:r>
          </w:p>
          <w:p>
            <w:pPr>
              <w:shd w:val="clear" w:color="auto" w:fill="ffffff"/>
              <w:rPr>
                <w:rFonts w:eastAsia="Calibri"/>
                <w:color w:val="auto"/>
                <w:spacing w:val="-1"/>
                <w:szCs w:val="22"/>
                <w:lang w:eastAsia="en-US"/>
              </w:rPr>
            </w:pPr>
            <w:r>
              <w:rPr>
                <w:rFonts w:eastAsia="Calibri"/>
                <w:b/>
                <w:color w:val="auto"/>
                <w:szCs w:val="22"/>
                <w:lang w:eastAsia="en-US"/>
              </w:rPr>
              <w:t xml:space="preserve">Юридический адрес:</w:t>
            </w:r>
            <w:r>
              <w:rPr>
                <w:rFonts w:eastAsia="Calibri"/>
                <w:color w:val="auto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6720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39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, г. Чита, ул. А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мурская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, 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д.15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  <w:t xml:space="preserve">,</w:t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</w:r>
            <w:r>
              <w:rPr>
                <w:rFonts w:eastAsia="Calibri"/>
                <w:color w:val="auto"/>
                <w:spacing w:val="-1"/>
                <w:szCs w:val="22"/>
                <w:lang w:eastAsia="en-US"/>
              </w:rPr>
            </w:r>
          </w:p>
          <w:p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auto"/>
                <w:szCs w:val="22"/>
                <w:lang w:eastAsia="en-US"/>
              </w:rPr>
              <w:t xml:space="preserve">Банковские реквизиты: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Наименование получателя: УФК по Приморскому краю (Управление Росреестра по Забайкальскому краю, л/с 03911W00910)</w:t>
            </w:r>
            <w:r/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Банк: ОКЦ № 1 ДГУ Банка России // УФК по Приморскому краю, г. Владивосток</w:t>
            </w:r>
            <w:r/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БИК ТОФК: 010507002</w:t>
            </w:r>
            <w:r/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Казначейский счет: 03211643000000012009</w:t>
            </w:r>
            <w:r/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Лицевой счет: 03911W00910</w:t>
            </w:r>
            <w:r/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ЕКС: 40102810545370000012</w:t>
            </w:r>
            <w:r/>
          </w:p>
          <w:p>
            <w:r>
              <w:rPr>
                <w:rFonts w:eastAsia="Calibri"/>
                <w:color w:val="auto"/>
                <w:szCs w:val="22"/>
                <w:lang w:eastAsia="en-US"/>
              </w:rPr>
              <w:t xml:space="preserve">e-mail: 75_upr@rosreestr.ru </w:t>
            </w:r>
            <w:r/>
          </w:p>
          <w:p>
            <w:pPr>
              <w:rPr>
                <w:rFonts w:eastAsia="Calibri"/>
                <w:color w:val="auto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Cs w:val="22"/>
                <w:lang w:eastAsia="en-US"/>
              </w:rPr>
              <w:t xml:space="preserve">тел: 8 (3022) 352211</w:t>
            </w:r>
            <w:r>
              <w:rPr>
                <w:rFonts w:eastAsia="Calibri"/>
                <w:color w:val="auto"/>
                <w:szCs w:val="22"/>
                <w:lang w:eastAsia="en-US"/>
              </w:rPr>
            </w:r>
            <w:r>
              <w:rPr>
                <w:rFonts w:eastAsia="Calibri"/>
                <w:color w:val="auto"/>
                <w:szCs w:val="22"/>
                <w:lang w:eastAsia="en-US"/>
              </w:rPr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68"/>
        </w:trPr>
        <w:tc>
          <w:tcPr>
            <w:tcW w:w="2424" w:type="pct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t xml:space="preserve">_________</w:t>
            </w:r>
            <w:r>
              <w:t xml:space="preserve">__</w:t>
            </w:r>
            <w:r>
              <w:t xml:space="preserve">____</w:t>
            </w:r>
            <w:r>
              <w:t xml:space="preserve">__</w:t>
            </w:r>
            <w:r>
              <w:t xml:space="preserve">_____ /</w:t>
            </w:r>
            <w:r>
              <w:t xml:space="preserve">                    </w:t>
            </w:r>
            <w:r>
              <w:t xml:space="preserve"> </w:t>
            </w:r>
            <w:r>
              <w:t xml:space="preserve">/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76" w:type="pct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 ____________</w:t>
            </w:r>
            <w:r>
              <w:t xml:space="preserve">____</w:t>
            </w:r>
            <w:r>
              <w:t xml:space="preserve">___</w:t>
            </w:r>
            <w:r>
              <w:t xml:space="preserve">_</w:t>
            </w:r>
            <w:r>
              <w:t xml:space="preserve">___ /</w:t>
            </w:r>
            <w:r>
              <w:t xml:space="preserve">О.С. Крылова</w:t>
            </w:r>
            <w:r>
              <w:t xml:space="preserve"> </w:t>
            </w:r>
            <w:r>
              <w:t xml:space="preserve">/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/>
      <w:r/>
    </w:p>
    <w:tbl>
      <w:tblPr>
        <w:tblW w:w="5000" w:type="pct"/>
        <w:tblLook w:val="01E0" w:firstRow="1" w:lastRow="1" w:firstColumn="1" w:lastColumn="1" w:noHBand="0" w:noVBand="0"/>
      </w:tblPr>
      <w:tblGrid>
        <w:gridCol w:w="4137"/>
        <w:gridCol w:w="5785"/>
      </w:tblGrid>
      <w:tr>
        <w:tblPrEx/>
        <w:trPr/>
        <w:tc>
          <w:tcPr>
            <w:tcW w:w="2085" w:type="pct"/>
            <w:textDirection w:val="lrTb"/>
            <w:noWrap w:val="false"/>
          </w:tcPr>
          <w:p>
            <w:pPr>
              <w:suppressLineNumbers/>
            </w:pPr>
            <w:r/>
            <w:r/>
          </w:p>
        </w:tc>
        <w:tc>
          <w:tcPr>
            <w:tcW w:w="2915" w:type="pct"/>
            <w:textDirection w:val="lrTb"/>
            <w:noWrap w:val="false"/>
          </w:tcPr>
          <w:p>
            <w:pPr>
              <w:jc w:val="right"/>
              <w:suppressLineNumbers/>
            </w:pPr>
            <w:r>
              <w:t xml:space="preserve">Приложение 1                                                                                                     </w:t>
            </w:r>
            <w:r>
              <w:t xml:space="preserve">                             к Договору</w:t>
            </w:r>
            <w:r>
              <w:t xml:space="preserve">                                                                                                                       №</w:t>
            </w:r>
            <w:r>
              <w:t xml:space="preserve"> ______</w:t>
            </w:r>
            <w:r>
              <w:t xml:space="preserve"> от _____________</w:t>
            </w:r>
            <w:r/>
          </w:p>
          <w:p>
            <w:pPr>
              <w:jc w:val="right"/>
              <w:suppressLineNumbers/>
            </w:pPr>
            <w:r/>
            <w:r/>
          </w:p>
        </w:tc>
      </w:tr>
    </w:tbl>
    <w:p>
      <w:pPr>
        <w:jc w:val="center"/>
        <w:shd w:val="clear" w:color="auto" w:fill="ffffff"/>
        <w:rPr>
          <w:b/>
          <w:bCs/>
          <w:highlight w:val="none"/>
        </w:rPr>
        <w:suppressLineNumbers/>
      </w:pPr>
      <w:r>
        <w:rPr>
          <w:b/>
        </w:rPr>
        <w:t xml:space="preserve">ТЕХНИЧЕСКОЕ ЗАДАНИЕ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shd w:val="clear" w:color="auto" w:fill="ffffff"/>
        <w:rPr>
          <w:b/>
          <w:bCs/>
          <w:highlight w:val="none"/>
        </w:rPr>
        <w:suppressLineNumbers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W w:w="97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3743"/>
        <w:gridCol w:w="992"/>
        <w:gridCol w:w="1559"/>
        <w:gridCol w:w="1417"/>
        <w:gridCol w:w="1527"/>
      </w:tblGrid>
      <w:tr>
        <w:tblPrEx/>
        <w:trPr>
          <w:trHeight w:val="509"/>
        </w:trPr>
        <w:tc>
          <w:tcPr>
            <w:shd w:val="clear" w:color="ffffff" w:fill="ffffff"/>
            <w:tcW w:w="5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№</w:t>
            </w:r>
            <w:r>
              <w:rPr>
                <w:rFonts w:eastAsia="Calibri"/>
                <w:b/>
                <w:sz w:val="22"/>
                <w:szCs w:val="22"/>
              </w:rPr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W w:w="37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Наименование товара, работ, услуг</w:t>
            </w:r>
            <w:r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Ед. изм.</w:t>
            </w:r>
            <w:r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Количество</w:t>
            </w:r>
            <w:r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  <w14:ligatures w14:val="none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Цена, руб.</w:t>
            </w:r>
            <w:r>
              <w:rPr>
                <w:rFonts w:eastAsia="Calibri"/>
                <w:b/>
                <w:sz w:val="22"/>
                <w:szCs w:val="22"/>
                <w14:ligatures w14:val="none"/>
              </w:rPr>
            </w:r>
            <w:r>
              <w:rPr>
                <w:rFonts w:eastAsia="Calibri"/>
                <w:b/>
                <w:sz w:val="22"/>
                <w:szCs w:val="22"/>
                <w14:ligatures w14:val="none"/>
              </w:rPr>
            </w:r>
          </w:p>
        </w:tc>
        <w:tc>
          <w:tcPr>
            <w:tcW w:w="15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Стоимость, руб.</w:t>
            </w:r>
            <w:r>
              <w:rPr>
                <w:rFonts w:eastAsia="Calibri"/>
                <w:b/>
                <w:sz w:val="22"/>
                <w:szCs w:val="22"/>
              </w:rPr>
            </w:r>
            <w:r>
              <w:rPr>
                <w:rFonts w:eastAsia="Calibri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W w:w="50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shd w:val="clear" w:color="ffffff" w:fill="ffffff"/>
            <w:tcW w:w="37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Информационная табличка «Сведения о подразделении»</w:t>
            </w:r>
            <w:r/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</w:rPr>
            </w:r>
            <w:r/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</w:t>
            </w:r>
            <w:r/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527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50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shd w:val="clear" w:color="ffffff" w:fill="ffffff"/>
            <w:tcW w:w="37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Информационная таблица с названием организации со световыми буквами и гербом «Росреестр»</w:t>
            </w:r>
            <w:r/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шт.</w:t>
            </w:r>
            <w:r/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527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3"/>
        </w:trPr>
        <w:tc>
          <w:tcPr>
            <w:shd w:val="clear" w:color="ffffff" w:fill="ffffff"/>
            <w:tcW w:w="50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  <w:r>
              <w:rPr>
                <w:rFonts w:eastAsia="Calibri"/>
                <w:sz w:val="22"/>
                <w:szCs w:val="22"/>
              </w:rPr>
            </w:r>
          </w:p>
        </w:tc>
        <w:tc>
          <w:tcPr>
            <w:shd w:val="clear" w:color="ffffff" w:fill="ffffff"/>
            <w:tcW w:w="37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Информационная таблица с названием организации «Управление Росреестра по Забайкальскому краю»</w:t>
            </w:r>
            <w:r/>
          </w:p>
        </w:tc>
        <w:tc>
          <w:tcPr>
            <w:shd w:val="clear" w:color="ffffff" w:fill="ffffff"/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шт.</w:t>
            </w:r>
            <w:r/>
          </w:p>
        </w:tc>
        <w:tc>
          <w:tcPr>
            <w:shd w:val="clear" w:color="ffffff" w:fill="ffffff"/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527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5"/>
            <w:shd w:val="clear" w:color="ffffff" w:fill="ffffff"/>
            <w:tcW w:w="82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ИТОГО</w:t>
            </w:r>
            <w:r/>
          </w:p>
        </w:tc>
        <w:tc>
          <w:tcPr>
            <w:tcW w:w="1527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Характеристики информационных таблиц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tbl>
      <w:tblPr>
        <w:tblStyle w:val="750"/>
        <w:tblW w:w="0" w:type="auto"/>
        <w:tblLayout w:type="fixed"/>
        <w:tblLook w:val="04A0" w:firstRow="1" w:lastRow="0" w:firstColumn="1" w:lastColumn="0" w:noHBand="0" w:noVBand="1"/>
      </w:tblPr>
      <w:tblGrid>
        <w:gridCol w:w="751"/>
        <w:gridCol w:w="1942"/>
        <w:gridCol w:w="7086"/>
      </w:tblGrid>
      <w:tr>
        <w:tblPrEx/>
        <w:trPr/>
        <w:tc>
          <w:tcPr>
            <w:tcW w:w="751" w:type="dxa"/>
            <w:textDirection w:val="lrTb"/>
            <w:noWrap w:val="false"/>
          </w:tcPr>
          <w:p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№ п.п.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1942" w:type="dxa"/>
            <w:textDirection w:val="lrTb"/>
            <w:noWrap w:val="false"/>
          </w:tcPr>
          <w:p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Наименование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7086" w:type="dxa"/>
            <w:textDirection w:val="lrTb"/>
            <w:noWrap w:val="false"/>
          </w:tcPr>
          <w:p>
            <w:pPr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Материал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</w:tr>
      <w:tr>
        <w:tblPrEx/>
        <w:trPr/>
        <w:tc>
          <w:tcPr>
            <w:tcW w:w="751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</w:tc>
        <w:tc>
          <w:tcPr>
            <w:tcW w:w="1942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14:ligatures w14:val="none"/>
              </w:rPr>
            </w:pPr>
            <w:r>
              <w:t xml:space="preserve">Информационная табличка </w:t>
            </w:r>
            <w:r>
              <w:t xml:space="preserve">«Сведения о подразделении»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7086" w:type="dxa"/>
            <w:vMerge w:val="restart"/>
            <w:textDirection w:val="lrTb"/>
            <w:noWrap w:val="false"/>
          </w:tcPr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Прямоугольная табличка «Сведения о подразделении»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Размер 400х600 мм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Материал основы: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композитный материал, пленка для печати, пленка для ламинации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Цветовая гамма в соответствии с брендбуком;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Шрифт: Inter(в соответствии с брендбуком)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Размер: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Устойчивость таблички к внешним факторам: атмосферостойкость, влагоустойчивость, устойчивость к УФ-излучению</w:t>
            </w:r>
            <w:r/>
          </w:p>
          <w:p>
            <w:pPr>
              <w:ind w:right="-2"/>
              <w:jc w:val="both"/>
              <w:rPr>
                <w:highlight w:val="none"/>
              </w:rPr>
            </w:pPr>
            <w:r>
              <w:rPr>
                <w:highlight w:val="none"/>
                <w14:ligatures w14:val="none"/>
              </w:rPr>
              <w:t xml:space="preserve">Крепление таблички: отверстия для саморезов</w:t>
            </w:r>
            <w:r/>
          </w:p>
          <w:p>
            <w:pPr>
              <w:ind w:right="-2"/>
              <w:jc w:val="left"/>
              <w:rPr>
                <w14:ligatures w14:val="none"/>
              </w:rPr>
            </w:pPr>
            <w:r>
              <w:rPr>
                <w:highlight w:val="none"/>
              </w:rPr>
              <w:t xml:space="preserve">Монтаж не требуется.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  <w:t xml:space="preserve">Примерный эскиз</w:t>
            </w:r>
            <w:r/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center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96386" cy="3074631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1308928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196385" cy="30746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72.94pt;height:242.10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left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*в графе «Юридический адрес» указывается юридический адрес Заказчика 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left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Перед изготовлением образец предварительно согласовывается с Заказчиком.</w:t>
            </w:r>
            <w:r>
              <w:rPr>
                <w14:ligatures w14:val="none"/>
              </w:rPr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51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2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</w:tc>
        <w:tc>
          <w:tcPr>
            <w:tcW w:w="1942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14:ligatures w14:val="none"/>
              </w:rPr>
            </w:pPr>
            <w:r>
              <w:t xml:space="preserve">Информационная таблица с названием организации со световыми буквами и гербом «Росреестр»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W w:w="7086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14:ligatures w14:val="none"/>
              </w:rPr>
            </w:pPr>
            <w:r>
              <w:t xml:space="preserve">Информационная таблица с названием организации со световыми буквами и гербом «Росреестр»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</w:rPr>
            </w:pPr>
            <w:r>
              <w:rPr>
                <w:highlight w:val="none"/>
                <w14:ligatures w14:val="none"/>
              </w:rPr>
              <w:t xml:space="preserve">Основа: композитный материал, пленка для печати, пленка для ламинации.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Размер: 7300х500 мм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Цвет основы: серый (RGB - 76 77 75, HEX 4C4D4B, CMYK 10 00 00 73)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Подсветка: светодиодная внутри букв; возможность замены светодиодной ленты каждой буквы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Цвет букв: белый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Цвет букв и герба: белый/синий (в соответствии с брендбуком)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Шрифт: Inter (в соответствии с брендбуком)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Устойчивость таблички к внешним факторам: атмосферостойкость, влагоустойчивость, устойчивость к УФ-излучению</w:t>
            </w:r>
            <w:r/>
          </w:p>
          <w:p>
            <w:pPr>
              <w:ind w:right="-2"/>
              <w:jc w:val="both"/>
              <w:rPr>
                <w:highlight w:val="none"/>
              </w:rPr>
            </w:pPr>
            <w:r>
              <w:rPr>
                <w:highlight w:val="none"/>
                <w14:ligatures w14:val="none"/>
              </w:rPr>
              <w:t xml:space="preserve">Крепление таблички: отверстия для саморезов</w:t>
            </w:r>
            <w:r/>
          </w:p>
          <w:p>
            <w:pPr>
              <w:ind w:right="-2"/>
              <w:jc w:val="left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Монтаж осуществляется силами Поставщика.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  <w:t xml:space="preserve">Примерный эскиз</w:t>
            </w:r>
            <w:r/>
            <w:r>
              <w:rPr>
                <w:highlight w:val="none"/>
                <w14:ligatures w14:val="none"/>
              </w:rPr>
            </w:r>
          </w:p>
          <w:p>
            <w:pPr>
              <w:ind w:left="58"/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14925" cy="1900634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4275973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914923" cy="19006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50.78pt;height:149.66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59049" cy="1809671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093732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959048" cy="1809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154.26pt;height:142.49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58"/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58"/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90825" cy="790575"/>
                      <wp:effectExtent l="0" t="0" r="0" b="0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204544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90823" cy="79057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219.75pt;height:62.25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58"/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58"/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71292" cy="680094"/>
                      <wp:effectExtent l="0" t="0" r="0" b="0"/>
                      <wp:docPr id="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684300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771289" cy="6800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218.21pt;height:53.55pt;mso-wrap-distance-left:0.00pt;mso-wrap-distance-top:0.00pt;mso-wrap-distance-right:0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Примерный эскиз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left="58"/>
              <w:jc w:val="both"/>
              <w:widowControl w:val="off"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031591" cy="658859"/>
                      <wp:effectExtent l="0" t="0" r="0" b="0"/>
                      <wp:docPr id="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0675795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4031590" cy="6588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317.45pt;height:51.88pt;mso-wrap-distance-left:0.00pt;mso-wrap-distance-top:0.00pt;mso-wrap-distance-right:0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-2"/>
              <w:jc w:val="left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Перед изготовлением образец предварительно согласовывается с Заказчиком.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left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/>
        <w:tc>
          <w:tcPr>
            <w:tcW w:w="751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3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</w:tc>
        <w:tc>
          <w:tcPr>
            <w:tcW w:w="1942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:b/>
                <w:bCs/>
                <w14:ligatures w14:val="none"/>
              </w:rPr>
            </w:pPr>
            <w:r>
              <w:t xml:space="preserve">Информационная таблица с названием организации «Управление Росреестра по Забайкальскому краю»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</w:tc>
        <w:tc>
          <w:tcPr>
            <w:tcW w:w="7086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rPr>
                <w:b/>
                <w:bCs/>
                <w14:ligatures w14:val="none"/>
              </w:rPr>
            </w:pPr>
            <w:r>
              <w:t xml:space="preserve">Информационная таблица с названием организации «Управление Росреестра по Забайкальскому краю»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</w:rPr>
            </w:pPr>
            <w:r>
              <w:rPr>
                <w:highlight w:val="none"/>
                <w14:ligatures w14:val="none"/>
              </w:rPr>
              <w:t xml:space="preserve">Материал основы: композитный материал, пленка для печати, пленка для ламинации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Размер: 3600х600 мм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Шрифт: Inter (в соответствии с брендбуком)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Цвет основы: серый (RGB - 76 77 75, HEX 4C4D4B, CMYK 10 00 00 73)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Буквы материал акрил.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Цвет букв: белый.</w:t>
            </w:r>
            <w:r/>
          </w:p>
          <w:p>
            <w:pPr>
              <w:ind w:right="-2"/>
              <w:jc w:val="both"/>
            </w:pPr>
            <w:r>
              <w:rPr>
                <w:highlight w:val="none"/>
                <w14:ligatures w14:val="none"/>
              </w:rPr>
              <w:t xml:space="preserve">Устойчивость таблички к внешним факторам: атмосферостойкость, влагоустойчивость, устойчивость к УФ-излучению.</w:t>
            </w:r>
            <w:r/>
          </w:p>
          <w:p>
            <w:pPr>
              <w:ind w:right="-2"/>
              <w:jc w:val="both"/>
              <w:rPr>
                <w:highlight w:val="none"/>
              </w:rPr>
            </w:pPr>
            <w:r>
              <w:rPr>
                <w:highlight w:val="none"/>
                <w14:ligatures w14:val="none"/>
              </w:rPr>
              <w:t xml:space="preserve">Крепление таблички: отверстия для саморезов</w:t>
            </w:r>
            <w:r/>
          </w:p>
          <w:p>
            <w:pPr>
              <w:ind w:right="-2"/>
              <w:jc w:val="left"/>
              <w:rPr>
                <w14:ligatures w14:val="none"/>
              </w:rPr>
            </w:pPr>
            <w:r>
              <w:rPr>
                <w:highlight w:val="none"/>
              </w:rPr>
              <w:t xml:space="preserve">Монтаж не требуется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  <w:t xml:space="preserve">Примерный эскиз</w:t>
            </w:r>
            <w:r/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67150" cy="742950"/>
                      <wp:effectExtent l="0" t="0" r="0" b="0"/>
                      <wp:docPr id="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409094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67148" cy="742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304.50pt;height:58.50pt;mso-wrap-distance-left:0.00pt;mso-wrap-distance-top:0.00pt;mso-wrap-distance-right:0.00pt;mso-wrap-distance-bottom:0.00pt;z-index:1;" stroked="false">
                      <v:imagedata r:id="rId17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left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Перед изготовлением образец предварительно согласовывается с Заказчиком.</w:t>
            </w:r>
            <w:r>
              <w:rPr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  <w:p>
            <w:pPr>
              <w:ind w:right="-2"/>
              <w:jc w:val="left"/>
              <w:rPr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  <w:t xml:space="preserve">Примерный общий эскиз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826668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81687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40423" cy="18266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67.75pt;height:143.83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r>
        <w:t xml:space="preserve">* </w:t>
      </w:r>
      <w:r>
        <w:t xml:space="preserve">все </w:t>
      </w:r>
      <w:r>
        <w:t xml:space="preserve">изображени</w:t>
      </w:r>
      <w:r>
        <w:t xml:space="preserve">я</w:t>
      </w:r>
      <w:r>
        <w:t xml:space="preserve"> нос</w:t>
      </w:r>
      <w:r>
        <w:t xml:space="preserve">ят</w:t>
      </w:r>
      <w:r>
        <w:t xml:space="preserve"> информативный характер</w:t>
      </w:r>
      <w:r/>
    </w:p>
    <w:p>
      <w:pPr>
        <w:jc w:val="center"/>
        <w:shd w:val="clear" w:color="auto" w:fill="ffffff"/>
        <w:rPr>
          <w:b/>
          <w:bCs/>
        </w:rPr>
        <w:suppressLineNumbers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hd w:val="clear" w:color="auto" w:fill="ffffff"/>
        <w:rPr>
          <w:b/>
          <w:bCs/>
        </w:rPr>
        <w:suppressLineNumbers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hd w:val="clear" w:color="auto" w:fill="ffffff"/>
        <w:rPr>
          <w:b/>
          <w:bCs/>
        </w:rPr>
        <w:suppressLineNumbers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hd w:val="clear" w:color="auto" w:fill="ffffff"/>
        <w:rPr>
          <w:b/>
          <w:bCs/>
        </w:rPr>
        <w:suppressLineNumbers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hd w:val="clear" w:color="auto" w:fill="ffffff"/>
        <w:rPr>
          <w:b/>
          <w:bCs/>
        </w:rPr>
        <w:suppressLineNumbers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hd w:val="clear" w:color="auto" w:fill="ffffff"/>
        <w:rPr>
          <w:b/>
          <w:bCs/>
        </w:rPr>
        <w:suppressLineNumbers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right"/>
        <w:widowControl w:val="off"/>
        <w:outlineLvl w:val="1"/>
      </w:pPr>
      <w:r/>
      <w:r/>
    </w:p>
    <w:p>
      <w:pPr>
        <w:jc w:val="right"/>
        <w:widowControl w:val="off"/>
        <w:outlineLvl w:val="1"/>
      </w:pPr>
      <w:r/>
      <w:r/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rHeight w:val="371"/>
        </w:trPr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ПОСТАВЩИК</w:t>
            </w:r>
            <w:r/>
          </w:p>
        </w:tc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ЗАКАЗЧИК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>
          <w:trHeight w:val="70"/>
        </w:trPr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r>
              <w:t xml:space="preserve">___________________ / _____________ /  </w:t>
            </w:r>
            <w:r/>
          </w:p>
        </w:tc>
        <w:tc>
          <w:tcPr>
            <w:shd w:val="clear" w:color="ffffff" w:fill="ffffff"/>
            <w:tcW w:w="2500" w:type="pct"/>
            <w:textDirection w:val="lrTb"/>
            <w:noWrap w:val="false"/>
          </w:tcPr>
          <w:p>
            <w:pPr>
              <w:jc w:val="right"/>
            </w:pPr>
            <w:r>
              <w:t xml:space="preserve">____________</w:t>
            </w:r>
            <w:r>
              <w:t xml:space="preserve">____</w:t>
            </w:r>
            <w:r>
              <w:t xml:space="preserve">______ / </w:t>
            </w:r>
            <w:r>
              <w:t xml:space="preserve">О.С. Крылова </w:t>
            </w:r>
            <w:r>
              <w:t xml:space="preserve">/</w:t>
            </w:r>
            <w:r/>
          </w:p>
        </w:tc>
      </w:tr>
    </w:tbl>
    <w:p>
      <w:r/>
      <w:r/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1134" w:right="850" w:bottom="1134" w:left="1560" w:header="0" w:footer="545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Mangal">
    <w:panose1 w:val="020405030504060302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19134186"/>
      <w:docPartObj>
        <w:docPartGallery w:val="Page Numbers (Bottom of Page)"/>
        <w:docPartUnique w:val="true"/>
      </w:docPartObj>
      <w:rPr/>
    </w:sdtPr>
    <w:sdtContent>
      <w:p>
        <w:pPr>
          <w:pStyle w:val="89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89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rPr>
        <w:rStyle w:val="898"/>
      </w:rPr>
      <w:framePr w:wrap="around" w:vAnchor="text" w:hAnchor="margin" w:xAlign="center" w:y="1"/>
    </w:pPr>
    <w:r>
      <w:rPr>
        <w:rStyle w:val="898"/>
      </w:rPr>
      <w:fldChar w:fldCharType="begin"/>
    </w:r>
    <w:r>
      <w:rPr>
        <w:rStyle w:val="898"/>
      </w:rPr>
      <w:instrText xml:space="preserve">PAGE  </w:instrText>
    </w:r>
    <w:r>
      <w:rPr>
        <w:rStyle w:val="898"/>
      </w:rPr>
      <w:fldChar w:fldCharType="separate"/>
    </w:r>
    <w:r>
      <w:rPr>
        <w:rStyle w:val="898"/>
      </w:rPr>
      <w:t xml:space="preserve">#</w:t>
    </w:r>
    <w:r>
      <w:rPr>
        <w:rStyle w:val="898"/>
      </w:rPr>
      <w:fldChar w:fldCharType="end"/>
    </w:r>
    <w:r>
      <w:rPr>
        <w:rStyle w:val="898"/>
      </w:rPr>
    </w:r>
    <w:r>
      <w:rPr>
        <w:rStyle w:val="898"/>
      </w:rPr>
    </w:r>
  </w:p>
  <w:p>
    <w:pPr>
      <w:pStyle w:val="896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899"/>
      </w:pPr>
      <w:r>
        <w:rPr>
          <w:rStyle w:val="901"/>
        </w:rPr>
        <w:footnoteRef/>
      </w:r>
      <w:r>
        <w:t xml:space="preserve"> </w:t>
      </w:r>
      <w:r>
        <w:t xml:space="preserve">Указывается в случае, если </w:t>
      </w:r>
      <w:r>
        <w:t xml:space="preserve">Договор</w:t>
      </w:r>
      <w:r>
        <w:t xml:space="preserve"> заключается с лицами, не являющимися в соответствии с Налоговым </w:t>
      </w:r>
      <w:hyperlink r:id="rId1" w:tooltip="consultantplus://offline/ref=FB23C0A067FE866A8FC1678DD873038E6EA444DFCE681890E03495F7F50E5F5A58B540001CFCCE04B4A783215C41VDP" w:history="1">
        <w:r>
          <w:rPr>
            <w:color w:val="0000ff"/>
          </w:rPr>
          <w:t xml:space="preserve">кодексом</w:t>
        </w:r>
      </w:hyperlink>
      <w:r>
        <w:t xml:space="preserve"> Российской Федерации плательщиками НДС.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2"/>
    <w:next w:val="892"/>
    <w:link w:val="7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9">
    <w:name w:val="Heading 1 Char"/>
    <w:basedOn w:val="893"/>
    <w:link w:val="718"/>
    <w:uiPriority w:val="9"/>
    <w:rPr>
      <w:rFonts w:ascii="Arial" w:hAnsi="Arial" w:eastAsia="Arial" w:cs="Arial"/>
      <w:sz w:val="40"/>
      <w:szCs w:val="40"/>
    </w:rPr>
  </w:style>
  <w:style w:type="paragraph" w:styleId="720">
    <w:name w:val="Heading 2"/>
    <w:basedOn w:val="892"/>
    <w:next w:val="892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1">
    <w:name w:val="Heading 2 Char"/>
    <w:basedOn w:val="893"/>
    <w:link w:val="720"/>
    <w:uiPriority w:val="9"/>
    <w:rPr>
      <w:rFonts w:ascii="Arial" w:hAnsi="Arial" w:eastAsia="Arial" w:cs="Arial"/>
      <w:sz w:val="34"/>
    </w:rPr>
  </w:style>
  <w:style w:type="paragraph" w:styleId="722">
    <w:name w:val="Heading 3"/>
    <w:basedOn w:val="892"/>
    <w:next w:val="892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basedOn w:val="893"/>
    <w:link w:val="722"/>
    <w:uiPriority w:val="9"/>
    <w:rPr>
      <w:rFonts w:ascii="Arial" w:hAnsi="Arial" w:eastAsia="Arial" w:cs="Arial"/>
      <w:sz w:val="30"/>
      <w:szCs w:val="30"/>
    </w:rPr>
  </w:style>
  <w:style w:type="paragraph" w:styleId="724">
    <w:name w:val="Heading 4"/>
    <w:basedOn w:val="892"/>
    <w:next w:val="892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basedOn w:val="893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2"/>
    <w:next w:val="892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basedOn w:val="893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2"/>
    <w:next w:val="892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basedOn w:val="893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2"/>
    <w:next w:val="892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3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2"/>
    <w:next w:val="892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3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2"/>
    <w:next w:val="892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3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List Paragraph"/>
    <w:basedOn w:val="892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2"/>
    <w:next w:val="892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basedOn w:val="893"/>
    <w:link w:val="738"/>
    <w:uiPriority w:val="10"/>
    <w:rPr>
      <w:sz w:val="48"/>
      <w:szCs w:val="48"/>
    </w:rPr>
  </w:style>
  <w:style w:type="paragraph" w:styleId="740">
    <w:name w:val="Subtitle"/>
    <w:basedOn w:val="892"/>
    <w:next w:val="892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basedOn w:val="893"/>
    <w:link w:val="740"/>
    <w:uiPriority w:val="11"/>
    <w:rPr>
      <w:sz w:val="24"/>
      <w:szCs w:val="24"/>
    </w:rPr>
  </w:style>
  <w:style w:type="paragraph" w:styleId="742">
    <w:name w:val="Quote"/>
    <w:basedOn w:val="892"/>
    <w:next w:val="892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2"/>
    <w:next w:val="892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93"/>
    <w:link w:val="902"/>
    <w:uiPriority w:val="99"/>
  </w:style>
  <w:style w:type="character" w:styleId="747">
    <w:name w:val="Footer Char"/>
    <w:basedOn w:val="893"/>
    <w:link w:val="896"/>
    <w:uiPriority w:val="99"/>
  </w:style>
  <w:style w:type="paragraph" w:styleId="748">
    <w:name w:val="Caption"/>
    <w:basedOn w:val="892"/>
    <w:next w:val="892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893"/>
    <w:link w:val="748"/>
    <w:uiPriority w:val="35"/>
    <w:rPr>
      <w:b/>
      <w:bCs/>
      <w:color w:val="4f81bd" w:themeColor="accent1"/>
      <w:sz w:val="18"/>
      <w:szCs w:val="18"/>
    </w:rPr>
  </w:style>
  <w:style w:type="table" w:styleId="750">
    <w:name w:val="Table Grid"/>
    <w:basedOn w:val="89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 &amp; 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4">
    <w:name w:val="Bordered &amp; 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5">
    <w:name w:val="Bordered &amp; 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6">
    <w:name w:val="Bordered &amp; 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7">
    <w:name w:val="Bordered &amp; 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8">
    <w:name w:val="Bordered &amp; 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9">
    <w:name w:val="Bordered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6">
    <w:name w:val="Hyperlink"/>
    <w:uiPriority w:val="99"/>
    <w:unhideWhenUsed/>
    <w:rPr>
      <w:color w:val="0000ff" w:themeColor="hyperlink"/>
      <w:u w:val="single"/>
    </w:rPr>
  </w:style>
  <w:style w:type="character" w:styleId="877">
    <w:name w:val="Footnote Text Char"/>
    <w:link w:val="899"/>
    <w:uiPriority w:val="99"/>
    <w:rPr>
      <w:sz w:val="18"/>
    </w:rPr>
  </w:style>
  <w:style w:type="paragraph" w:styleId="878">
    <w:name w:val="endnote text"/>
    <w:basedOn w:val="892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93"/>
    <w:uiPriority w:val="99"/>
    <w:semiHidden/>
    <w:unhideWhenUsed/>
    <w:rPr>
      <w:vertAlign w:val="superscript"/>
    </w:rPr>
  </w:style>
  <w:style w:type="paragraph" w:styleId="881">
    <w:name w:val="toc 1"/>
    <w:basedOn w:val="892"/>
    <w:next w:val="892"/>
    <w:uiPriority w:val="39"/>
    <w:unhideWhenUsed/>
    <w:pPr>
      <w:ind w:left="0" w:right="0" w:firstLine="0"/>
      <w:spacing w:after="57"/>
    </w:pPr>
  </w:style>
  <w:style w:type="paragraph" w:styleId="882">
    <w:name w:val="toc 2"/>
    <w:basedOn w:val="892"/>
    <w:next w:val="892"/>
    <w:uiPriority w:val="39"/>
    <w:unhideWhenUsed/>
    <w:pPr>
      <w:ind w:left="283" w:right="0" w:firstLine="0"/>
      <w:spacing w:after="57"/>
    </w:pPr>
  </w:style>
  <w:style w:type="paragraph" w:styleId="883">
    <w:name w:val="toc 3"/>
    <w:basedOn w:val="892"/>
    <w:next w:val="892"/>
    <w:uiPriority w:val="39"/>
    <w:unhideWhenUsed/>
    <w:pPr>
      <w:ind w:left="567" w:right="0" w:firstLine="0"/>
      <w:spacing w:after="57"/>
    </w:pPr>
  </w:style>
  <w:style w:type="paragraph" w:styleId="884">
    <w:name w:val="toc 4"/>
    <w:basedOn w:val="892"/>
    <w:next w:val="892"/>
    <w:uiPriority w:val="39"/>
    <w:unhideWhenUsed/>
    <w:pPr>
      <w:ind w:left="850" w:right="0" w:firstLine="0"/>
      <w:spacing w:after="57"/>
    </w:pPr>
  </w:style>
  <w:style w:type="paragraph" w:styleId="885">
    <w:name w:val="toc 5"/>
    <w:basedOn w:val="892"/>
    <w:next w:val="892"/>
    <w:uiPriority w:val="39"/>
    <w:unhideWhenUsed/>
    <w:pPr>
      <w:ind w:left="1134" w:right="0" w:firstLine="0"/>
      <w:spacing w:after="57"/>
    </w:pPr>
  </w:style>
  <w:style w:type="paragraph" w:styleId="886">
    <w:name w:val="toc 6"/>
    <w:basedOn w:val="892"/>
    <w:next w:val="892"/>
    <w:uiPriority w:val="39"/>
    <w:unhideWhenUsed/>
    <w:pPr>
      <w:ind w:left="1417" w:right="0" w:firstLine="0"/>
      <w:spacing w:after="57"/>
    </w:pPr>
  </w:style>
  <w:style w:type="paragraph" w:styleId="887">
    <w:name w:val="toc 7"/>
    <w:basedOn w:val="892"/>
    <w:next w:val="892"/>
    <w:uiPriority w:val="39"/>
    <w:unhideWhenUsed/>
    <w:pPr>
      <w:ind w:left="1701" w:right="0" w:firstLine="0"/>
      <w:spacing w:after="57"/>
    </w:pPr>
  </w:style>
  <w:style w:type="paragraph" w:styleId="888">
    <w:name w:val="toc 8"/>
    <w:basedOn w:val="892"/>
    <w:next w:val="892"/>
    <w:uiPriority w:val="39"/>
    <w:unhideWhenUsed/>
    <w:pPr>
      <w:ind w:left="1984" w:right="0" w:firstLine="0"/>
      <w:spacing w:after="57"/>
    </w:pPr>
  </w:style>
  <w:style w:type="paragraph" w:styleId="889">
    <w:name w:val="toc 9"/>
    <w:basedOn w:val="892"/>
    <w:next w:val="892"/>
    <w:uiPriority w:val="39"/>
    <w:unhideWhenUsed/>
    <w:pPr>
      <w:ind w:left="2268" w:right="0" w:firstLine="0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892"/>
    <w:next w:val="892"/>
    <w:uiPriority w:val="99"/>
    <w:unhideWhenUsed/>
    <w:pPr>
      <w:spacing w:after="0" w:afterAutospacing="0"/>
    </w:pPr>
  </w:style>
  <w:style w:type="paragraph" w:styleId="8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ar-SA"/>
    </w:rPr>
  </w:style>
  <w:style w:type="character" w:styleId="893" w:default="1">
    <w:name w:val="Default Paragraph Font"/>
    <w:uiPriority w:val="1"/>
    <w:semiHidden/>
    <w:unhideWhenUsed/>
  </w:style>
  <w:style w:type="table" w:styleId="8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5" w:default="1">
    <w:name w:val="No List"/>
    <w:uiPriority w:val="99"/>
    <w:semiHidden/>
    <w:unhideWhenUsed/>
  </w:style>
  <w:style w:type="paragraph" w:styleId="896">
    <w:name w:val="Footer"/>
    <w:basedOn w:val="892"/>
    <w:link w:val="897"/>
    <w:uiPriority w:val="99"/>
    <w:pPr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893"/>
    <w:link w:val="896"/>
    <w:uiPriority w:val="99"/>
    <w:rPr>
      <w:rFonts w:ascii="Times New Roman" w:hAnsi="Times New Roman" w:eastAsia="Times New Roman" w:cs="Times New Roman"/>
      <w:color w:val="000000"/>
      <w:sz w:val="24"/>
      <w:szCs w:val="20"/>
      <w:lang w:eastAsia="ar-SA"/>
    </w:rPr>
  </w:style>
  <w:style w:type="character" w:styleId="898">
    <w:name w:val="page number"/>
  </w:style>
  <w:style w:type="paragraph" w:styleId="899">
    <w:name w:val="footnote text"/>
    <w:basedOn w:val="892"/>
    <w:link w:val="900"/>
    <w:uiPriority w:val="99"/>
    <w:semiHidden/>
    <w:unhideWhenUsed/>
    <w:rPr>
      <w:sz w:val="20"/>
    </w:rPr>
  </w:style>
  <w:style w:type="character" w:styleId="900" w:customStyle="1">
    <w:name w:val="Текст сноски Знак"/>
    <w:basedOn w:val="893"/>
    <w:link w:val="899"/>
    <w:uiPriority w:val="99"/>
    <w:semiHidden/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character" w:styleId="901">
    <w:name w:val="footnote reference"/>
    <w:uiPriority w:val="99"/>
    <w:semiHidden/>
    <w:unhideWhenUsed/>
    <w:rPr>
      <w:vertAlign w:val="superscript"/>
    </w:rPr>
  </w:style>
  <w:style w:type="paragraph" w:styleId="902">
    <w:name w:val="Header"/>
    <w:basedOn w:val="892"/>
    <w:link w:val="9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3" w:customStyle="1">
    <w:name w:val="Верхний колонтитул Знак"/>
    <w:basedOn w:val="893"/>
    <w:link w:val="902"/>
    <w:uiPriority w:val="99"/>
    <w:rPr>
      <w:rFonts w:ascii="Times New Roman" w:hAnsi="Times New Roman" w:eastAsia="Times New Roman" w:cs="Times New Roman"/>
      <w:color w:val="000000"/>
      <w:sz w:val="24"/>
      <w:szCs w:val="20"/>
      <w:lang w:eastAsia="ar-SA"/>
    </w:rPr>
  </w:style>
  <w:style w:type="paragraph" w:styleId="904">
    <w:name w:val="Balloon Text"/>
    <w:basedOn w:val="892"/>
    <w:link w:val="90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5" w:customStyle="1">
    <w:name w:val="Текст выноски Знак"/>
    <w:basedOn w:val="893"/>
    <w:link w:val="904"/>
    <w:uiPriority w:val="99"/>
    <w:semiHidden/>
    <w:rPr>
      <w:rFonts w:ascii="Segoe UI" w:hAnsi="Segoe UI" w:eastAsia="Times New Roman" w:cs="Segoe UI"/>
      <w:color w:val="000000"/>
      <w:sz w:val="18"/>
      <w:szCs w:val="18"/>
      <w:lang w:eastAsia="ar-SA"/>
    </w:rPr>
  </w:style>
  <w:style w:type="paragraph" w:styleId="906" w:customStyle="1">
    <w:name w:val="АД_Текст отступ 3"/>
    <w:basedOn w:val="882"/>
    <w:link w:val="887"/>
    <w:qFormat/>
    <w:pPr>
      <w:contextualSpacing w:val="0"/>
      <w:ind w:left="14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consultantplus://offline/ref=FB23C0A067FE866A8FC1678DD873038E6EA444DFCE681890E03495F7F50E5F5A58B540001CFCCE04B4A783215C41VDP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Контрактный управляющий</dc:creator>
  <cp:keywords/>
  <dc:description/>
  <cp:lastModifiedBy>kolotilinaayu</cp:lastModifiedBy>
  <cp:revision>200</cp:revision>
  <dcterms:created xsi:type="dcterms:W3CDTF">2021-09-14T23:46:00Z</dcterms:created>
  <dcterms:modified xsi:type="dcterms:W3CDTF">2026-08-31T23:56:03Z</dcterms:modified>
</cp:coreProperties>
</file>