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rPr>
          <w:b/>
        </w:rPr>
      </w:pPr>
      <w:r>
        <w:rPr>
          <w:b/>
        </w:rPr>
        <w:t xml:space="preserve">КОНТРАКТ № ЕП/2</w:t>
      </w:r>
      <w:r>
        <w:rPr>
          <w:b/>
        </w:rPr>
        <w:t xml:space="preserve">5</w:t>
      </w:r>
      <w:r>
        <w:rPr>
          <w:b/>
        </w:rPr>
        <w:t xml:space="preserve">_</w:t>
      </w:r>
      <w:r>
        <w:rPr>
          <w:b/>
        </w:rPr>
        <w:t xml:space="preserve">81</w:t>
      </w:r>
      <w:r>
        <w:rPr>
          <w:b/>
        </w:rPr>
      </w:r>
      <w:r>
        <w:rPr>
          <w:b/>
        </w:rPr>
      </w:r>
    </w:p>
    <w:p>
      <w:pPr>
        <w:ind w:right="-1" w:firstLine="142"/>
        <w:jc w:val="center"/>
        <w:spacing w:after="0"/>
        <w:rPr>
          <w:b/>
          <w:bCs/>
        </w:rPr>
      </w:pPr>
      <w:r>
        <w:rPr>
          <w:b/>
        </w:rPr>
      </w:r>
      <w:r>
        <w:rPr>
          <w:b/>
        </w:rPr>
        <w:t xml:space="preserve">на оказание услуг по передаче сертификата на адаптацию и сопровождение </w:t>
      </w:r>
      <w:r>
        <w:rPr>
          <w:b/>
          <w:bCs/>
        </w:rPr>
        <w:t xml:space="preserve">экземпляров Систем </w:t>
      </w:r>
      <w:r>
        <w:rPr>
          <w:b/>
          <w:bCs/>
        </w:rPr>
        <w:t xml:space="preserve">КонсультантПлюс</w:t>
      </w:r>
      <w:r>
        <w:rPr>
          <w:b/>
          <w:bCs/>
        </w:rPr>
      </w:r>
      <w:r>
        <w:rPr>
          <w:b/>
          <w:bCs/>
        </w:rPr>
      </w:r>
    </w:p>
    <w:p>
      <w:pPr>
        <w:jc w:val="center"/>
        <w:rPr>
          <w:caps/>
        </w:rPr>
      </w:pPr>
      <w:r>
        <w:rPr>
          <w:rStyle w:val="978"/>
          <w:b w:val="0"/>
          <w:caps/>
        </w:rPr>
        <w:t xml:space="preserve">(ИКЗ</w:t>
      </w:r>
      <w:r>
        <w:t xml:space="preserve"> </w:t>
      </w:r>
      <w:r>
        <w:t xml:space="preserve">26177</w:t>
      </w:r>
      <w:r>
        <w:rPr>
          <w:b w:val="0"/>
          <w:bCs w:val="0"/>
        </w:rPr>
        <w:t xml:space="preserve">0411620577080100100010000000244</w:t>
      </w:r>
      <w:r>
        <w:rPr>
          <w:rStyle w:val="978"/>
          <w:b w:val="0"/>
          <w:caps/>
        </w:rPr>
        <w:t xml:space="preserve">)</w:t>
      </w:r>
      <w:r>
        <w:rPr>
          <w:caps/>
        </w:rPr>
      </w:r>
      <w:r>
        <w:rPr>
          <w:caps/>
        </w:rPr>
      </w:r>
    </w:p>
    <w:p>
      <w:pPr>
        <w:spacing w:after="0"/>
      </w:pPr>
      <w:r>
        <w:rPr>
          <w:lang w:eastAsia="ar-SA"/>
        </w:rPr>
        <w:t xml:space="preserve">г. Москва</w:t>
      </w:r>
      <w:r>
        <w:rPr>
          <w:lang w:eastAsia="ar-SA"/>
        </w:rPr>
        <w:tab/>
      </w:r>
      <w:r>
        <w:rPr>
          <w:lang w:eastAsia="ar-SA"/>
        </w:rPr>
        <w:tab/>
      </w:r>
      <w:r>
        <w:rPr>
          <w:lang w:eastAsia="ar-SA"/>
        </w:rPr>
        <w:tab/>
      </w:r>
      <w:r>
        <w:rPr>
          <w:lang w:eastAsia="ar-SA"/>
        </w:rPr>
        <w:tab/>
      </w:r>
      <w:r>
        <w:rPr>
          <w:lang w:eastAsia="ar-SA"/>
        </w:rPr>
        <w:tab/>
        <w:t xml:space="preserve">                                                       </w:t>
      </w:r>
      <w:r>
        <w:rPr>
          <w:lang w:eastAsia="ar-SA"/>
        </w:rPr>
        <w:t xml:space="preserve">   «</w:t>
      </w:r>
      <w:r>
        <w:rPr>
          <w:lang w:eastAsia="ar-SA"/>
        </w:rPr>
        <w:t xml:space="preserve">    » ________ 2026</w:t>
      </w:r>
      <w:r>
        <w:rPr>
          <w:lang w:eastAsia="ar-SA"/>
        </w:rPr>
        <w:t xml:space="preserve"> г.</w:t>
      </w:r>
      <w:r/>
    </w:p>
    <w:p>
      <w:pPr>
        <w:spacing w:after="0"/>
      </w:pPr>
      <w:r/>
      <w:r/>
    </w:p>
    <w:p>
      <w:pPr>
        <w:ind w:firstLine="567"/>
        <w:rPr>
          <w:color w:val="000000"/>
        </w:rPr>
      </w:pPr>
      <w:r>
        <w:t xml:space="preserve">Федеральное государственное бюджетное учреждение «Ситуационно-информационный центр Министерства транспорта Российской Федерации» (ФГБУ «СИЦ Минтранса России»)</w:t>
      </w:r>
      <w:r>
        <w:rPr>
          <w:color w:val="000000"/>
        </w:rPr>
        <w:t xml:space="preserve">, именуемое в дальнейшем «Заказчик», в лице директора Кислякова Александра Валерьевича, действующего на основании Устава, с одной стороны, и ________________________</w:t>
      </w:r>
      <w:r>
        <w:rPr>
          <w:rFonts w:eastAsia="TimesET;Times New Roman"/>
          <w:lang w:eastAsia="ar-SA"/>
        </w:rPr>
        <w:t xml:space="preserve">, именуемое в дальнейшем «Исполнитель», в</w:t>
      </w:r>
      <w:r>
        <w:rPr>
          <w:color w:val="000000"/>
        </w:rPr>
        <w:t xml:space="preserve">месте именуемые «Стороны», а по отдельности «Сторона», на основании пункта 4 части 1 статьи 93 Фе</w:t>
      </w:r>
      <w:r>
        <w:rPr>
          <w:color w:val="000000"/>
        </w:rPr>
        <w:t xml:space="preserve">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(далее – Контракт) о нижеследующем:</w:t>
      </w:r>
      <w:r>
        <w:rPr>
          <w:color w:val="000000"/>
        </w:rPr>
      </w:r>
      <w:r>
        <w:rPr>
          <w:color w:val="000000"/>
        </w:rPr>
      </w:r>
    </w:p>
    <w:p>
      <w:pPr>
        <w:spacing w:after="0"/>
        <w:tabs>
          <w:tab w:val="left" w:pos="851" w:leader="none"/>
          <w:tab w:val="left" w:pos="993" w:leader="none"/>
        </w:tabs>
      </w:pPr>
      <w:r/>
      <w:r/>
    </w:p>
    <w:p>
      <w:pPr>
        <w:jc w:val="center"/>
        <w:spacing w:after="0"/>
        <w:tabs>
          <w:tab w:val="left" w:pos="851" w:leader="none"/>
          <w:tab w:val="left" w:pos="993" w:leader="none"/>
        </w:tabs>
        <w:rPr>
          <w:b/>
          <w:bCs/>
        </w:rPr>
      </w:pPr>
      <w:r>
        <w:rPr>
          <w:b/>
        </w:rPr>
        <w:t xml:space="preserve">1. ОСНОВНЫЕ ПОНЯТИЯ</w:t>
      </w:r>
      <w:r>
        <w:rPr>
          <w:b/>
          <w:bCs/>
        </w:rPr>
      </w:r>
      <w:r>
        <w:rPr>
          <w:b/>
          <w:bCs/>
        </w:rPr>
      </w:r>
    </w:p>
    <w:p>
      <w:pPr>
        <w:ind w:firstLine="426"/>
        <w:spacing w:after="0"/>
        <w:widowControl w:val="off"/>
      </w:pPr>
      <w:r/>
      <w:bookmarkStart w:id="0" w:name="Par453"/>
      <w:r/>
      <w:bookmarkStart w:id="1" w:name="Par2118"/>
      <w:r/>
      <w:bookmarkEnd w:id="0"/>
      <w:r/>
      <w:bookmarkEnd w:id="1"/>
      <w:r>
        <w:t xml:space="preserve">1.1. </w:t>
      </w:r>
      <w:r>
        <w:rPr>
          <w:b/>
          <w:bCs/>
        </w:rPr>
        <w:t xml:space="preserve">Справочная Правовая Система </w:t>
      </w:r>
      <w:r>
        <w:rPr>
          <w:b/>
          <w:bCs/>
        </w:rPr>
        <w:t xml:space="preserve">КонсультантПлюс</w:t>
      </w:r>
      <w:r>
        <w:t xml:space="preserve"> (далее - Система </w:t>
      </w:r>
      <w:r>
        <w:t xml:space="preserve">КонсультантПлюс</w:t>
      </w:r>
      <w:r>
        <w:t xml:space="preserve"> или Система) -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r/>
    </w:p>
    <w:p>
      <w:pPr>
        <w:ind w:firstLine="426"/>
        <w:spacing w:after="0"/>
        <w:widowControl w:val="off"/>
      </w:pPr>
      <w:r>
        <w:t xml:space="preserve">1.2. </w:t>
      </w:r>
      <w:r>
        <w:rPr>
          <w:b/>
          <w:bCs/>
        </w:rPr>
        <w:t xml:space="preserve">Экземпляр Системы</w:t>
      </w:r>
      <w:r>
        <w:t xml:space="preserve"> - копия Системы </w:t>
      </w:r>
      <w:r>
        <w:t xml:space="preserve">КонсультантПлюс</w:t>
      </w:r>
      <w:r>
        <w:t xml:space="preserve">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r/>
    </w:p>
    <w:p>
      <w:pPr>
        <w:ind w:firstLine="426"/>
        <w:spacing w:after="0"/>
        <w:widowControl w:val="off"/>
      </w:pPr>
      <w:r/>
      <w:bookmarkStart w:id="2" w:name="Par846"/>
      <w:r/>
      <w:bookmarkEnd w:id="2"/>
      <w:r>
        <w:t xml:space="preserve">1.3. </w:t>
      </w:r>
      <w:r>
        <w:rPr>
          <w:b/>
          <w:bCs/>
        </w:rPr>
        <w:t xml:space="preserve">Порядок использования Систем</w:t>
      </w:r>
      <w:r>
        <w:t xml:space="preserve"> - совокупность технических параметров, разрешенных способов и условий использования комплекта Систем.</w:t>
      </w:r>
      <w:r/>
    </w:p>
    <w:p>
      <w:pPr>
        <w:ind w:firstLine="426"/>
        <w:spacing w:after="0"/>
        <w:widowControl w:val="off"/>
      </w:pPr>
      <w:r/>
      <w:bookmarkStart w:id="3" w:name="Par847"/>
      <w:r/>
      <w:bookmarkEnd w:id="3"/>
      <w:r>
        <w:t xml:space="preserve">1.4. </w:t>
      </w:r>
      <w:r>
        <w:rPr>
          <w:b/>
          <w:bCs/>
        </w:rPr>
        <w:t xml:space="preserve">Уникальный пользователь</w:t>
      </w:r>
      <w:r>
        <w:t xml:space="preserve"> - физическое лицо, состоящее в трудовых отношениях с</w:t>
      </w:r>
      <w:r>
        <w:rPr>
          <w:lang w:val="en-US"/>
        </w:rPr>
        <w:t xml:space="preserve"> </w:t>
      </w:r>
      <w:r>
        <w:t xml:space="preserve">Заказчиком (работник), являющееся пользователем Системы.</w:t>
      </w:r>
      <w:r/>
    </w:p>
    <w:p>
      <w:pPr>
        <w:ind w:firstLine="426"/>
        <w:spacing w:after="0"/>
        <w:widowControl w:val="off"/>
      </w:pPr>
      <w:r/>
      <w:bookmarkStart w:id="4" w:name="Par848"/>
      <w:r/>
      <w:bookmarkEnd w:id="4"/>
      <w:r>
        <w:t xml:space="preserve">1.5. </w:t>
      </w:r>
      <w:r>
        <w:rPr>
          <w:b/>
          <w:bCs/>
        </w:rPr>
        <w:t xml:space="preserve">Регистрация</w:t>
      </w:r>
      <w:r>
        <w:t xml:space="preserve"> - процедура, при которой запоминаются параметры конкретного электронного устройства и в экземпляр Системы вносятся определенные изменения (адаптация Системы),</w:t>
      </w:r>
      <w:r>
        <w:t xml:space="preserve"> после чего становится возможным использование экземпляра Системы. По выбору Заказчика экземпляр Системы может быть зарегистрирован на ЭВМ Заказчика, на ЭВМ Исполнителя, на ЭВМ Разработчика Систем. Особенности регистрации определяются настоящим Контрактом.</w:t>
      </w:r>
      <w:r/>
    </w:p>
    <w:p>
      <w:pPr>
        <w:ind w:firstLine="426"/>
        <w:spacing w:after="0"/>
        <w:widowControl w:val="off"/>
      </w:pPr>
      <w:r>
        <w:t xml:space="preserve">1.6. </w:t>
      </w:r>
      <w:r>
        <w:rPr>
          <w:b/>
          <w:bCs/>
        </w:rPr>
        <w:t xml:space="preserve">КЦ </w:t>
      </w:r>
      <w:r>
        <w:rPr>
          <w:b/>
          <w:bCs/>
        </w:rPr>
        <w:t xml:space="preserve">КонсультантПлюс</w:t>
      </w:r>
      <w:r>
        <w:t xml:space="preserve"> - организация, на основании договора с которой Дистрибьютор осуществляет оказание услуг по адаптации и сопровождению экземпляров Систем.</w:t>
      </w:r>
      <w:r/>
    </w:p>
    <w:p>
      <w:pPr>
        <w:ind w:firstLine="426"/>
        <w:spacing w:after="0"/>
        <w:widowControl w:val="off"/>
      </w:pPr>
      <w:r>
        <w:t xml:space="preserve">Исполнитель осуществляет оказание услуг по адаптации и сопровождению экземпляров Систем на основании договора с </w:t>
      </w:r>
      <w:r>
        <w:t xml:space="preserve">_________________</w:t>
      </w:r>
      <w:r>
        <w:t xml:space="preserve"> (Дистрибьютор). </w:t>
      </w:r>
      <w:r/>
    </w:p>
    <w:p>
      <w:pPr>
        <w:ind w:firstLine="426"/>
        <w:spacing w:after="0"/>
        <w:widowControl w:val="off"/>
      </w:pPr>
      <w:r>
        <w:t xml:space="preserve">1.7. </w:t>
      </w:r>
      <w:r>
        <w:rPr>
          <w:b/>
          <w:bCs/>
        </w:rPr>
        <w:t xml:space="preserve">Правомерный приобретатель экземпляра Системы</w:t>
      </w:r>
      <w:r>
        <w:t xml:space="preserve"> (Заказчик) - физическое/юридическое лицо, приобретшее экземпляр Системы у официального Дистрибьютора (Представителя) Сети </w:t>
      </w:r>
      <w:r>
        <w:t xml:space="preserve">КонсультантПлюс</w:t>
      </w:r>
      <w:r>
        <w:t xml:space="preserve"> или получившее на законных основаниях от физического/юридического лица экземпляр Системы, ранее приобретенный у официального Дистрибьютора (Представителя) Сети </w:t>
      </w:r>
      <w:r>
        <w:t xml:space="preserve">КонсультантПлюс</w:t>
      </w:r>
      <w:r>
        <w:t xml:space="preserve"> (от правомерного приобретателя экземпляра Системы).</w:t>
      </w:r>
      <w:r/>
    </w:p>
    <w:p>
      <w:pPr>
        <w:ind w:firstLine="426"/>
        <w:spacing w:after="0"/>
        <w:widowControl w:val="off"/>
      </w:pPr>
      <w:r/>
      <w:bookmarkStart w:id="5" w:name="Par849"/>
      <w:r/>
      <w:bookmarkEnd w:id="5"/>
      <w:r>
        <w:t xml:space="preserve">1.8. </w:t>
      </w:r>
      <w:r>
        <w:rPr>
          <w:b/>
          <w:bCs/>
        </w:rPr>
        <w:t xml:space="preserve">Разработчик (правообладатель) Систем </w:t>
      </w:r>
      <w:r>
        <w:rPr>
          <w:b/>
          <w:bCs/>
        </w:rPr>
        <w:t xml:space="preserve">КонсультантПлюс</w:t>
      </w:r>
      <w:r>
        <w:t xml:space="preserve"> – ЗАО «Консультант Плюс».</w:t>
      </w:r>
      <w:r/>
    </w:p>
    <w:p>
      <w:pPr>
        <w:ind w:firstLine="426"/>
        <w:spacing w:after="0"/>
        <w:widowControl w:val="off"/>
      </w:pPr>
      <w:r/>
      <w:r/>
    </w:p>
    <w:p>
      <w:pPr>
        <w:numPr>
          <w:ilvl w:val="0"/>
          <w:numId w:val="1"/>
        </w:numPr>
        <w:contextualSpacing/>
        <w:jc w:val="center"/>
        <w:spacing w:after="0"/>
        <w:tabs>
          <w:tab w:val="left" w:pos="851" w:leader="none"/>
          <w:tab w:val="left" w:pos="993" w:leader="none"/>
        </w:tabs>
        <w:rPr>
          <w:b/>
        </w:rPr>
      </w:pPr>
      <w:r>
        <w:rPr>
          <w:b/>
          <w:lang w:eastAsia="ar-SA"/>
        </w:rPr>
        <w:t xml:space="preserve">ПРЕДМЕТ КОНТРАКТА</w:t>
      </w:r>
      <w:r>
        <w:rPr>
          <w:b/>
        </w:rPr>
      </w:r>
      <w:r>
        <w:rPr>
          <w:b/>
        </w:rPr>
      </w:r>
    </w:p>
    <w:p>
      <w:pPr>
        <w:numPr>
          <w:ilvl w:val="1"/>
          <w:numId w:val="1"/>
        </w:numPr>
        <w:ind w:left="0" w:firstLine="425"/>
        <w:spacing w:after="0"/>
        <w:tabs>
          <w:tab w:val="left" w:pos="993" w:leader="none"/>
        </w:tabs>
        <w:rPr>
          <w:b/>
        </w:rPr>
      </w:pPr>
      <w:r>
        <w:t xml:space="preserve">Исполнитель обязуется по заданию Заказчика в порядке и сроки, предусмотренные Контрактом, </w:t>
      </w:r>
      <w:r>
        <w:t xml:space="preserve">передать сертификат и </w:t>
      </w:r>
      <w:r>
        <w:t xml:space="preserve">оказ</w:t>
      </w:r>
      <w:r>
        <w:t xml:space="preserve">ывать</w:t>
      </w:r>
      <w:r>
        <w:t xml:space="preserve"> </w:t>
      </w:r>
      <w:r>
        <w:t xml:space="preserve">услуги по адаптации и сопровождению Систем </w:t>
      </w:r>
      <w:r>
        <w:t xml:space="preserve">КонсультантПлюс</w:t>
      </w:r>
      <w:r>
        <w:t xml:space="preserve"> (далее – Услуги) в соответствии с</w:t>
      </w:r>
      <w:r>
        <w:rPr>
          <w:lang w:val="en-US"/>
        </w:rPr>
        <w:t xml:space="preserve"> </w:t>
      </w:r>
      <w:r>
        <w:t xml:space="preserve">требованиями, установленными в Техническом задании (Приложение № 1 к Контракту), а</w:t>
      </w:r>
      <w:r>
        <w:rPr>
          <w:lang w:val="en-US"/>
        </w:rPr>
        <w:t xml:space="preserve"> </w:t>
      </w:r>
      <w:r>
        <w:t xml:space="preserve">Заказчик обязуется принять и оплатить оказанные Услуги в порядке и на условиях, предусмотренных Контрактом.</w:t>
      </w:r>
      <w:r>
        <w:rPr>
          <w:b/>
        </w:rPr>
      </w:r>
      <w:r>
        <w:rPr>
          <w:b/>
        </w:rPr>
      </w:r>
    </w:p>
    <w:p>
      <w:pPr>
        <w:ind w:firstLine="567"/>
        <w:spacing w:after="0"/>
        <w:tabs>
          <w:tab w:val="left" w:pos="993" w:leader="none"/>
        </w:tabs>
      </w:pPr>
      <w:r>
        <w:t xml:space="preserve">Наименование Систем, стоимость и объем Услуги, указываются в</w:t>
      </w:r>
      <w:r>
        <w:rPr>
          <w:lang w:val="en-US"/>
        </w:rPr>
        <w:t xml:space="preserve"> </w:t>
      </w:r>
      <w:r>
        <w:t xml:space="preserve">Расшифровке цены Контракта (Приложение № 2 Контракту).</w:t>
      </w:r>
      <w:r/>
    </w:p>
    <w:p>
      <w:pPr>
        <w:pStyle w:val="966"/>
        <w:numPr>
          <w:ilvl w:val="1"/>
          <w:numId w:val="1"/>
        </w:numPr>
        <w:ind w:left="0" w:firstLine="426"/>
        <w:spacing w:after="0"/>
        <w:widowControl w:val="off"/>
      </w:pPr>
      <w:r>
        <w:t xml:space="preserve">Срок оказания услуг: </w:t>
      </w:r>
      <w:r>
        <w:t xml:space="preserve">в течение </w:t>
      </w:r>
      <w:r>
        <w:t xml:space="preserve">20</w:t>
      </w:r>
      <w:r>
        <w:t xml:space="preserve"> (</w:t>
      </w:r>
      <w:r>
        <w:t xml:space="preserve">двадцати</w:t>
      </w:r>
      <w:r>
        <w:t xml:space="preserve">) рабочих дней с даты заключения Контракта Исполнитель передает Заказчику сертификат на адаптацию и сопровождение </w:t>
      </w:r>
      <w:r>
        <w:t xml:space="preserve">экземпляров Систем </w:t>
      </w:r>
      <w:r>
        <w:t xml:space="preserve">КонсультантПлюс</w:t>
      </w:r>
      <w:r>
        <w:t xml:space="preserve"> </w:t>
      </w:r>
      <w:r>
        <w:t xml:space="preserve">на 12 месяцев (с </w:t>
      </w:r>
      <w:r>
        <w:t xml:space="preserve">01</w:t>
      </w:r>
      <w:r>
        <w:t xml:space="preserve">.</w:t>
      </w:r>
      <w:r>
        <w:t xml:space="preserve">10</w:t>
      </w:r>
      <w:r>
        <w:t xml:space="preserve">.202</w:t>
      </w:r>
      <w:r>
        <w:t xml:space="preserve">6</w:t>
      </w:r>
      <w:r>
        <w:t xml:space="preserve"> по </w:t>
      </w:r>
      <w:r>
        <w:t xml:space="preserve">30</w:t>
      </w:r>
      <w:r>
        <w:t xml:space="preserve">.</w:t>
      </w:r>
      <w:r>
        <w:t xml:space="preserve">09</w:t>
      </w:r>
      <w:r>
        <w:t xml:space="preserve">.202</w:t>
      </w:r>
      <w:r>
        <w:t xml:space="preserve">7</w:t>
      </w:r>
      <w:r>
        <w:t xml:space="preserve"> (включительно</w:t>
      </w:r>
      <w:r>
        <w:t xml:space="preserve">)</w:t>
      </w:r>
      <w:r>
        <w:t xml:space="preserve">.</w:t>
      </w:r>
      <w:r/>
    </w:p>
    <w:p>
      <w:pPr>
        <w:pStyle w:val="966"/>
        <w:numPr>
          <w:ilvl w:val="1"/>
          <w:numId w:val="1"/>
        </w:numPr>
        <w:ind w:left="0" w:firstLine="426"/>
        <w:spacing w:after="0"/>
        <w:widowControl w:val="off"/>
        <w:tabs>
          <w:tab w:val="left" w:pos="555" w:leader="none"/>
          <w:tab w:val="left" w:pos="851" w:leader="none"/>
        </w:tabs>
      </w:pPr>
      <w:r>
        <w:t xml:space="preserve">Количество одновременных доступов (далее – ОД): 10 (десять).</w:t>
      </w:r>
      <w:r/>
    </w:p>
    <w:p>
      <w:pPr>
        <w:ind w:left="426"/>
        <w:spacing w:after="0"/>
        <w:tabs>
          <w:tab w:val="left" w:pos="993" w:leader="none"/>
        </w:tabs>
      </w:pPr>
      <w:r>
        <w:t xml:space="preserve">2.4.  Место оказания Услуги: </w:t>
      </w:r>
      <w:r>
        <w:rPr>
          <w:color w:val="000000" w:themeColor="text1"/>
          <w:highlight w:val="white"/>
        </w:rPr>
        <w:t xml:space="preserve">105082, г. Москва, ул. Большая Почтовая, д. 26</w:t>
      </w:r>
      <w:r>
        <w:rPr>
          <w:color w:val="000000" w:themeColor="text1"/>
        </w:rPr>
        <w:t xml:space="preserve">, стр. 1</w:t>
      </w:r>
      <w:r>
        <w:t xml:space="preserve">.</w:t>
      </w:r>
      <w:r/>
    </w:p>
    <w:p>
      <w:pPr>
        <w:ind w:left="426"/>
        <w:spacing w:after="0"/>
        <w:tabs>
          <w:tab w:val="left" w:pos="993" w:leader="none"/>
        </w:tabs>
      </w:pPr>
      <w:r>
        <w:t xml:space="preserve">2.5.  </w:t>
      </w:r>
      <w:r>
        <w:t xml:space="preserve">ОКПД2: 62.02.30.000 - Услуги по технической поддержке информационных технологий.</w:t>
      </w:r>
      <w:r/>
    </w:p>
    <w:p>
      <w:pPr>
        <w:ind w:left="426"/>
        <w:spacing w:after="0"/>
        <w:tabs>
          <w:tab w:val="left" w:pos="993" w:leader="none"/>
        </w:tabs>
      </w:pPr>
      <w:r/>
      <w:r/>
    </w:p>
    <w:p>
      <w:pPr>
        <w:numPr>
          <w:ilvl w:val="0"/>
          <w:numId w:val="2"/>
        </w:numPr>
        <w:jc w:val="center"/>
        <w:spacing w:after="0"/>
        <w:tabs>
          <w:tab w:val="clear" w:pos="600" w:leader="none"/>
          <w:tab w:val="left" w:pos="851" w:leader="none"/>
          <w:tab w:val="left" w:pos="993" w:leader="none"/>
        </w:tabs>
        <w:rPr>
          <w:b/>
        </w:rPr>
      </w:pPr>
      <w:r>
        <w:rPr>
          <w:b/>
          <w:lang w:eastAsia="ar-SA"/>
        </w:rPr>
        <w:t xml:space="preserve">ЦЕНА КОНТРАКТА И ПОРЯДОК РАСЧЕТОВ</w:t>
      </w:r>
      <w:r>
        <w:rPr>
          <w:b/>
        </w:rPr>
      </w:r>
      <w:r>
        <w:rPr>
          <w:b/>
        </w:rPr>
      </w:r>
    </w:p>
    <w:p>
      <w:pPr>
        <w:numPr>
          <w:ilvl w:val="1"/>
          <w:numId w:val="2"/>
        </w:numPr>
        <w:ind w:left="0" w:firstLine="426"/>
        <w:spacing w:after="0"/>
        <w:tabs>
          <w:tab w:val="left" w:pos="993" w:leader="none"/>
        </w:tabs>
        <w:rPr>
          <w:iCs/>
          <w:color w:val="000000"/>
          <w:shd w:val="clear" w:color="auto" w:fill="ffffff"/>
        </w:rPr>
      </w:pPr>
      <w:r>
        <w:rPr>
          <w:shd w:val="clear" w:color="auto" w:fill="ffffff"/>
        </w:rPr>
        <w:t xml:space="preserve">Цена Контракта в соответствии с Расшифровкой цены Контракта (Приложение №2 к Контракту) составляет</w:t>
      </w:r>
      <w:r>
        <w:rPr>
          <w:shd w:val="clear" w:color="auto" w:fill="ffffff"/>
        </w:rPr>
        <w:t xml:space="preserve"> </w:t>
      </w:r>
      <w:r>
        <w:t xml:space="preserve">__________ (____________) рублей _________ копеек, в том числе НДС ______________ </w:t>
      </w:r>
      <w:r>
        <w:rPr>
          <w:i/>
        </w:rPr>
        <w:t xml:space="preserve">(в случае, если услуги, оказываемые по Контракту, в соответствии 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Pr>
          <w:shd w:val="clear" w:color="auto" w:fill="ffffff"/>
        </w:rPr>
        <w:t xml:space="preserve">.</w:t>
      </w:r>
      <w:r>
        <w:rPr>
          <w:iCs/>
          <w:color w:val="000000"/>
          <w:shd w:val="clear" w:color="auto" w:fill="ffffff"/>
        </w:rPr>
      </w:r>
      <w:r>
        <w:rPr>
          <w:iCs/>
          <w:color w:val="000000"/>
          <w:shd w:val="clear" w:color="auto" w:fill="ffffff"/>
        </w:rPr>
      </w:r>
    </w:p>
    <w:p>
      <w:pPr>
        <w:numPr>
          <w:ilvl w:val="1"/>
          <w:numId w:val="2"/>
        </w:numPr>
        <w:ind w:left="0" w:firstLine="426"/>
        <w:spacing w:after="0"/>
        <w:tabs>
          <w:tab w:val="num" w:pos="710" w:leader="none"/>
          <w:tab w:val="left" w:pos="993" w:leader="none"/>
        </w:tabs>
        <w:rPr>
          <w:color w:val="000000"/>
        </w:rPr>
      </w:pPr>
      <w:r>
        <w:rPr>
          <w:color w:val="000000"/>
        </w:rPr>
        <w:t xml:space="preserve">Цена Контракта является твердой и определяется на весь срок исполнения Контракта.</w:t>
      </w:r>
      <w:r>
        <w:rPr>
          <w:color w:val="000000"/>
        </w:rPr>
      </w:r>
      <w:r>
        <w:rPr>
          <w:color w:val="000000"/>
        </w:rPr>
      </w:r>
    </w:p>
    <w:p>
      <w:pPr>
        <w:ind w:firstLine="426"/>
        <w:spacing w:after="0"/>
        <w:tabs>
          <w:tab w:val="left" w:pos="851" w:leader="none"/>
          <w:tab w:val="left" w:pos="993" w:leader="none"/>
        </w:tabs>
      </w:pPr>
      <w:r>
        <w:t xml:space="preserve">3.3. Источником финансирования Контракта являются средства субсидии федерального бюджета Российской Федерации, предоставленной в соответствии с абзацем вторым пункта 1 статьи 78.1 Бюджетного кодекса Российской Федерации (</w:t>
      </w:r>
      <w:r>
        <w:rPr>
          <w:color w:val="000000"/>
        </w:rPr>
        <w:t xml:space="preserve">КВР – 244, код цели </w:t>
      </w:r>
      <w:r>
        <w:rPr>
          <w:color w:val="000000" w:themeColor="text1"/>
        </w:rPr>
        <w:t xml:space="preserve">08-18-Т8 73520</w:t>
      </w:r>
      <w:r/>
      <w:r>
        <w:rPr>
          <w:color w:val="000000"/>
        </w:rPr>
      </w:r>
      <w:r>
        <w:t xml:space="preserve">). </w:t>
      </w:r>
      <w:r/>
    </w:p>
    <w:p>
      <w:pPr>
        <w:ind w:firstLine="426"/>
        <w:spacing w:after="0"/>
        <w:tabs>
          <w:tab w:val="left" w:pos="851" w:leader="none"/>
          <w:tab w:val="left" w:pos="993" w:leader="none"/>
        </w:tabs>
        <w:rPr>
          <w:bCs/>
        </w:rPr>
      </w:pPr>
      <w:r>
        <w:t xml:space="preserve"> 3.4. </w:t>
      </w:r>
      <w:r>
        <w:rPr>
          <w:bCs/>
        </w:rPr>
        <w:t xml:space="preserve">Цена Контракта включает в себя стоимость услуг и иных расходов, связанных с оказанием услуги, все виды налогов, отчислений, сборов и других обязательных платежей, установленных действующим законодательством Российской Федерации.</w:t>
      </w:r>
      <w:r>
        <w:rPr>
          <w:bCs/>
        </w:rPr>
      </w:r>
      <w:r>
        <w:rPr>
          <w:bCs/>
        </w:rPr>
      </w:r>
    </w:p>
    <w:p>
      <w:pPr>
        <w:ind w:firstLine="426"/>
        <w:spacing w:after="0"/>
        <w:tabs>
          <w:tab w:val="num" w:pos="0" w:leader="none"/>
          <w:tab w:val="num" w:pos="284" w:leader="none"/>
          <w:tab w:val="left" w:pos="993" w:leader="none"/>
        </w:tabs>
        <w:rPr>
          <w:bCs/>
        </w:rPr>
      </w:pPr>
      <w:r>
        <w:rPr>
          <w:bCs/>
        </w:rPr>
        <w:t xml:space="preserve">3.5. Оплата по Контракту осуществляется в рублях Российской Федерации.</w:t>
      </w:r>
      <w:r>
        <w:rPr>
          <w:bCs/>
        </w:rPr>
      </w:r>
      <w:r>
        <w:rPr>
          <w:bCs/>
        </w:rPr>
      </w:r>
    </w:p>
    <w:p>
      <w:pPr>
        <w:ind w:firstLine="426"/>
        <w:spacing w:after="0"/>
        <w:tabs>
          <w:tab w:val="num" w:pos="0" w:leader="none"/>
          <w:tab w:val="num" w:pos="284" w:leader="none"/>
          <w:tab w:val="left" w:pos="993" w:leader="none"/>
        </w:tabs>
        <w:rPr>
          <w:bCs/>
        </w:rPr>
      </w:pPr>
      <w:r>
        <w:rPr>
          <w:bCs/>
        </w:rPr>
        <w:t xml:space="preserve">3.6. Авансовый платеж не предусмотрен.</w:t>
      </w:r>
      <w:r>
        <w:rPr>
          <w:bCs/>
        </w:rPr>
      </w:r>
      <w:r>
        <w:rPr>
          <w:bCs/>
        </w:rPr>
      </w:r>
    </w:p>
    <w:p>
      <w:pPr>
        <w:ind w:firstLine="426"/>
        <w:spacing w:after="0"/>
        <w:tabs>
          <w:tab w:val="num" w:pos="0" w:leader="none"/>
          <w:tab w:val="num" w:pos="284" w:leader="none"/>
          <w:tab w:val="left" w:pos="993" w:leader="none"/>
        </w:tabs>
        <w:rPr>
          <w:color w:val="000000"/>
        </w:rPr>
      </w:pPr>
      <w:r>
        <w:t xml:space="preserve">3.7. </w:t>
      </w:r>
      <w:r>
        <w:rPr>
          <w:color w:val="000000"/>
        </w:rPr>
        <w:t xml:space="preserve">Расчеты между Заказчиком и Исполнителем осуществляются не позднее</w:t>
      </w:r>
      <w:r>
        <w:rPr>
          <w:color w:val="000000"/>
        </w:rPr>
        <w:t xml:space="preserve"> </w:t>
      </w:r>
      <w:r>
        <w:rPr>
          <w:color w:val="000000"/>
        </w:rPr>
        <w:t xml:space="preserve">10 (десяти) рабочих дней со дня подписания Заказчиком документа о приемке в соответствии с разделом 4 Контракта.</w:t>
      </w:r>
      <w:r>
        <w:rPr>
          <w:color w:val="000000"/>
        </w:rPr>
      </w:r>
      <w:r>
        <w:rPr>
          <w:color w:val="000000"/>
        </w:rPr>
      </w:r>
    </w:p>
    <w:p>
      <w:pPr>
        <w:ind w:firstLine="426"/>
        <w:spacing w:after="0"/>
        <w:tabs>
          <w:tab w:val="num" w:pos="0" w:leader="none"/>
          <w:tab w:val="num" w:pos="284" w:leader="none"/>
          <w:tab w:val="left" w:pos="993" w:leader="none"/>
        </w:tabs>
      </w:pPr>
      <w:r>
        <w:rPr>
          <w:color w:val="000000"/>
        </w:rPr>
        <w:t xml:space="preserve">3.8</w:t>
      </w:r>
      <w:r>
        <w:t xml:space="preserve">. Оплата по Контракту осуществляется в безналичном порядке платежным поручением путем перечисления Заказчиком денежных средств на расчетный счет Исполнителя, указанный в</w:t>
      </w:r>
      <w:r>
        <w:rPr>
          <w:lang w:val="en-US"/>
        </w:rPr>
        <w:t xml:space="preserve"> </w:t>
      </w:r>
      <w:r>
        <w:t xml:space="preserve">разделе 13 Контракта. В случае изменения расчетного счета Исполнитель обязан в трехдневный с</w:t>
      </w:r>
      <w:r>
        <w:t xml:space="preserve">рок с момента изменения расчетного счета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r/>
    </w:p>
    <w:p>
      <w:pPr>
        <w:ind w:firstLine="426"/>
        <w:spacing w:after="0"/>
        <w:tabs>
          <w:tab w:val="num" w:pos="0" w:leader="none"/>
          <w:tab w:val="num" w:pos="284" w:leader="none"/>
          <w:tab w:val="left" w:pos="993" w:leader="none"/>
        </w:tabs>
      </w:pPr>
      <w:r>
        <w:t xml:space="preserve">3.9. Датой исполнения Заказчиком обязательств по оплате считается дата списания денежных средств со счета Заказчика.</w:t>
      </w:r>
      <w:r/>
    </w:p>
    <w:p>
      <w:pPr>
        <w:ind w:firstLine="426"/>
        <w:spacing w:after="0"/>
        <w:tabs>
          <w:tab w:val="num" w:pos="0" w:leader="none"/>
          <w:tab w:val="num" w:pos="284" w:leader="none"/>
          <w:tab w:val="left" w:pos="993" w:leader="none"/>
        </w:tabs>
      </w:pPr>
      <w:r>
        <w:t xml:space="preserve">3.10. Сумма к оплате за оказанные услуги, подлежащая перечислению Исполнителю, может быть уменьшена Заказчиком на сумму начисленной неустойки (пеней, штрафов).</w:t>
      </w:r>
      <w:r/>
    </w:p>
    <w:p>
      <w:pPr>
        <w:ind w:firstLine="426"/>
        <w:spacing w:after="0"/>
        <w:tabs>
          <w:tab w:val="num" w:pos="0" w:leader="none"/>
          <w:tab w:val="num" w:pos="284" w:leader="none"/>
          <w:tab w:val="left" w:pos="993" w:leader="none"/>
        </w:tabs>
      </w:pPr>
      <w:r/>
      <w:r/>
    </w:p>
    <w:p>
      <w:pPr>
        <w:numPr>
          <w:ilvl w:val="0"/>
          <w:numId w:val="2"/>
        </w:numPr>
        <w:jc w:val="center"/>
        <w:spacing w:after="0"/>
        <w:tabs>
          <w:tab w:val="left" w:pos="851" w:leader="none"/>
          <w:tab w:val="left" w:pos="993" w:leader="none"/>
          <w:tab w:val="left" w:pos="1560" w:leader="none"/>
          <w:tab w:val="left" w:pos="2127" w:leader="none"/>
        </w:tabs>
        <w:rPr>
          <w:b/>
        </w:rPr>
        <w:outlineLvl w:val="1"/>
      </w:pPr>
      <w:r>
        <w:rPr>
          <w:b/>
        </w:rPr>
        <w:t xml:space="preserve">ПОРЯДОК ПРИЕМКИ ОКАЗАННЫХ УСЛУГ</w:t>
      </w:r>
      <w:r>
        <w:rPr>
          <w:b/>
        </w:rPr>
      </w:r>
      <w:r>
        <w:rPr>
          <w:b/>
        </w:rPr>
      </w:r>
    </w:p>
    <w:p>
      <w:pPr>
        <w:pStyle w:val="965"/>
        <w:contextualSpacing/>
        <w:ind w:firstLine="426"/>
        <w:jc w:val="both"/>
        <w:rPr>
          <w:rFonts w:ascii="Times New Roman" w:hAnsi="Times New Roman" w:cs="Times New Roman"/>
          <w:sz w:val="24"/>
          <w:szCs w:val="24"/>
        </w:rPr>
        <w:suppressLineNumbers w:val="0"/>
      </w:pPr>
      <w:r>
        <w:rPr>
          <w:rFonts w:ascii="Times New Roman" w:hAnsi="Times New Roman" w:cs="Times New Roman"/>
          <w:sz w:val="24"/>
          <w:szCs w:val="24"/>
        </w:rPr>
        <w:t xml:space="preserve">4.1. </w:t>
      </w:r>
      <w:r>
        <w:rPr>
          <w:rFonts w:ascii="Times New Roman" w:hAnsi="Times New Roman" w:cs="Times New Roman"/>
          <w:sz w:val="24"/>
          <w:szCs w:val="24"/>
        </w:rPr>
        <w:t xml:space="preserve">В срок, установленный пунктом 2.2. Контракта, Исполнитель сопроводительным письмом в письменной форме предоставляет </w:t>
      </w:r>
      <w:r>
        <w:rPr>
          <w:rFonts w:ascii="Times New Roman" w:hAnsi="Times New Roman" w:cs="Times New Roman"/>
          <w:sz w:val="24"/>
          <w:szCs w:val="24"/>
          <w:highlight w:val="white"/>
        </w:rPr>
        <w:t xml:space="preserve">Заказчику</w:t>
      </w:r>
      <w:r>
        <w:rPr>
          <w:rStyle w:val="949"/>
          <w:rFonts w:ascii="Times New Roman" w:hAnsi="Times New Roman" w:cs="Times New Roman"/>
          <w:sz w:val="24"/>
          <w:szCs w:val="24"/>
          <w:highlight w:val="white"/>
        </w:rPr>
        <w:footnoteReference w:id="2"/>
      </w:r>
      <w:r>
        <w:rPr>
          <w:rFonts w:ascii="Times New Roman" w:hAnsi="Times New Roman" w:cs="Times New Roman"/>
          <w:sz w:val="24"/>
          <w:szCs w:val="24"/>
          <w:highlight w:val="white"/>
        </w:rPr>
        <w:t xml:space="preserve">:</w:t>
      </w:r>
      <w:r>
        <w:rPr>
          <w:rFonts w:ascii="Times New Roman" w:hAnsi="Times New Roman" w:cs="Times New Roman"/>
          <w:sz w:val="24"/>
          <w:szCs w:val="24"/>
        </w:rPr>
      </w:r>
      <w:r>
        <w:rPr>
          <w:rFonts w:ascii="Times New Roman" w:hAnsi="Times New Roman" w:cs="Times New Roman"/>
          <w:sz w:val="24"/>
          <w:szCs w:val="24"/>
        </w:rPr>
      </w:r>
    </w:p>
    <w:p>
      <w:pPr>
        <w:pStyle w:val="965"/>
        <w:contextualSpacing/>
        <w:ind w:firstLine="426"/>
        <w:jc w:val="both"/>
        <w:rPr>
          <w:rFonts w:ascii="Times New Roman" w:hAnsi="Times New Roman" w:cs="Times New Roman"/>
          <w:sz w:val="24"/>
          <w:szCs w:val="24"/>
          <w:highlight w:val="none"/>
        </w:rPr>
        <w:suppressLineNumbers w:val="0"/>
      </w:pPr>
      <w:r>
        <w:rPr>
          <w:rFonts w:ascii="Times New Roman" w:hAnsi="Times New Roman" w:cs="Times New Roman"/>
          <w:sz w:val="24"/>
          <w:szCs w:val="24"/>
        </w:rPr>
        <w:t xml:space="preserve">-  </w:t>
      </w:r>
      <w:r>
        <w:rPr>
          <w:rFonts w:ascii="Times New Roman" w:hAnsi="Times New Roman" w:cs="Times New Roman"/>
          <w:sz w:val="24"/>
          <w:szCs w:val="24"/>
        </w:rPr>
        <w:t xml:space="preserve">результат оказанных услуг </w:t>
      </w:r>
      <w:r>
        <w:rPr>
          <w:rFonts w:ascii="Times New Roman" w:hAnsi="Times New Roman" w:cs="Times New Roman"/>
          <w:sz w:val="24"/>
          <w:szCs w:val="24"/>
        </w:rPr>
        <w:t xml:space="preserve">(</w:t>
      </w:r>
      <w:r>
        <w:rPr>
          <w:rFonts w:ascii="Times New Roman" w:hAnsi="Times New Roman" w:cs="Times New Roman"/>
          <w:sz w:val="24"/>
          <w:szCs w:val="24"/>
        </w:rPr>
        <w:t xml:space="preserve">сертификат на адаптацию и сопровождение экземпляров Систем КонсультантПлюс на 12 месяцев (с 01.10.2026 по 30.09.2027 (включительно)</w:t>
      </w:r>
      <w:r>
        <w:rPr>
          <w:rFonts w:ascii="Times New Roman" w:hAnsi="Times New Roman" w:cs="Times New Roman"/>
          <w:sz w:val="24"/>
          <w:szCs w:val="24"/>
        </w:rPr>
        <w:t xml:space="preserve">,  </w:t>
      </w:r>
      <w:r>
        <w:rPr>
          <w:rFonts w:ascii="Times New Roman" w:hAnsi="Times New Roman" w:cs="Times New Roman"/>
          <w:sz w:val="24"/>
          <w:szCs w:val="24"/>
        </w:rPr>
        <w:t xml:space="preserve">подписанный со своей стороны Акт оказанных услуг в 2 (двух) экземплярах</w:t>
      </w:r>
      <w:r>
        <w:rPr>
          <w:rFonts w:ascii="Times New Roman" w:hAnsi="Times New Roman" w:cs="Times New Roman"/>
          <w:sz w:val="24"/>
          <w:szCs w:val="24"/>
        </w:rPr>
        <w:t xml:space="preserve"> </w:t>
      </w:r>
      <w:r>
        <w:rPr>
          <w:rFonts w:ascii="Times New Roman" w:hAnsi="Times New Roman" w:cs="Times New Roman"/>
          <w:sz w:val="24"/>
          <w:szCs w:val="24"/>
        </w:rPr>
        <w:t xml:space="preserve">(Приложение № 3 к Контракту)</w:t>
      </w:r>
      <w:r>
        <w:rPr>
          <w:rFonts w:ascii="Times New Roman" w:hAnsi="Times New Roman" w:cs="Times New Roman"/>
          <w:sz w:val="24"/>
          <w:szCs w:val="24"/>
        </w:rPr>
        <w:t xml:space="preserve">, </w:t>
      </w:r>
      <w:r>
        <w:rPr>
          <w:rFonts w:ascii="Times New Roman" w:hAnsi="Times New Roman" w:cs="Times New Roman"/>
          <w:sz w:val="24"/>
          <w:szCs w:val="24"/>
        </w:rPr>
        <w:t xml:space="preserve">счет</w:t>
      </w:r>
      <w:r>
        <w:rPr>
          <w:rFonts w:ascii="Times New Roman" w:hAnsi="Times New Roman" w:cs="Times New Roman"/>
          <w:sz w:val="24"/>
          <w:szCs w:val="24"/>
        </w:rPr>
        <w:t xml:space="preserve"> </w:t>
      </w:r>
      <w:r>
        <w:rPr>
          <w:rFonts w:ascii="Times New Roman" w:hAnsi="Times New Roman" w:cs="Times New Roman"/>
          <w:sz w:val="24"/>
          <w:szCs w:val="24"/>
          <w:highlight w:val="white"/>
        </w:rPr>
        <w:t xml:space="preserve">и счет-фактуру (если применимо)</w:t>
      </w:r>
      <w:r>
        <w:rPr>
          <w:rFonts w:ascii="Times New Roman" w:hAnsi="Times New Roman" w:cs="Times New Roman"/>
          <w:sz w:val="24"/>
          <w:szCs w:val="24"/>
          <w:highlight w:val="white"/>
        </w:rPr>
        <w:t xml:space="preserve">;</w:t>
      </w:r>
      <w:r>
        <w:rPr>
          <w:rFonts w:ascii="Times New Roman" w:hAnsi="Times New Roman" w:cs="Times New Roman"/>
          <w:sz w:val="24"/>
          <w:szCs w:val="24"/>
        </w:rPr>
      </w:r>
      <w:r>
        <w:rPr>
          <w:rFonts w:ascii="Times New Roman" w:hAnsi="Times New Roman" w:cs="Times New Roman"/>
          <w:sz w:val="24"/>
          <w:szCs w:val="24"/>
          <w:highlight w:val="none"/>
        </w:rPr>
      </w:r>
    </w:p>
    <w:p>
      <w:pPr>
        <w:contextualSpacing/>
        <w:ind w:left="0" w:right="0" w:firstLine="425"/>
        <w:jc w:val="both"/>
        <w:spacing w:line="240" w:lineRule="auto"/>
        <w:rPr>
          <w:rFonts w:ascii="Times New Roman" w:hAnsi="Times New Roman" w:cs="Times New Roman"/>
          <w:sz w:val="24"/>
          <w:szCs w:val="24"/>
        </w:rPr>
        <w:suppressLineNumbers w:val="0"/>
      </w:pPr>
      <w:r>
        <w:rPr>
          <w:rFonts w:ascii="Times New Roman" w:hAnsi="Times New Roman" w:eastAsia="Times New Roman" w:cs="Times New Roman"/>
          <w:sz w:val="24"/>
          <w:szCs w:val="24"/>
          <w:highlight w:val="none"/>
        </w:rPr>
        <w:t xml:space="preserve">- </w:t>
      </w:r>
      <w:r>
        <w:rPr>
          <w:rFonts w:ascii="Times New Roman" w:hAnsi="Times New Roman" w:eastAsia="Times New Roman" w:cs="Times New Roman"/>
          <w:sz w:val="24"/>
          <w:szCs w:val="24"/>
        </w:rPr>
        <w:t xml:space="preserve">формирует с использованием ЕИС, подписывает усиленной электронной под</w:t>
      </w:r>
      <w:r>
        <w:rPr>
          <w:rFonts w:ascii="Times New Roman" w:hAnsi="Times New Roman" w:eastAsia="Times New Roman" w:cs="Times New Roman"/>
          <w:sz w:val="24"/>
          <w:szCs w:val="24"/>
        </w:rPr>
        <w:t xml:space="preserve">писью лица, имеющего право действовать от имени Исполнителя, и размещает в ЕИС документ о приемке (при наличии этапов - по соответствующему этапу) (далее – документ о приёмке), который должен содержать:</w:t>
      </w:r>
      <w:r>
        <w:rPr>
          <w:rFonts w:ascii="Times New Roman" w:hAnsi="Times New Roman" w:eastAsia="Times New Roman" w:cs="Times New Roman"/>
          <w:sz w:val="24"/>
          <w:szCs w:val="24"/>
        </w:rPr>
      </w:r>
      <w:r>
        <w:rPr>
          <w:rFonts w:ascii="Times New Roman" w:hAnsi="Times New Roman" w:cs="Times New Roman"/>
          <w:sz w:val="24"/>
          <w:szCs w:val="24"/>
        </w:rPr>
      </w:r>
    </w:p>
    <w:p>
      <w:pPr>
        <w:contextualSpacing/>
        <w:ind w:left="0" w:right="0" w:firstLine="425"/>
        <w:jc w:val="both"/>
        <w:spacing w:line="240" w:lineRule="auto"/>
        <w:rPr>
          <w:rFonts w:ascii="Times New Roman" w:hAnsi="Times New Roman" w:cs="Times New Roman"/>
          <w:sz w:val="24"/>
          <w:szCs w:val="24"/>
        </w:rPr>
        <w:suppressLineNumbers w:val="0"/>
      </w:pPr>
      <w:r>
        <w:rPr>
          <w:rFonts w:ascii="Times New Roman" w:hAnsi="Times New Roman" w:eastAsia="Times New Roman" w:cs="Times New Roman"/>
          <w:sz w:val="24"/>
          <w:szCs w:val="24"/>
        </w:rPr>
      </w:r>
      <w:bookmarkStart w:id="0" w:name="undefined"/>
      <w:r>
        <w:rPr>
          <w:rFonts w:ascii="Times New Roman" w:hAnsi="Times New Roman" w:eastAsia="Times New Roman" w:cs="Times New Roman"/>
          <w:sz w:val="24"/>
          <w:szCs w:val="24"/>
        </w:rPr>
        <w:t xml:space="preserve">а) включенные в Контракт идентификационный код закупк</w:t>
      </w:r>
      <w:r>
        <w:rPr>
          <w:rFonts w:ascii="Times New Roman" w:hAnsi="Times New Roman" w:eastAsia="Times New Roman" w:cs="Times New Roman"/>
          <w:sz w:val="24"/>
          <w:szCs w:val="24"/>
        </w:rPr>
        <w:t xml:space="preserve">и, наименование, место нахождения Заказчика, наименование объекта закупки, место оказания услуг, информацию </w:t>
      </w:r>
      <w:r>
        <w:rPr>
          <w:rFonts w:ascii="Times New Roman" w:hAnsi="Times New Roman" w:eastAsia="Times New Roman" w:cs="Times New Roman"/>
          <w:sz w:val="24"/>
          <w:szCs w:val="24"/>
        </w:rPr>
        <w:br/>
        <w:t xml:space="preserve">об Исполнителе, предусмотренную подпунктами "а", "г" и "е" части 1 статьи 43 Федерального закона № 44-ФЗ, единицу измерения оказанных услуг;</w:t>
      </w:r>
      <w:r>
        <w:rPr>
          <w:rFonts w:ascii="Times New Roman" w:hAnsi="Times New Roman" w:eastAsia="Times New Roman" w:cs="Times New Roman"/>
          <w:sz w:val="24"/>
          <w:szCs w:val="24"/>
        </w:rPr>
      </w:r>
      <w:r>
        <w:rPr>
          <w:rFonts w:ascii="Times New Roman" w:hAnsi="Times New Roman" w:cs="Times New Roman"/>
          <w:sz w:val="24"/>
          <w:szCs w:val="24"/>
        </w:rPr>
      </w:r>
    </w:p>
    <w:p>
      <w:pPr>
        <w:contextualSpacing/>
        <w:ind w:left="0" w:right="0" w:firstLine="425"/>
        <w:jc w:val="both"/>
        <w:spacing w:line="240" w:lineRule="auto"/>
        <w:rPr>
          <w:rFonts w:ascii="Times New Roman" w:hAnsi="Times New Roman" w:cs="Times New Roman"/>
          <w:sz w:val="24"/>
          <w:szCs w:val="24"/>
        </w:rPr>
        <w:suppressLineNumbers w:val="0"/>
      </w:pPr>
      <w:r>
        <w:rPr>
          <w:rFonts w:ascii="Times New Roman" w:hAnsi="Times New Roman" w:eastAsia="Times New Roman" w:cs="Times New Roman"/>
          <w:sz w:val="24"/>
          <w:szCs w:val="24"/>
        </w:rPr>
        <w:t xml:space="preserve">б) наи</w:t>
      </w:r>
      <w:r>
        <w:rPr>
          <w:rFonts w:ascii="Times New Roman" w:hAnsi="Times New Roman" w:eastAsia="Times New Roman" w:cs="Times New Roman"/>
          <w:sz w:val="24"/>
          <w:szCs w:val="24"/>
        </w:rPr>
        <w:t xml:space="preserve">менование оказанных услуг;</w:t>
      </w:r>
      <w:r>
        <w:rPr>
          <w:rFonts w:ascii="Times New Roman" w:hAnsi="Times New Roman" w:eastAsia="Times New Roman" w:cs="Times New Roman"/>
          <w:sz w:val="24"/>
          <w:szCs w:val="24"/>
        </w:rPr>
      </w:r>
      <w:r>
        <w:rPr>
          <w:rFonts w:ascii="Times New Roman" w:hAnsi="Times New Roman" w:cs="Times New Roman"/>
          <w:sz w:val="24"/>
          <w:szCs w:val="24"/>
        </w:rPr>
      </w:r>
    </w:p>
    <w:p>
      <w:pPr>
        <w:contextualSpacing/>
        <w:ind w:left="0" w:right="0" w:firstLine="425"/>
        <w:jc w:val="both"/>
        <w:spacing w:line="240" w:lineRule="auto"/>
        <w:rPr>
          <w:rFonts w:ascii="Times New Roman" w:hAnsi="Times New Roman" w:cs="Times New Roman"/>
          <w:sz w:val="24"/>
          <w:szCs w:val="24"/>
        </w:rPr>
        <w:suppressLineNumbers w:val="0"/>
      </w:pPr>
      <w:r>
        <w:rPr>
          <w:rFonts w:ascii="Times New Roman" w:hAnsi="Times New Roman" w:eastAsia="Times New Roman" w:cs="Times New Roman"/>
          <w:sz w:val="24"/>
          <w:szCs w:val="24"/>
        </w:rPr>
        <w:t xml:space="preserve">в) информацию об объеме оказанных услуг;</w:t>
      </w:r>
      <w:r>
        <w:rPr>
          <w:rFonts w:ascii="Times New Roman" w:hAnsi="Times New Roman" w:eastAsia="Times New Roman" w:cs="Times New Roman"/>
          <w:sz w:val="24"/>
          <w:szCs w:val="24"/>
        </w:rPr>
      </w:r>
      <w:r>
        <w:rPr>
          <w:rFonts w:ascii="Times New Roman" w:hAnsi="Times New Roman" w:cs="Times New Roman"/>
          <w:sz w:val="24"/>
          <w:szCs w:val="24"/>
        </w:rPr>
      </w:r>
    </w:p>
    <w:p>
      <w:pPr>
        <w:contextualSpacing/>
        <w:ind w:left="0" w:right="0" w:firstLine="425"/>
        <w:jc w:val="both"/>
        <w:spacing w:line="240" w:lineRule="auto"/>
        <w:rPr>
          <w:rFonts w:ascii="Times New Roman" w:hAnsi="Times New Roman" w:cs="Times New Roman"/>
          <w:sz w:val="24"/>
          <w:szCs w:val="24"/>
        </w:rPr>
        <w:suppressLineNumbers w:val="0"/>
      </w:pPr>
      <w:r>
        <w:rPr>
          <w:rFonts w:ascii="Times New Roman" w:hAnsi="Times New Roman" w:eastAsia="Times New Roman" w:cs="Times New Roman"/>
          <w:sz w:val="24"/>
          <w:szCs w:val="24"/>
        </w:rPr>
        <w:t xml:space="preserve">г) стоимость исполненных Исполнителем обязательств, предусмотренных Контрактом, с указанием цены за единицу оказанных услуг;</w:t>
      </w:r>
      <w:r>
        <w:rPr>
          <w:rFonts w:ascii="Times New Roman" w:hAnsi="Times New Roman" w:eastAsia="Times New Roman" w:cs="Times New Roman"/>
          <w:sz w:val="24"/>
          <w:szCs w:val="24"/>
        </w:rPr>
      </w:r>
      <w:r>
        <w:rPr>
          <w:rFonts w:ascii="Times New Roman" w:hAnsi="Times New Roman" w:cs="Times New Roman"/>
          <w:sz w:val="24"/>
          <w:szCs w:val="24"/>
        </w:rPr>
      </w:r>
    </w:p>
    <w:p>
      <w:pPr>
        <w:contextualSpacing/>
        <w:ind w:left="0" w:right="0" w:firstLine="425"/>
        <w:jc w:val="both"/>
        <w:spacing w:line="240" w:lineRule="auto"/>
        <w:rPr>
          <w:rFonts w:ascii="Times New Roman" w:hAnsi="Times New Roman" w:cs="Times New Roman"/>
          <w:sz w:val="24"/>
          <w:szCs w:val="24"/>
        </w:rPr>
        <w:suppressLineNumbers w:val="0"/>
      </w:pPr>
      <w:r>
        <w:rPr>
          <w:rFonts w:ascii="Times New Roman" w:hAnsi="Times New Roman" w:eastAsia="Times New Roman" w:cs="Times New Roman"/>
          <w:sz w:val="24"/>
          <w:szCs w:val="24"/>
        </w:rPr>
        <w:t xml:space="preserve">д) иную информацию с учетом требований, установленных в соответ</w:t>
      </w:r>
      <w:r>
        <w:rPr>
          <w:rFonts w:ascii="Times New Roman" w:hAnsi="Times New Roman" w:eastAsia="Times New Roman" w:cs="Times New Roman"/>
          <w:sz w:val="24"/>
          <w:szCs w:val="24"/>
        </w:rPr>
        <w:t xml:space="preserve">ствии с частью 3 статьи 5 Федерального закона № 44-ФЗ.</w:t>
      </w:r>
      <w:bookmarkEnd w:id="0"/>
      <w:r>
        <w:rPr>
          <w:rFonts w:ascii="Times New Roman" w:hAnsi="Times New Roman" w:eastAsia="Times New Roman" w:cs="Times New Roman"/>
          <w:sz w:val="24"/>
          <w:szCs w:val="24"/>
        </w:rPr>
      </w:r>
      <w:r>
        <w:rPr>
          <w:rFonts w:ascii="Times New Roman" w:hAnsi="Times New Roman" w:cs="Times New Roman"/>
          <w:sz w:val="24"/>
          <w:szCs w:val="24"/>
        </w:rPr>
      </w:r>
    </w:p>
    <w:p>
      <w:pPr>
        <w:contextualSpacing/>
        <w:ind w:left="0" w:right="0" w:firstLine="425"/>
        <w:jc w:val="both"/>
        <w:spacing w:line="240" w:lineRule="auto"/>
        <w:shd w:val="clear" w:color="auto" w:fill="ffffff" w:themeFill="background1"/>
        <w:rPr>
          <w:rFonts w:ascii="Times New Roman" w:hAnsi="Times New Roman" w:cs="Times New Roman"/>
          <w:sz w:val="24"/>
          <w:szCs w:val="24"/>
        </w:rPr>
        <w:suppressLineNumbers w:val="0"/>
      </w:pPr>
      <w:r>
        <w:rPr>
          <w:rFonts w:ascii="Times New Roman" w:hAnsi="Times New Roman" w:eastAsia="Times New Roman" w:cs="Times New Roman"/>
          <w:sz w:val="24"/>
          <w:szCs w:val="24"/>
        </w:rPr>
        <w:t xml:space="preserve">4.2. К документу о приемке, предусмотренному пунктом 4.1 Контракта, могут прилагаться документы, которые считаются его неотъемлемой частью. При этом, в случае если информация, содержащаяся в прилагаемы</w:t>
      </w:r>
      <w:r>
        <w:rPr>
          <w:rFonts w:ascii="Times New Roman" w:hAnsi="Times New Roman" w:eastAsia="Times New Roman" w:cs="Times New Roman"/>
          <w:sz w:val="24"/>
          <w:szCs w:val="24"/>
        </w:rPr>
        <w:t xml:space="preserve">х документах, не соответствует информации, содержащейся в документе о приемке, приоритет имеет предусмотренная пунктом 4.1 Контракта информация, содержащаяся в документе о приемке.</w:t>
      </w:r>
      <w:r>
        <w:rPr>
          <w:rFonts w:ascii="Times New Roman" w:hAnsi="Times New Roman" w:eastAsia="Times New Roman" w:cs="Times New Roman"/>
          <w:sz w:val="24"/>
          <w:szCs w:val="24"/>
        </w:rPr>
      </w:r>
      <w:r>
        <w:rPr>
          <w:rFonts w:ascii="Times New Roman" w:hAnsi="Times New Roman" w:cs="Times New Roman"/>
          <w:sz w:val="24"/>
          <w:szCs w:val="24"/>
        </w:rPr>
      </w:r>
    </w:p>
    <w:p>
      <w:pPr>
        <w:contextualSpacing/>
        <w:ind w:left="0" w:right="0" w:firstLine="425"/>
        <w:jc w:val="both"/>
        <w:spacing w:line="240" w:lineRule="auto"/>
        <w:rPr>
          <w:rFonts w:ascii="Times New Roman" w:hAnsi="Times New Roman" w:cs="Times New Roman"/>
          <w:sz w:val="24"/>
          <w:szCs w:val="24"/>
        </w:rPr>
        <w:suppressLineNumbers w:val="0"/>
      </w:pPr>
      <w:r>
        <w:rPr>
          <w:rFonts w:ascii="Times New Roman" w:hAnsi="Times New Roman" w:eastAsia="Times New Roman" w:cs="Times New Roman"/>
          <w:sz w:val="24"/>
          <w:szCs w:val="24"/>
        </w:rPr>
        <w:t xml:space="preserve">4.3. Документ о приемке, подписанный Исполнителем, не позднее одного часа с</w:t>
      </w:r>
      <w:r>
        <w:rPr>
          <w:rFonts w:ascii="Times New Roman" w:hAnsi="Times New Roman" w:eastAsia="Times New Roman" w:cs="Times New Roman"/>
          <w:sz w:val="24"/>
          <w:szCs w:val="24"/>
        </w:rPr>
        <w:t xml:space="preserve"> момента его размещения в ЕИС в соответствии с пунктом 4.1 Контракта автоматически с использованием ЕИС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w:t>
      </w:r>
      <w:r>
        <w:rPr>
          <w:rFonts w:ascii="Times New Roman" w:hAnsi="Times New Roman" w:eastAsia="Times New Roman" w:cs="Times New Roman"/>
          <w:sz w:val="24"/>
          <w:szCs w:val="24"/>
        </w:rPr>
        <w:t xml:space="preserve"> пунктом такого документа в ЕИС в соответствии с часовой зоной, в которой расположен Заказчик.</w:t>
      </w:r>
      <w:r>
        <w:rPr>
          <w:rFonts w:ascii="Times New Roman" w:hAnsi="Times New Roman" w:eastAsia="Times New Roman" w:cs="Times New Roman"/>
          <w:sz w:val="24"/>
          <w:szCs w:val="24"/>
        </w:rPr>
      </w:r>
      <w:r>
        <w:rPr>
          <w:rFonts w:ascii="Times New Roman" w:hAnsi="Times New Roman" w:cs="Times New Roman"/>
          <w:sz w:val="24"/>
          <w:szCs w:val="24"/>
        </w:rPr>
      </w:r>
    </w:p>
    <w:p>
      <w:pPr>
        <w:contextualSpacing/>
        <w:ind w:left="0" w:right="0" w:firstLine="425"/>
        <w:jc w:val="both"/>
        <w:spacing w:line="240" w:lineRule="auto"/>
        <w:rPr>
          <w:rFonts w:ascii="Times New Roman" w:hAnsi="Times New Roman" w:cs="Times New Roman"/>
          <w:sz w:val="24"/>
          <w:szCs w:val="24"/>
        </w:rPr>
        <w:suppressLineNumbers w:val="0"/>
      </w:pPr>
      <w:r>
        <w:rPr>
          <w:rFonts w:ascii="Times New Roman" w:hAnsi="Times New Roman" w:eastAsia="Times New Roman" w:cs="Times New Roman"/>
          <w:sz w:val="24"/>
          <w:szCs w:val="24"/>
        </w:rPr>
        <w:t xml:space="preserve">4.4. Не позднее 20 (двадцати) рабочих дней, следующих за днем поступления документа о приемке в соответствии с пунктом 4.3. Контракта:</w:t>
      </w:r>
      <w:r>
        <w:rPr>
          <w:rFonts w:ascii="Times New Roman" w:hAnsi="Times New Roman" w:eastAsia="Times New Roman" w:cs="Times New Roman"/>
          <w:sz w:val="24"/>
          <w:szCs w:val="24"/>
        </w:rPr>
      </w:r>
      <w:r>
        <w:rPr>
          <w:rFonts w:ascii="Times New Roman" w:hAnsi="Times New Roman" w:cs="Times New Roman"/>
          <w:sz w:val="24"/>
          <w:szCs w:val="24"/>
        </w:rPr>
      </w:r>
    </w:p>
    <w:p>
      <w:pPr>
        <w:contextualSpacing/>
        <w:ind w:left="0" w:right="0" w:firstLine="425"/>
        <w:jc w:val="both"/>
        <w:spacing w:line="240" w:lineRule="auto"/>
        <w:rPr>
          <w:rFonts w:ascii="Times New Roman" w:hAnsi="Times New Roman" w:cs="Times New Roman"/>
          <w:sz w:val="24"/>
          <w:szCs w:val="24"/>
        </w:rPr>
        <w:suppressLineNumbers w:val="0"/>
      </w:pPr>
      <w:r>
        <w:rPr>
          <w:rFonts w:ascii="Times New Roman" w:hAnsi="Times New Roman" w:eastAsia="Times New Roman" w:cs="Times New Roman"/>
          <w:sz w:val="24"/>
          <w:szCs w:val="24"/>
        </w:rPr>
        <w:t xml:space="preserve">а) члены Приемочной комисс</w:t>
      </w:r>
      <w:r>
        <w:rPr>
          <w:rFonts w:ascii="Times New Roman" w:hAnsi="Times New Roman" w:eastAsia="Times New Roman" w:cs="Times New Roman"/>
          <w:sz w:val="24"/>
          <w:szCs w:val="24"/>
        </w:rPr>
        <w:t xml:space="preserve">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w:t>
      </w:r>
      <w:r>
        <w:rPr>
          <w:rFonts w:ascii="Times New Roman" w:hAnsi="Times New Roman" w:eastAsia="Times New Roman" w:cs="Times New Roman"/>
          <w:sz w:val="24"/>
          <w:szCs w:val="24"/>
        </w:rPr>
        <w:t xml:space="preserve">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w:t>
      </w:r>
      <w:r>
        <w:rPr>
          <w:rFonts w:ascii="Times New Roman" w:hAnsi="Times New Roman" w:eastAsia="Times New Roman" w:cs="Times New Roman"/>
          <w:sz w:val="24"/>
          <w:szCs w:val="24"/>
        </w:rPr>
        <w:t xml:space="preserve">иленных электронных подписей и ЕИС;</w:t>
      </w:r>
      <w:r>
        <w:rPr>
          <w:rFonts w:ascii="Times New Roman" w:hAnsi="Times New Roman" w:eastAsia="Times New Roman" w:cs="Times New Roman"/>
          <w:sz w:val="24"/>
          <w:szCs w:val="24"/>
        </w:rPr>
      </w:r>
      <w:r>
        <w:rPr>
          <w:rFonts w:ascii="Times New Roman" w:hAnsi="Times New Roman" w:cs="Times New Roman"/>
          <w:sz w:val="24"/>
          <w:szCs w:val="24"/>
        </w:rPr>
      </w:r>
    </w:p>
    <w:p>
      <w:pPr>
        <w:contextualSpacing/>
        <w:ind w:left="0" w:right="0" w:firstLine="425"/>
        <w:jc w:val="both"/>
        <w:spacing w:line="240" w:lineRule="auto"/>
        <w:rPr>
          <w:rFonts w:ascii="Times New Roman" w:hAnsi="Times New Roman" w:cs="Times New Roman"/>
          <w:sz w:val="24"/>
          <w:szCs w:val="24"/>
        </w:rPr>
        <w:suppressLineNumbers w:val="0"/>
      </w:pPr>
      <w:r>
        <w:rPr>
          <w:rFonts w:ascii="Times New Roman" w:hAnsi="Times New Roman" w:eastAsia="Times New Roman" w:cs="Times New Roman"/>
          <w:sz w:val="24"/>
          <w:szCs w:val="24"/>
        </w:rPr>
        <w:t xml:space="preserve">б) после подписания членами Приемочной комиссии в соответствии с подпунктом «а» настоящего пункта Контракта документа о приемке или мотивированного отказа от подписания документа о приемке Заказчик подписывает документ о</w:t>
      </w:r>
      <w:r>
        <w:rPr>
          <w:rFonts w:ascii="Times New Roman" w:hAnsi="Times New Roman" w:eastAsia="Times New Roman" w:cs="Times New Roman"/>
          <w:sz w:val="24"/>
          <w:szCs w:val="24"/>
        </w:rPr>
        <w:t xml:space="preserve">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ЕИС. Если члены приемочной комиссии в соответствии с подпунктом «а» настоящего пункта </w:t>
      </w:r>
      <w:r>
        <w:rPr>
          <w:rFonts w:ascii="Times New Roman" w:hAnsi="Times New Roman" w:eastAsia="Times New Roman" w:cs="Times New Roman"/>
          <w:sz w:val="24"/>
          <w:szCs w:val="24"/>
        </w:rPr>
        <w:t xml:space="preserve">К</w:t>
      </w:r>
      <w:r>
        <w:rPr>
          <w:rFonts w:ascii="Times New Roman" w:hAnsi="Times New Roman" w:eastAsia="Times New Roman" w:cs="Times New Roman"/>
          <w:sz w:val="24"/>
          <w:szCs w:val="24"/>
        </w:rPr>
        <w:t xml:space="preserve">онтракта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r>
        <w:rPr>
          <w:rFonts w:ascii="Times New Roman" w:hAnsi="Times New Roman" w:eastAsia="Times New Roman" w:cs="Times New Roman"/>
          <w:sz w:val="24"/>
          <w:szCs w:val="24"/>
        </w:rPr>
      </w:r>
      <w:r>
        <w:rPr>
          <w:rFonts w:ascii="Times New Roman" w:hAnsi="Times New Roman" w:cs="Times New Roman"/>
          <w:sz w:val="24"/>
          <w:szCs w:val="24"/>
        </w:rPr>
      </w:r>
    </w:p>
    <w:p>
      <w:pPr>
        <w:contextualSpacing/>
        <w:ind w:left="0" w:right="0" w:firstLine="425"/>
        <w:jc w:val="both"/>
        <w:spacing w:line="240" w:lineRule="auto"/>
        <w:rPr>
          <w:rFonts w:ascii="Times New Roman" w:hAnsi="Times New Roman" w:cs="Times New Roman"/>
          <w:sz w:val="24"/>
          <w:szCs w:val="24"/>
        </w:rPr>
        <w:suppressLineNumbers w:val="0"/>
      </w:pPr>
      <w:r>
        <w:rPr>
          <w:rFonts w:ascii="Times New Roman" w:hAnsi="Times New Roman" w:eastAsia="Times New Roman" w:cs="Times New Roman"/>
          <w:sz w:val="24"/>
          <w:szCs w:val="24"/>
        </w:rPr>
        <w:t xml:space="preserve">4.5. </w:t>
      </w:r>
      <w:r>
        <w:rPr>
          <w:rFonts w:ascii="Times New Roman" w:hAnsi="Times New Roman" w:eastAsia="Times New Roman" w:cs="Times New Roman"/>
          <w:spacing w:val="0"/>
          <w:sz w:val="24"/>
          <w:szCs w:val="24"/>
          <w:lang w:eastAsia="ru-RU"/>
        </w:rPr>
        <w:t xml:space="preserve">Для проведения экспертизы оказанной услуги эксперты, экспертные организации имеют право запраши</w:t>
      </w:r>
      <w:r>
        <w:rPr>
          <w:rFonts w:ascii="Times New Roman" w:hAnsi="Times New Roman" w:eastAsia="Times New Roman" w:cs="Times New Roman"/>
          <w:spacing w:val="0"/>
          <w:sz w:val="24"/>
          <w:szCs w:val="24"/>
          <w:lang w:eastAsia="ru-RU"/>
        </w:rPr>
        <w:t xml:space="preserve">вать у Заказчика и Исполнителя дополнительные материалы, относящиеся к условиям исполнения Контракта и отдельным этапам исполнения Контракта при наличии этапов. В случае если по результатам такой экспертизы установлены нарушения требований Контракта, не пр</w:t>
      </w:r>
      <w:r>
        <w:rPr>
          <w:rFonts w:ascii="Times New Roman" w:hAnsi="Times New Roman" w:eastAsia="Times New Roman" w:cs="Times New Roman"/>
          <w:spacing w:val="0"/>
          <w:sz w:val="24"/>
          <w:szCs w:val="24"/>
          <w:lang w:eastAsia="ru-RU"/>
        </w:rPr>
        <w:t xml:space="preserve">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r>
      <w:r>
        <w:rPr>
          <w:rFonts w:ascii="Times New Roman" w:hAnsi="Times New Roman" w:cs="Times New Roman"/>
          <w:sz w:val="24"/>
          <w:szCs w:val="24"/>
        </w:rPr>
      </w:r>
    </w:p>
    <w:p>
      <w:pPr>
        <w:contextualSpacing/>
        <w:ind w:left="0" w:right="0" w:firstLine="425"/>
        <w:jc w:val="both"/>
        <w:spacing w:line="240" w:lineRule="auto"/>
        <w:rPr>
          <w:rFonts w:ascii="Times New Roman" w:hAnsi="Times New Roman" w:cs="Times New Roman"/>
          <w:sz w:val="24"/>
          <w:szCs w:val="24"/>
        </w:rPr>
        <w:suppressLineNumbers w:val="0"/>
      </w:pPr>
      <w:r>
        <w:rPr>
          <w:rFonts w:ascii="Times New Roman" w:hAnsi="Times New Roman" w:eastAsia="Times New Roman" w:cs="Times New Roman"/>
          <w:sz w:val="24"/>
          <w:szCs w:val="24"/>
        </w:rPr>
        <w:t xml:space="preserve">4.6. Документ о приемке, мотивированный отказ от подписания документа о приемке не</w:t>
      </w:r>
      <w:r>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rPr>
        <w:t xml:space="preserve">позднее одного часа с момента размещения в ЕИС в соответствии с подпунктом «б» пункта 4.4 Контракта направляются автоматически с использованием ЕИС Исполнителю. Датой поступления Исполнителю документа о приемке, мотивированного отказа от подписания докумен</w:t>
      </w:r>
      <w:r>
        <w:rPr>
          <w:rFonts w:ascii="Times New Roman" w:hAnsi="Times New Roman" w:eastAsia="Times New Roman" w:cs="Times New Roman"/>
          <w:sz w:val="24"/>
          <w:szCs w:val="24"/>
        </w:rPr>
        <w:t xml:space="preserve">та о приемке считается дата размещения в</w:t>
      </w:r>
      <w:r>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rPr>
        <w:t xml:space="preserve">соответствии с настоящим пунктом такого документа о приемке, мотивированного отказа в</w:t>
      </w:r>
      <w:r>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rPr>
        <w:t xml:space="preserve">ЕИС в соответствии с часовой зоной, в которой расположен Исполнитель.</w:t>
      </w:r>
      <w:r>
        <w:rPr>
          <w:rFonts w:ascii="Times New Roman" w:hAnsi="Times New Roman" w:eastAsia="Times New Roman" w:cs="Times New Roman"/>
          <w:sz w:val="24"/>
          <w:szCs w:val="24"/>
        </w:rPr>
      </w:r>
      <w:r>
        <w:rPr>
          <w:rFonts w:ascii="Times New Roman" w:hAnsi="Times New Roman" w:cs="Times New Roman"/>
          <w:sz w:val="24"/>
          <w:szCs w:val="24"/>
        </w:rPr>
      </w:r>
    </w:p>
    <w:p>
      <w:pPr>
        <w:contextualSpacing/>
        <w:ind w:left="0" w:right="0" w:firstLine="425"/>
        <w:jc w:val="both"/>
        <w:spacing w:line="240" w:lineRule="auto"/>
        <w:rPr>
          <w:rFonts w:ascii="Times New Roman" w:hAnsi="Times New Roman" w:cs="Times New Roman"/>
          <w:sz w:val="24"/>
          <w:szCs w:val="24"/>
        </w:rPr>
        <w:suppressLineNumbers w:val="0"/>
      </w:pPr>
      <w:r>
        <w:rPr>
          <w:rFonts w:ascii="Times New Roman" w:hAnsi="Times New Roman" w:eastAsia="Times New Roman" w:cs="Times New Roman"/>
          <w:sz w:val="24"/>
          <w:szCs w:val="24"/>
        </w:rPr>
        <w:t xml:space="preserve">4.7. В случае получения в соответствии с пунктом 4.6 Контра</w:t>
      </w:r>
      <w:r>
        <w:rPr>
          <w:rFonts w:ascii="Times New Roman" w:hAnsi="Times New Roman" w:eastAsia="Times New Roman" w:cs="Times New Roman"/>
          <w:sz w:val="24"/>
          <w:szCs w:val="24"/>
        </w:rPr>
        <w:t xml:space="preserve">кта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r>
        <w:rPr>
          <w:rFonts w:ascii="Times New Roman" w:hAnsi="Times New Roman" w:eastAsia="Times New Roman" w:cs="Times New Roman"/>
          <w:sz w:val="24"/>
          <w:szCs w:val="24"/>
        </w:rPr>
      </w:r>
      <w:r>
        <w:rPr>
          <w:rFonts w:ascii="Times New Roman" w:hAnsi="Times New Roman" w:cs="Times New Roman"/>
          <w:sz w:val="24"/>
          <w:szCs w:val="24"/>
        </w:rPr>
      </w:r>
    </w:p>
    <w:p>
      <w:pPr>
        <w:contextualSpacing/>
        <w:ind w:left="0" w:right="0" w:firstLine="425"/>
        <w:jc w:val="both"/>
        <w:spacing w:line="240" w:lineRule="auto"/>
        <w:rPr>
          <w:rFonts w:ascii="Times New Roman" w:hAnsi="Times New Roman" w:cs="Times New Roman"/>
          <w:sz w:val="24"/>
          <w:szCs w:val="24"/>
        </w:rPr>
        <w:suppressLineNumbers w:val="0"/>
      </w:pPr>
      <w:r>
        <w:rPr>
          <w:rFonts w:ascii="Times New Roman" w:hAnsi="Times New Roman" w:eastAsia="Times New Roman" w:cs="Times New Roman"/>
          <w:sz w:val="24"/>
          <w:szCs w:val="24"/>
        </w:rPr>
        <w:t xml:space="preserve">4.8. Датой приемки</w:t>
      </w:r>
      <w:r>
        <w:rPr>
          <w:rFonts w:ascii="Times New Roman" w:hAnsi="Times New Roman" w:eastAsia="Times New Roman" w:cs="Times New Roman"/>
          <w:sz w:val="24"/>
          <w:szCs w:val="24"/>
        </w:rPr>
        <w:t xml:space="preserve"> оказанных услуг считается дата размещения в ЕИС документа о приемке, подписанного Заказчиком.</w:t>
      </w:r>
      <w:r>
        <w:rPr>
          <w:rFonts w:ascii="Times New Roman" w:hAnsi="Times New Roman" w:eastAsia="Times New Roman" w:cs="Times New Roman"/>
          <w:sz w:val="24"/>
          <w:szCs w:val="24"/>
        </w:rPr>
      </w:r>
      <w:r>
        <w:rPr>
          <w:rFonts w:ascii="Times New Roman" w:hAnsi="Times New Roman" w:cs="Times New Roman"/>
          <w:sz w:val="24"/>
          <w:szCs w:val="24"/>
        </w:rPr>
      </w:r>
    </w:p>
    <w:p>
      <w:pPr>
        <w:contextualSpacing/>
        <w:ind w:left="0" w:right="0" w:firstLine="425"/>
        <w:jc w:val="both"/>
        <w:spacing w:line="240" w:lineRule="auto"/>
        <w:rPr>
          <w:rFonts w:ascii="Times New Roman" w:hAnsi="Times New Roman" w:cs="Times New Roman"/>
          <w:sz w:val="24"/>
          <w:szCs w:val="24"/>
        </w:rPr>
        <w:suppressLineNumbers w:val="0"/>
      </w:pPr>
      <w:r>
        <w:rPr>
          <w:rFonts w:ascii="Times New Roman" w:hAnsi="Times New Roman" w:eastAsia="Times New Roman" w:cs="Times New Roman"/>
          <w:sz w:val="24"/>
          <w:szCs w:val="24"/>
        </w:rPr>
        <w:t xml:space="preserve">4.9. Установленный в п. 4.4 Контракта срок приемки результатов оказанных услуг включает в себя сроки проведения внутренней приемк</w:t>
      </w:r>
      <w:r>
        <w:rPr>
          <w:rFonts w:ascii="Times New Roman" w:hAnsi="Times New Roman" w:eastAsia="Times New Roman" w:cs="Times New Roman"/>
          <w:sz w:val="24"/>
          <w:szCs w:val="24"/>
        </w:rPr>
        <w:t xml:space="preserve">и и проведения экспертизы результатов оказанных услуг, сроки приемки и проведения экспертизы результатов оказанных услуг привлеченными при необходимости экспертами (экспертными организациями), а также сроки оформления результатов таких приемок и экспертиз.</w:t>
      </w:r>
      <w:r>
        <w:rPr>
          <w:rFonts w:ascii="Times New Roman" w:hAnsi="Times New Roman" w:eastAsia="Times New Roman" w:cs="Times New Roman"/>
          <w:sz w:val="24"/>
          <w:szCs w:val="24"/>
        </w:rPr>
      </w:r>
      <w:r>
        <w:rPr>
          <w:rFonts w:ascii="Times New Roman" w:hAnsi="Times New Roman" w:cs="Times New Roman"/>
          <w:sz w:val="24"/>
          <w:szCs w:val="24"/>
        </w:rPr>
      </w:r>
    </w:p>
    <w:p>
      <w:pPr>
        <w:contextualSpacing/>
        <w:ind w:left="0" w:right="0" w:firstLine="425"/>
        <w:jc w:val="both"/>
        <w:spacing w:line="240" w:lineRule="auto"/>
        <w:rPr>
          <w:rFonts w:ascii="Times New Roman" w:hAnsi="Times New Roman" w:cs="Times New Roman"/>
          <w:sz w:val="24"/>
          <w:szCs w:val="24"/>
        </w:rPr>
        <w:suppressLineNumbers w:val="0"/>
      </w:pPr>
      <w:r>
        <w:rPr>
          <w:rFonts w:ascii="Times New Roman" w:hAnsi="Times New Roman" w:eastAsia="Times New Roman" w:cs="Times New Roman"/>
          <w:sz w:val="24"/>
          <w:szCs w:val="24"/>
        </w:rPr>
        <w:t xml:space="preserve">4.10. Внесение исправлений в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Исполнителя, Заказчика, и р</w:t>
      </w:r>
      <w:r>
        <w:rPr>
          <w:rFonts w:ascii="Times New Roman" w:hAnsi="Times New Roman" w:eastAsia="Times New Roman" w:cs="Times New Roman"/>
          <w:sz w:val="24"/>
          <w:szCs w:val="24"/>
        </w:rPr>
        <w:t xml:space="preserve">азмещения в ЕИС исправленного документа о приемке.</w:t>
      </w:r>
      <w:r>
        <w:rPr>
          <w:rFonts w:ascii="Times New Roman" w:hAnsi="Times New Roman" w:eastAsia="Times New Roman" w:cs="Times New Roman"/>
          <w:sz w:val="24"/>
          <w:szCs w:val="24"/>
        </w:rPr>
      </w:r>
      <w:r>
        <w:rPr>
          <w:rFonts w:ascii="Times New Roman" w:hAnsi="Times New Roman" w:cs="Times New Roman"/>
          <w:sz w:val="24"/>
          <w:szCs w:val="24"/>
        </w:rPr>
      </w:r>
    </w:p>
    <w:p>
      <w:pPr>
        <w:pStyle w:val="965"/>
        <w:contextualSpacing/>
        <w:ind w:left="0" w:right="0" w:firstLine="425"/>
        <w:jc w:val="both"/>
        <w:rPr>
          <w:rFonts w:ascii="Times New Roman" w:hAnsi="Times New Roman" w:cs="Times New Roman"/>
          <w:sz w:val="24"/>
          <w:szCs w:val="24"/>
        </w:rPr>
        <w:suppressLineNumbers w:val="0"/>
      </w:pPr>
      <w:r>
        <w:rPr>
          <w:rFonts w:ascii="Times New Roman" w:hAnsi="Times New Roman" w:eastAsia="Times New Roman" w:cs="Times New Roman"/>
          <w:sz w:val="24"/>
          <w:szCs w:val="24"/>
        </w:rPr>
        <w:t xml:space="preserve">4.11. Надлежащим подтверждением исполнения Исполнителем своих обязательств по Контракту является подписанный Заказчиком документ о приемке в порядке, предусмотренном настоящим разделом Контракта. Подписанн</w:t>
      </w:r>
      <w:r>
        <w:rPr>
          <w:rFonts w:ascii="Times New Roman" w:hAnsi="Times New Roman" w:eastAsia="Times New Roman" w:cs="Times New Roman"/>
          <w:sz w:val="24"/>
          <w:szCs w:val="24"/>
        </w:rPr>
        <w:t xml:space="preserve">ый Заказчиком документ о приемке и предъявленный Исполнителем Заказчику счет на оплату являются основанием для оплаты Исполнителю оказанных услуг.</w:t>
      </w:r>
      <w:r>
        <w:rPr>
          <w:rFonts w:ascii="Times New Roman" w:hAnsi="Times New Roman" w:eastAsia="Times New Roman" w:cs="Times New Roman"/>
          <w:sz w:val="24"/>
          <w:szCs w:val="24"/>
          <w:highlight w:val="none"/>
        </w:rPr>
      </w:r>
      <w:r>
        <w:rPr>
          <w:rFonts w:ascii="Times New Roman" w:hAnsi="Times New Roman" w:cs="Times New Roman"/>
          <w:sz w:val="24"/>
          <w:szCs w:val="24"/>
        </w:rPr>
      </w:r>
    </w:p>
    <w:p>
      <w:pPr>
        <w:pStyle w:val="965"/>
        <w:ind w:firstLine="426"/>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numPr>
          <w:ilvl w:val="0"/>
          <w:numId w:val="4"/>
        </w:numPr>
        <w:jc w:val="center"/>
        <w:spacing w:after="0"/>
        <w:rPr>
          <w:b/>
        </w:rPr>
      </w:pPr>
      <w:r>
        <w:rPr>
          <w:b/>
        </w:rPr>
        <w:t xml:space="preserve">ПРАВА И ОБЯЗАННОСТИ СТОРОН</w:t>
      </w:r>
      <w:r>
        <w:rPr>
          <w:b/>
        </w:rPr>
      </w:r>
      <w:r>
        <w:rPr>
          <w:b/>
        </w:rPr>
      </w:r>
    </w:p>
    <w:p>
      <w:pPr>
        <w:numPr>
          <w:ilvl w:val="1"/>
          <w:numId w:val="4"/>
        </w:numPr>
        <w:spacing w:after="0"/>
        <w:tabs>
          <w:tab w:val="left" w:pos="567" w:leader="none"/>
          <w:tab w:val="left" w:pos="851" w:leader="none"/>
        </w:tabs>
        <w:rPr>
          <w:b/>
        </w:rPr>
      </w:pPr>
      <w:r>
        <w:rPr>
          <w:b/>
        </w:rPr>
        <w:t xml:space="preserve">Исполнитель обязан:</w:t>
      </w:r>
      <w:r>
        <w:rPr>
          <w:b/>
        </w:rPr>
      </w:r>
      <w:r>
        <w:rPr>
          <w:b/>
        </w:rPr>
      </w:r>
    </w:p>
    <w:p>
      <w:pPr>
        <w:ind w:firstLine="426"/>
        <w:spacing w:after="0"/>
      </w:pPr>
      <w:r>
        <w:t xml:space="preserve">5.1.1. Своевременно и надлежащим образом </w:t>
      </w:r>
      <w:r>
        <w:t xml:space="preserve">оказать услуги</w:t>
      </w:r>
      <w:r>
        <w:t xml:space="preserve">, предусмотренные Контрактом</w:t>
      </w:r>
      <w:r>
        <w:t xml:space="preserve"> </w:t>
      </w:r>
      <w:r>
        <w:t xml:space="preserve">и</w:t>
      </w:r>
      <w:r>
        <w:t xml:space="preserve"> </w:t>
      </w:r>
      <w:r>
        <w:t xml:space="preserve">представить по итогам исполнения обязательств по Контракту документы, в соответствии с п. 4.1 Контракта</w:t>
      </w:r>
      <w:r>
        <w:t xml:space="preserve">,</w:t>
      </w:r>
      <w:r>
        <w:t xml:space="preserve"> </w:t>
      </w:r>
      <w:r>
        <w:t xml:space="preserve">а также проводить </w:t>
      </w:r>
      <w:r>
        <w:t xml:space="preserve">адаптацию и сопровождение экземпляров Систем </w:t>
      </w:r>
      <w:r>
        <w:t xml:space="preserve">КонсультантПлюс</w:t>
      </w:r>
      <w:r>
        <w:t xml:space="preserve"> в период действия переданного сертификата</w:t>
      </w:r>
      <w:r>
        <w:t xml:space="preserve">.</w:t>
      </w:r>
      <w:r/>
    </w:p>
    <w:p>
      <w:pPr>
        <w:ind w:firstLine="426"/>
        <w:spacing w:after="0"/>
      </w:pPr>
      <w:r>
        <w:t xml:space="preserve">5.1.2. </w:t>
      </w:r>
      <w:r>
        <w:t xml:space="preserve">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p>
    <w:p>
      <w:pPr>
        <w:ind w:firstLine="426"/>
        <w:spacing w:after="0"/>
        <w:tabs>
          <w:tab w:val="left" w:pos="567" w:leader="none"/>
          <w:tab w:val="left" w:pos="851" w:leader="none"/>
          <w:tab w:val="left" w:pos="993" w:leader="none"/>
        </w:tabs>
      </w:pPr>
      <w:r>
        <w:t xml:space="preserve">5.1.3. Обеспечивать соответствие результатов оказываемых услуг требованиям качеств</w:t>
      </w:r>
      <w:r>
        <w:t xml:space="preserve">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 и условиями Контракта.</w:t>
      </w:r>
      <w:r/>
    </w:p>
    <w:p>
      <w:pPr>
        <w:ind w:firstLine="426"/>
        <w:spacing w:after="0"/>
        <w:tabs>
          <w:tab w:val="left" w:pos="567" w:leader="none"/>
          <w:tab w:val="left" w:pos="851" w:leader="none"/>
          <w:tab w:val="left" w:pos="993" w:leader="none"/>
        </w:tabs>
      </w:pPr>
      <w:r>
        <w:t xml:space="preserve">5.1.4. Своими силами и за свой счет устранять выявленные недостатки при оказании услуг. </w:t>
      </w:r>
      <w:r/>
    </w:p>
    <w:p>
      <w:pPr>
        <w:ind w:firstLine="426"/>
        <w:spacing w:after="0"/>
        <w:tabs>
          <w:tab w:val="left" w:pos="567" w:leader="none"/>
          <w:tab w:val="left" w:pos="851" w:leader="none"/>
          <w:tab w:val="left" w:pos="993" w:leader="none"/>
        </w:tabs>
      </w:pPr>
      <w:r>
        <w:t xml:space="preserve">5.1.5. При невозможности оказания услуг по причинам, не зависящим от Исполнителя, письменно, с указанием причин невозможности оказания услуг, уведомить об этом Заказчика течение 1 (одного) рабочего дня с момента выявления невозможности оказания услуги.</w:t>
      </w:r>
      <w:r/>
    </w:p>
    <w:p>
      <w:pPr>
        <w:ind w:firstLine="426"/>
        <w:spacing w:after="0"/>
        <w:tabs>
          <w:tab w:val="left" w:pos="567" w:leader="none"/>
        </w:tabs>
      </w:pPr>
      <w:r>
        <w:t xml:space="preserve">5.1.6. Представить Заказчику сведения об изменениях банковских реквизитов и своего факт</w:t>
      </w:r>
      <w:r>
        <w:t xml:space="preserve">ического местонахождения в срок не позднее 3 (трех)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r/>
    </w:p>
    <w:p>
      <w:pPr>
        <w:ind w:firstLine="426"/>
        <w:spacing w:after="0"/>
        <w:tabs>
          <w:tab w:val="left" w:pos="567" w:leader="none"/>
        </w:tabs>
        <w:rPr>
          <w:highlight w:val="none"/>
        </w:rPr>
      </w:pPr>
      <w:r>
        <w:t xml:space="preserve">5.1.7. Соответствовать требованиям, указанным в Декларации (Приложение №</w:t>
      </w:r>
      <w:r>
        <w:rPr>
          <w:lang w:val="en-US"/>
        </w:rPr>
        <w:t xml:space="preserve"> </w:t>
      </w:r>
      <w:r>
        <w:t xml:space="preserve">4 к</w:t>
      </w:r>
      <w:r>
        <w:rPr>
          <w:lang w:val="en-US"/>
        </w:rPr>
        <w:t xml:space="preserve"> </w:t>
      </w:r>
      <w:r>
        <w:t xml:space="preserve">Контракту).</w:t>
      </w:r>
      <w:r>
        <w:rPr>
          <w:highlight w:val="none"/>
        </w:rPr>
      </w:r>
    </w:p>
    <w:p>
      <w:pPr>
        <w:ind w:firstLine="426"/>
        <w:spacing w:after="0"/>
        <w:tabs>
          <w:tab w:val="left" w:pos="567" w:leader="none"/>
        </w:tabs>
      </w:pPr>
      <w:r>
        <w:rPr>
          <w:highlight w:val="none"/>
        </w:rPr>
        <w:t xml:space="preserve">5.1.8. </w:t>
      </w:r>
      <w:r>
        <w:t xml:space="preserve"> В случае если в период действия Контракта Исполнитель</w:t>
      </w:r>
      <w:r>
        <w:t xml:space="preserve"> перестал соответствовать требованиям п. 5.1.7 Контракта, Исполнитель</w:t>
      </w:r>
      <w:r>
        <w:t xml:space="preserve"> посредством электронной почты, указанной в разделе 13 Контракта, обязан известить об этом Заказчика не позднее 3 (трех) рабочих дней с момента наступления данного обстоятельства.</w:t>
      </w:r>
      <w:r>
        <w:rPr>
          <w:highlight w:val="none"/>
        </w:rPr>
      </w:r>
      <w:r/>
    </w:p>
    <w:p>
      <w:pPr>
        <w:numPr>
          <w:ilvl w:val="1"/>
          <w:numId w:val="4"/>
        </w:numPr>
        <w:ind w:left="0" w:firstLine="426"/>
        <w:spacing w:after="0"/>
        <w:tabs>
          <w:tab w:val="left" w:pos="567" w:leader="none"/>
          <w:tab w:val="left" w:pos="851" w:leader="none"/>
          <w:tab w:val="left" w:pos="993" w:leader="none"/>
          <w:tab w:val="num" w:pos="1430" w:leader="none"/>
        </w:tabs>
        <w:rPr>
          <w:b/>
        </w:rPr>
      </w:pPr>
      <w:r>
        <w:rPr>
          <w:b/>
        </w:rPr>
        <w:t xml:space="preserve">Исполнитель вправе:</w:t>
      </w:r>
      <w:r>
        <w:rPr>
          <w:b/>
        </w:rPr>
      </w:r>
      <w:r>
        <w:rPr>
          <w:b/>
        </w:rPr>
      </w:r>
    </w:p>
    <w:p>
      <w:pPr>
        <w:pStyle w:val="966"/>
        <w:numPr>
          <w:ilvl w:val="2"/>
          <w:numId w:val="4"/>
        </w:numPr>
        <w:ind w:left="0" w:firstLine="426"/>
        <w:spacing w:after="0"/>
      </w:pPr>
      <w:r>
        <w:t xml:space="preserve"> Требовать от Заказчика произвести приемку оказанной Услуги в порядке и в сроки, предусмотренные Контрактом;</w:t>
      </w:r>
      <w:r/>
    </w:p>
    <w:p>
      <w:pPr>
        <w:numPr>
          <w:ilvl w:val="2"/>
          <w:numId w:val="4"/>
        </w:numPr>
        <w:ind w:left="0" w:firstLine="426"/>
        <w:spacing w:after="0"/>
        <w:tabs>
          <w:tab w:val="left" w:pos="567" w:leader="none"/>
          <w:tab w:val="left" w:pos="851" w:leader="none"/>
          <w:tab w:val="left" w:pos="993" w:leader="none"/>
        </w:tabs>
      </w:pPr>
      <w:r>
        <w:t xml:space="preserve"> Требовать своевременной оплаты на условиях, установленных Контрактом, надлежащим образом оказанной Услуги;</w:t>
      </w:r>
      <w:bookmarkStart w:id="7" w:name="P161"/>
      <w:r/>
      <w:bookmarkEnd w:id="7"/>
      <w:r/>
      <w:r/>
    </w:p>
    <w:p>
      <w:pPr>
        <w:numPr>
          <w:ilvl w:val="2"/>
          <w:numId w:val="4"/>
        </w:numPr>
        <w:ind w:left="0" w:firstLine="426"/>
        <w:spacing w:after="0"/>
        <w:tabs>
          <w:tab w:val="left" w:pos="567" w:leader="none"/>
          <w:tab w:val="left" w:pos="851" w:leader="none"/>
          <w:tab w:val="left" w:pos="993" w:leader="none"/>
        </w:tabs>
      </w:pPr>
      <w:r>
        <w:t xml:space="preserve">Принять решение об одностороннем отказе от исполнения Контракта в соответствии с гражданским законодательством;</w:t>
      </w:r>
      <w:r/>
    </w:p>
    <w:p>
      <w:pPr>
        <w:numPr>
          <w:ilvl w:val="2"/>
          <w:numId w:val="4"/>
        </w:numPr>
        <w:ind w:left="0" w:firstLine="426"/>
        <w:spacing w:after="0"/>
        <w:tabs>
          <w:tab w:val="left" w:pos="567" w:leader="none"/>
          <w:tab w:val="left" w:pos="851" w:leader="none"/>
          <w:tab w:val="left" w:pos="993" w:leader="none"/>
        </w:tabs>
      </w:pPr>
      <w:r>
        <w:t xml:space="preserve"> Требовать возмещения убытков, уплаты неустоек (штрафов, пеней) в соответствии с </w:t>
      </w:r>
      <w:hyperlink w:tooltip="#P226" w:anchor="P226" w:history="1">
        <w:r>
          <w:t xml:space="preserve">разделом 6</w:t>
        </w:r>
      </w:hyperlink>
      <w:r>
        <w:t xml:space="preserve"> Контракта.</w:t>
      </w:r>
      <w:r/>
    </w:p>
    <w:p>
      <w:pPr>
        <w:numPr>
          <w:ilvl w:val="1"/>
          <w:numId w:val="4"/>
        </w:numPr>
        <w:ind w:left="0" w:firstLine="426"/>
        <w:spacing w:after="0"/>
        <w:tabs>
          <w:tab w:val="left" w:pos="567" w:leader="none"/>
          <w:tab w:val="left" w:pos="851" w:leader="none"/>
          <w:tab w:val="left" w:pos="993" w:leader="none"/>
        </w:tabs>
        <w:rPr>
          <w:b/>
        </w:rPr>
      </w:pPr>
      <w:r>
        <w:rPr>
          <w:b/>
        </w:rPr>
        <w:t xml:space="preserve">Заказчик обязан:</w:t>
      </w:r>
      <w:r>
        <w:rPr>
          <w:b/>
        </w:rPr>
      </w:r>
      <w:r>
        <w:rPr>
          <w:b/>
        </w:rPr>
      </w:r>
    </w:p>
    <w:p>
      <w:pPr>
        <w:pStyle w:val="966"/>
        <w:numPr>
          <w:ilvl w:val="2"/>
          <w:numId w:val="4"/>
        </w:numPr>
        <w:ind w:left="0" w:firstLine="426"/>
        <w:spacing w:after="0"/>
        <w:tabs>
          <w:tab w:val="left" w:pos="709" w:leader="none"/>
        </w:tabs>
      </w:pPr>
      <w:r>
        <w:t xml:space="preserve">Обеспечить своевременную приемку и оплату исполненных Исполнителем обязательств по Контракту в порядке и сроки, предусмотренные Контрактом;</w:t>
      </w:r>
      <w:r/>
    </w:p>
    <w:p>
      <w:pPr>
        <w:numPr>
          <w:ilvl w:val="2"/>
          <w:numId w:val="4"/>
        </w:numPr>
        <w:ind w:left="0" w:firstLine="426"/>
        <w:spacing w:after="0"/>
        <w:tabs>
          <w:tab w:val="left" w:pos="709" w:leader="none"/>
        </w:tabs>
      </w:pPr>
      <w:r>
        <w:rPr>
          <w:lang w:eastAsia="ar-SA"/>
        </w:rPr>
        <w:t xml:space="preserve">Требовать уплаты неустоек (штрафов, пеней) в соответствии с </w:t>
      </w:r>
      <w:hyperlink w:tooltip="#P226" w:anchor="P226" w:history="1">
        <w:r>
          <w:rPr>
            <w:lang w:eastAsia="ar-SA"/>
          </w:rPr>
          <w:t xml:space="preserve">разделом 6</w:t>
        </w:r>
      </w:hyperlink>
      <w:r>
        <w:rPr>
          <w:lang w:eastAsia="ar-SA"/>
        </w:rPr>
        <w:t xml:space="preserve"> Контракта;</w:t>
      </w:r>
      <w:r/>
    </w:p>
    <w:p>
      <w:pPr>
        <w:numPr>
          <w:ilvl w:val="2"/>
          <w:numId w:val="4"/>
        </w:numPr>
        <w:ind w:left="0" w:firstLine="426"/>
        <w:spacing w:after="0"/>
        <w:tabs>
          <w:tab w:val="left" w:pos="709" w:leader="none"/>
        </w:tabs>
      </w:pPr>
      <w:r>
        <w:rPr>
          <w:lang w:eastAsia="ar-SA"/>
        </w:rPr>
        <w:t xml:space="preserve">Провести экспертизу оказанной Услуги для проверки ее соответствия условиям Контракта в соответствии с Федеральным законом № 44-ФЗ;</w:t>
      </w:r>
      <w:r/>
    </w:p>
    <w:p>
      <w:pPr>
        <w:numPr>
          <w:ilvl w:val="2"/>
          <w:numId w:val="4"/>
        </w:numPr>
        <w:ind w:left="0" w:firstLine="426"/>
        <w:spacing w:after="0"/>
        <w:tabs>
          <w:tab w:val="left" w:pos="709" w:leader="none"/>
        </w:tabs>
      </w:pPr>
      <w:r>
        <w:t xml:space="preserve">Направить Исполнителю Извещение о выявленных в процессе проведения экспертизы недостатках (дефектах) оказанной Услуги (при наличии).</w:t>
      </w:r>
      <w:r/>
    </w:p>
    <w:p>
      <w:pPr>
        <w:numPr>
          <w:ilvl w:val="2"/>
          <w:numId w:val="4"/>
        </w:numPr>
        <w:ind w:left="0" w:firstLine="426"/>
        <w:spacing w:after="0"/>
        <w:tabs>
          <w:tab w:val="left" w:pos="709" w:leader="none"/>
        </w:tabs>
      </w:pPr>
      <w:r>
        <w:t xml:space="preserve">Гарантировать, что доступ к Системам будет осуществляться только Уникальными пользователями Заказчика.</w:t>
      </w:r>
      <w:r/>
    </w:p>
    <w:p>
      <w:pPr>
        <w:numPr>
          <w:ilvl w:val="1"/>
          <w:numId w:val="4"/>
        </w:numPr>
        <w:ind w:left="0" w:firstLine="426"/>
        <w:spacing w:after="0"/>
        <w:tabs>
          <w:tab w:val="left" w:pos="567" w:leader="none"/>
          <w:tab w:val="left" w:pos="851" w:leader="none"/>
          <w:tab w:val="left" w:pos="993" w:leader="none"/>
        </w:tabs>
      </w:pPr>
      <w:r>
        <w:rPr>
          <w:b/>
        </w:rPr>
        <w:t xml:space="preserve">Заказчик вправе</w:t>
      </w:r>
      <w:r>
        <w:t xml:space="preserve">:</w:t>
      </w:r>
      <w:r/>
    </w:p>
    <w:p>
      <w:pPr>
        <w:pStyle w:val="966"/>
        <w:numPr>
          <w:ilvl w:val="2"/>
          <w:numId w:val="4"/>
        </w:numPr>
        <w:ind w:left="0" w:firstLine="426"/>
        <w:spacing w:after="0"/>
        <w:tabs>
          <w:tab w:val="left" w:pos="567" w:leader="none"/>
          <w:tab w:val="left" w:pos="851" w:leader="none"/>
          <w:tab w:val="left" w:pos="993" w:leader="none"/>
        </w:tabs>
      </w:pPr>
      <w:r>
        <w:t xml:space="preserve">Требовать от Исполнителя надлежащего исполнения обязательств по Контракту;</w:t>
      </w:r>
      <w:r/>
    </w:p>
    <w:p>
      <w:pPr>
        <w:numPr>
          <w:ilvl w:val="2"/>
          <w:numId w:val="4"/>
        </w:numPr>
        <w:ind w:left="0" w:firstLine="426"/>
        <w:spacing w:after="0"/>
        <w:tabs>
          <w:tab w:val="left" w:pos="567" w:leader="none"/>
          <w:tab w:val="left" w:pos="851" w:leader="none"/>
          <w:tab w:val="left" w:pos="993" w:leader="none"/>
        </w:tabs>
      </w:pPr>
      <w:r>
        <w:t xml:space="preserve"> Требовать от Исполнителя своевременного устранения недостатков, выявленных в</w:t>
      </w:r>
      <w:r>
        <w:rPr>
          <w:lang w:val="en-US"/>
        </w:rPr>
        <w:t xml:space="preserve"> </w:t>
      </w:r>
      <w:r>
        <w:t xml:space="preserve">ходе приемки;</w:t>
      </w:r>
      <w:r/>
    </w:p>
    <w:p>
      <w:pPr>
        <w:numPr>
          <w:ilvl w:val="2"/>
          <w:numId w:val="4"/>
        </w:numPr>
        <w:ind w:left="0" w:firstLine="426"/>
        <w:spacing w:after="0"/>
        <w:tabs>
          <w:tab w:val="left" w:pos="567" w:leader="none"/>
          <w:tab w:val="left" w:pos="851" w:leader="none"/>
          <w:tab w:val="left" w:pos="993" w:leader="none"/>
        </w:tabs>
      </w:pPr>
      <w:r>
        <w:t xml:space="preserve">Проверять ход и качество выполнения Исполнителем условий Контракта без вмешательства в оперативно-хозяйственную деятельность Исполнителя;</w:t>
      </w:r>
      <w:r/>
    </w:p>
    <w:p>
      <w:pPr>
        <w:numPr>
          <w:ilvl w:val="2"/>
          <w:numId w:val="4"/>
        </w:numPr>
        <w:ind w:left="0" w:firstLine="426"/>
        <w:spacing w:after="0"/>
        <w:tabs>
          <w:tab w:val="left" w:pos="567" w:leader="none"/>
          <w:tab w:val="left" w:pos="851" w:leader="none"/>
          <w:tab w:val="left" w:pos="993" w:leader="none"/>
        </w:tabs>
      </w:pPr>
      <w:r>
        <w:t xml:space="preserve"> Отказаться от приемки и оплаты оказанной Услуги, не соответствующей условиям Контракта</w:t>
      </w:r>
      <w:bookmarkStart w:id="8" w:name="P192"/>
      <w:r/>
      <w:bookmarkEnd w:id="8"/>
      <w:r>
        <w:t xml:space="preserve">;</w:t>
      </w:r>
      <w:r/>
    </w:p>
    <w:p>
      <w:pPr>
        <w:numPr>
          <w:ilvl w:val="2"/>
          <w:numId w:val="4"/>
        </w:numPr>
        <w:ind w:left="0" w:firstLine="426"/>
        <w:spacing w:after="0"/>
        <w:tabs>
          <w:tab w:val="left" w:pos="567" w:leader="none"/>
          <w:tab w:val="left" w:pos="851" w:leader="none"/>
          <w:tab w:val="left" w:pos="993" w:leader="none"/>
        </w:tabs>
      </w:pPr>
      <w:r>
        <w:t xml:space="preserve"> Принять решение об одностороннем отказе от исполнения Контракта в соответствии с гражданским законодательством;</w:t>
      </w:r>
      <w:r/>
    </w:p>
    <w:p>
      <w:pPr>
        <w:numPr>
          <w:ilvl w:val="2"/>
          <w:numId w:val="4"/>
        </w:numPr>
        <w:ind w:left="0" w:firstLine="426"/>
        <w:spacing w:after="0"/>
        <w:tabs>
          <w:tab w:val="left" w:pos="567" w:leader="none"/>
          <w:tab w:val="left" w:pos="851" w:leader="none"/>
          <w:tab w:val="left" w:pos="993" w:leader="none"/>
        </w:tabs>
      </w:pPr>
      <w:r>
        <w:t xml:space="preserve">До принятия решения об одностороннем отказе от исполнения Контракта провести экспертизу оказанной Услуги с привлечением экспертов, экспертных организаций.</w:t>
      </w:r>
      <w:r/>
    </w:p>
    <w:p>
      <w:pPr>
        <w:ind w:left="426"/>
        <w:spacing w:after="0"/>
        <w:tabs>
          <w:tab w:val="left" w:pos="567" w:leader="none"/>
          <w:tab w:val="left" w:pos="851" w:leader="none"/>
          <w:tab w:val="left" w:pos="993" w:leader="none"/>
        </w:tabs>
      </w:pPr>
      <w:r/>
      <w:r/>
    </w:p>
    <w:p>
      <w:pPr>
        <w:jc w:val="center"/>
        <w:spacing w:after="0"/>
        <w:widowControl w:val="off"/>
        <w:rPr>
          <w:b/>
          <w:bCs/>
        </w:rPr>
        <w:outlineLvl w:val="0"/>
      </w:pPr>
      <w:r/>
      <w:bookmarkStart w:id="9" w:name="P218"/>
      <w:r/>
      <w:bookmarkStart w:id="10" w:name="P226"/>
      <w:r/>
      <w:bookmarkEnd w:id="9"/>
      <w:r/>
      <w:bookmarkEnd w:id="10"/>
      <w:r>
        <w:rPr>
          <w:b/>
        </w:rPr>
        <w:t xml:space="preserve">6. </w:t>
      </w:r>
      <w:r>
        <w:rPr>
          <w:b/>
        </w:rPr>
        <w:t xml:space="preserve">ОТВЕТСТВЕННОСТЬ СТОРОН</w:t>
      </w:r>
      <w:r>
        <w:rPr>
          <w:b/>
          <w:bCs/>
        </w:rPr>
      </w:r>
      <w:r>
        <w:rPr>
          <w:b/>
          <w:bCs/>
        </w:rPr>
      </w:r>
    </w:p>
    <w:p>
      <w:pPr>
        <w:contextualSpacing/>
        <w:ind w:left="0" w:right="0" w:firstLine="425"/>
        <w:jc w:val="both"/>
        <w:spacing w:line="240" w:lineRule="auto"/>
        <w:suppressLineNumbers w:val="0"/>
      </w:pPr>
      <w:r>
        <w:t xml:space="preserve">6.1. За неисполнение и (или) ненадлежащее исполнение, в том числе за неполное </w:t>
      </w:r>
      <w:r>
        <w:br/>
        <w:t xml:space="preserve">и/или несвоевременное исполнение своих обязательств по Контракту, Стороны несут ответственность в соответствии с действующим законодательством Российской Федерации </w:t>
      </w:r>
      <w:r>
        <w:br/>
        <w:t xml:space="preserve">и условиями настоящего Контракта.</w:t>
      </w:r>
      <w:r/>
    </w:p>
    <w:p>
      <w:pPr>
        <w:contextualSpacing/>
        <w:ind w:left="0" w:right="0" w:firstLine="425"/>
        <w:jc w:val="both"/>
        <w:spacing w:line="240" w:lineRule="auto"/>
        <w:suppressLineNumbers w:val="0"/>
      </w:pPr>
      <w:r>
        <w:t xml:space="preserve">6.2. В случае просрочки Исполнителем обязательств (в том числе гарантийного обязательства), предусмотренных Контрактом, а также в иных случаях неисполнения или</w:t>
      </w:r>
      <w:r>
        <w:rPr>
          <w:lang w:val="en-US"/>
        </w:rPr>
        <w:t xml:space="preserve"> </w:t>
      </w:r>
      <w:r>
        <w:t xml:space="preserve">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r/>
    </w:p>
    <w:p>
      <w:pPr>
        <w:contextualSpacing/>
        <w:ind w:left="0" w:right="0" w:firstLine="425"/>
        <w:jc w:val="both"/>
        <w:spacing w:line="240" w:lineRule="auto"/>
        <w:suppressLineNumbers w:val="0"/>
      </w:pPr>
      <w:r>
        <w:t xml:space="preserve">6.2.1. За нарушение Исполнителем срока оказания услуг он</w:t>
      </w:r>
      <w:r>
        <w:rPr>
          <w:lang w:val="en-US"/>
        </w:rPr>
        <w:t xml:space="preserve"> </w:t>
      </w:r>
      <w:r>
        <w:t xml:space="preserve">уплачивает Заказчику пени. </w:t>
      </w:r>
      <w: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w:t>
      </w:r>
      <w:r>
        <w:t xml:space="preserve">Контрактом срока исполнения обязательства, и устанавливается Контрактом в размере 1/300 (одной трехсотой) действующей на дату уплаты пеней ключевой ставки Центрального банка Российской Федерации от цены Контр</w:t>
      </w:r>
      <w:r>
        <w:t xml:space="preserve">а</w:t>
      </w:r>
      <w:r>
        <w:t xml:space="preserve">кта (этапа), уменьшенной на сумму, пропорциональную объему обязательств, предусмотренных Контрактом (этапом)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p>
    <w:p>
      <w:pPr>
        <w:contextualSpacing/>
        <w:ind w:left="0" w:right="0" w:firstLine="425"/>
        <w:jc w:val="both"/>
        <w:spacing w:line="240" w:lineRule="auto"/>
        <w:suppressLineNumbers w:val="0"/>
      </w:pPr>
      <w:r>
        <w:t xml:space="preserve">6.2.2.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w:t>
      </w:r>
      <w:r>
        <w:br/>
        <w:t xml:space="preserve">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w:t>
      </w:r>
      <w:r>
        <w:t xml:space="preserve">иком, исполнителем) обязательств, предусмотренных контрактом (за исключением просрочки исполнения обязательств заказчиком, исполнителем (подрядчиком, поставщиком), о внесении изменений в постановление Правительства Российской Федерации от 15.05.2017 № 570 </w:t>
      </w:r>
      <w:r>
        <w:br/>
        <w:t xml:space="preserve">и признании утратившим силу постановления Правительства Российской Федерации </w:t>
      </w:r>
      <w:r>
        <w:br/>
        <w:t xml:space="preserve">от 25.11.2013 № 1063» (за исключением случая, предусмотренного пунктом 6.2.3 Контракта) </w:t>
      </w:r>
      <w:r>
        <w:br/>
        <w:t xml:space="preserve">в размере 10 % (десяти процентов) от цены Контракта (этапа – при наличии).</w:t>
      </w:r>
      <w:r/>
    </w:p>
    <w:p>
      <w:pPr>
        <w:contextualSpacing/>
        <w:ind w:left="0" w:right="0" w:firstLine="425"/>
        <w:jc w:val="both"/>
        <w:spacing w:line="240" w:lineRule="auto"/>
        <w:suppressLineNumbers w:val="0"/>
      </w:pPr>
      <w:r>
        <w:t xml:space="preserve">6.2.3. За кажд</w:t>
      </w:r>
      <w:r>
        <w:t xml:space="preserve">ы</w:t>
      </w:r>
      <w:r>
        <w:t xml:space="preserve">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определяется в размере 1000 (Одной тысячи) рублей.</w:t>
      </w:r>
      <w:r>
        <w:rPr>
          <w:rStyle w:val="949"/>
        </w:rPr>
        <w:footnoteReference w:id="3"/>
      </w:r>
      <w:r/>
    </w:p>
    <w:p>
      <w:pPr>
        <w:contextualSpacing/>
        <w:ind w:left="0" w:right="0" w:firstLine="425"/>
        <w:jc w:val="both"/>
        <w:spacing w:line="240" w:lineRule="auto"/>
        <w:suppressLineNumbers w:val="0"/>
      </w:pPr>
      <w:r>
        <w:t xml:space="preserve">6.3.  В случае просрочк</w:t>
      </w:r>
      <w:r>
        <w:t xml:space="preserve">и </w:t>
      </w:r>
      <w:r>
        <w:t xml:space="preserve">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r/>
    </w:p>
    <w:p>
      <w:pPr>
        <w:contextualSpacing/>
        <w:ind w:left="0" w:right="0" w:firstLine="425"/>
        <w:jc w:val="both"/>
        <w:spacing w:line="240" w:lineRule="auto"/>
        <w:suppressLineNumbers w:val="0"/>
      </w:pPr>
      <w:r>
        <w:t xml:space="preserve">6.3.1. В случае просрочки исполнения Заказчиком обязательств по оплате настоящего Контракта Исполнитель вправе потребовать от Заказчика уплату пени. Пеня начисляется за каждый день просрочки исполнения обязательства, предусмотренного Контрактом, начин</w:t>
      </w:r>
      <w:r>
        <w:t xml:space="preserve">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неуплаченной в срок суммы.</w:t>
      </w:r>
      <w:r/>
    </w:p>
    <w:p>
      <w:pPr>
        <w:contextualSpacing/>
        <w:ind w:left="0" w:right="0" w:firstLine="425"/>
        <w:jc w:val="both"/>
        <w:spacing w:line="240" w:lineRule="auto"/>
        <w:suppressLineNumbers w:val="0"/>
      </w:pPr>
      <w:r>
        <w:t xml:space="preserve">6.3.2.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w:t>
      </w:r>
      <w:r>
        <w:rPr>
          <w:rStyle w:val="949"/>
        </w:rPr>
        <w:footnoteReference w:id="4"/>
      </w:r>
      <w:r>
        <w:t xml:space="preserve">.</w:t>
      </w:r>
      <w:r/>
    </w:p>
    <w:p>
      <w:pPr>
        <w:contextualSpacing/>
        <w:ind w:left="0" w:right="0" w:firstLine="425"/>
        <w:jc w:val="both"/>
        <w:spacing w:line="240" w:lineRule="auto"/>
        <w:suppressLineNumbers w:val="0"/>
      </w:pPr>
      <w:r>
        <w:t xml:space="preserve">6.4.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r/>
    </w:p>
    <w:p>
      <w:pPr>
        <w:contextualSpacing/>
        <w:ind w:left="0" w:right="0" w:firstLine="425"/>
        <w:jc w:val="both"/>
        <w:spacing w:line="240" w:lineRule="auto"/>
        <w:suppressLineNumbers w:val="0"/>
      </w:pPr>
      <w:r>
        <w:t xml:space="preserve">6.5. </w:t>
      </w:r>
      <w:r>
        <w:rPr>
          <w:rFonts w:eastAsia="Times New Roman"/>
          <w:spacing w:val="0"/>
          <w:szCs w:val="24"/>
          <w:highlight w:val="white"/>
          <w:lang w:eastAsia="ru-RU"/>
        </w:rPr>
        <w:t xml:space="preserve">Уплата неустойки (пени и штрафа) осуществляется Стороной в течение 10 (десяти) календарных дней со дня получения соответствующего требования.</w:t>
      </w:r>
      <w:r/>
    </w:p>
    <w:p>
      <w:pPr>
        <w:contextualSpacing/>
        <w:ind w:left="0" w:right="0" w:firstLine="425"/>
        <w:jc w:val="both"/>
        <w:spacing w:line="240" w:lineRule="auto"/>
        <w:suppressLineNumbers w:val="0"/>
      </w:pPr>
      <w:r>
        <w:t xml:space="preserve">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p>
    <w:p>
      <w:pPr>
        <w:contextualSpacing/>
        <w:ind w:left="0" w:right="0" w:firstLine="425"/>
        <w:jc w:val="both"/>
        <w:spacing w:line="240" w:lineRule="auto"/>
        <w:suppressLineNumbers w:val="0"/>
      </w:pPr>
      <w:r>
        <w:t xml:space="preserve">6.7.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r/>
    </w:p>
    <w:p>
      <w:pPr>
        <w:contextualSpacing/>
        <w:ind w:left="0" w:right="0" w:firstLine="425"/>
        <w:jc w:val="both"/>
        <w:spacing w:after="0"/>
        <w:tabs>
          <w:tab w:val="left" w:pos="7626" w:leader="none"/>
        </w:tabs>
        <w:suppressLineNumbers w:val="0"/>
      </w:pPr>
      <w:r>
        <w:t xml:space="preserve">6.8.  </w:t>
      </w:r>
      <w:r>
        <w:rPr>
          <w:rFonts w:eastAsia="Times New Roman"/>
          <w:spacing w:val="0"/>
          <w:szCs w:val="24"/>
          <w:lang w:eastAsia="ru-RU"/>
        </w:rPr>
        <w:t xml:space="preserve">Реквизиты счета для уплаты неустоек в пользу Заказчика (штрафов и пеней):</w:t>
      </w:r>
      <w:r>
        <w:rPr>
          <w:rFonts w:eastAsia="Times New Roman"/>
          <w:spacing w:val="0"/>
          <w:szCs w:val="24"/>
          <w:lang w:eastAsia="ru-RU"/>
        </w:rPr>
      </w: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83"/>
        <w:gridCol w:w="6828"/>
      </w:tblGrid>
      <w:tr>
        <w:tblPrEx/>
        <w:trPr/>
        <w:tc>
          <w:tcPr>
            <w:shd w:val="clear" w:color="auto" w:fill="auto"/>
            <w:tcW w:w="3083"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Получатель</w:t>
            </w:r>
            <w:r>
              <w:rPr>
                <w:rFonts w:eastAsia="Times New Roman"/>
                <w:spacing w:val="0"/>
                <w:sz w:val="20"/>
                <w:szCs w:val="20"/>
                <w:lang w:eastAsia="ru-RU"/>
              </w:rPr>
            </w:r>
            <w:r>
              <w:rPr>
                <w:rFonts w:eastAsia="Times New Roman"/>
                <w:spacing w:val="0"/>
                <w:sz w:val="20"/>
                <w:szCs w:val="20"/>
                <w:lang w:eastAsia="ru-RU"/>
              </w:rPr>
            </w:r>
          </w:p>
        </w:tc>
        <w:tc>
          <w:tcPr>
            <w:shd w:val="clear" w:color="auto" w:fill="auto"/>
            <w:tcW w:w="6828"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УФК по г. Москве (ФГБУ «СИЦ МИНТРАНСА РОССИИ», л/с 20736Х21630)</w:t>
            </w:r>
            <w:r>
              <w:rPr>
                <w:rFonts w:eastAsia="Times New Roman"/>
                <w:spacing w:val="0"/>
                <w:sz w:val="20"/>
                <w:szCs w:val="20"/>
                <w:lang w:eastAsia="ru-RU"/>
              </w:rPr>
            </w:r>
            <w:r>
              <w:rPr>
                <w:rFonts w:eastAsia="Times New Roman"/>
                <w:spacing w:val="0"/>
                <w:sz w:val="20"/>
                <w:szCs w:val="20"/>
                <w:lang w:eastAsia="ru-RU"/>
              </w:rPr>
            </w:r>
          </w:p>
        </w:tc>
      </w:tr>
      <w:tr>
        <w:tblPrEx/>
        <w:trPr>
          <w:trHeight w:val="253"/>
        </w:trPr>
        <w:tc>
          <w:tcPr>
            <w:shd w:val="clear" w:color="auto" w:fill="auto"/>
            <w:tcW w:w="3083"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ИНН</w:t>
            </w:r>
            <w:r>
              <w:rPr>
                <w:rFonts w:eastAsia="Times New Roman"/>
                <w:spacing w:val="0"/>
                <w:sz w:val="20"/>
                <w:szCs w:val="20"/>
                <w:lang w:eastAsia="ru-RU"/>
              </w:rPr>
            </w:r>
            <w:r>
              <w:rPr>
                <w:rFonts w:eastAsia="Times New Roman"/>
                <w:spacing w:val="0"/>
                <w:sz w:val="20"/>
                <w:szCs w:val="20"/>
                <w:lang w:eastAsia="ru-RU"/>
              </w:rPr>
            </w:r>
          </w:p>
        </w:tc>
        <w:tc>
          <w:tcPr>
            <w:shd w:val="clear" w:color="auto" w:fill="auto"/>
            <w:tcW w:w="6828"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7704116205</w:t>
            </w:r>
            <w:r>
              <w:rPr>
                <w:rFonts w:eastAsia="Times New Roman"/>
                <w:spacing w:val="0"/>
                <w:sz w:val="20"/>
                <w:szCs w:val="20"/>
                <w:lang w:eastAsia="ru-RU"/>
              </w:rPr>
            </w:r>
            <w:r>
              <w:rPr>
                <w:rFonts w:eastAsia="Times New Roman"/>
                <w:spacing w:val="0"/>
                <w:sz w:val="20"/>
                <w:szCs w:val="20"/>
                <w:lang w:eastAsia="ru-RU"/>
              </w:rPr>
            </w:r>
          </w:p>
        </w:tc>
      </w:tr>
      <w:tr>
        <w:tblPrEx/>
        <w:trPr>
          <w:trHeight w:val="230"/>
        </w:trPr>
        <w:tc>
          <w:tcPr>
            <w:shd w:val="clear" w:color="auto" w:fill="auto"/>
            <w:tcW w:w="3083"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КПП</w:t>
            </w:r>
            <w:r>
              <w:rPr>
                <w:rFonts w:eastAsia="Times New Roman"/>
                <w:spacing w:val="0"/>
                <w:sz w:val="20"/>
                <w:szCs w:val="20"/>
                <w:lang w:eastAsia="ru-RU"/>
              </w:rPr>
            </w:r>
            <w:r>
              <w:rPr>
                <w:rFonts w:eastAsia="Times New Roman"/>
                <w:spacing w:val="0"/>
                <w:sz w:val="20"/>
                <w:szCs w:val="20"/>
                <w:lang w:eastAsia="ru-RU"/>
              </w:rPr>
            </w:r>
          </w:p>
        </w:tc>
        <w:tc>
          <w:tcPr>
            <w:shd w:val="clear" w:color="auto" w:fill="auto"/>
            <w:tcW w:w="6828"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770801001</w:t>
            </w:r>
            <w:r>
              <w:rPr>
                <w:rFonts w:eastAsia="Times New Roman"/>
                <w:spacing w:val="0"/>
                <w:sz w:val="20"/>
                <w:szCs w:val="20"/>
                <w:lang w:eastAsia="ru-RU"/>
              </w:rPr>
            </w:r>
            <w:r>
              <w:rPr>
                <w:rFonts w:eastAsia="Times New Roman"/>
                <w:spacing w:val="0"/>
                <w:sz w:val="20"/>
                <w:szCs w:val="20"/>
                <w:lang w:eastAsia="ru-RU"/>
              </w:rPr>
            </w:r>
          </w:p>
        </w:tc>
      </w:tr>
      <w:tr>
        <w:tblPrEx/>
        <w:trPr/>
        <w:tc>
          <w:tcPr>
            <w:shd w:val="clear" w:color="auto" w:fill="auto"/>
            <w:tcW w:w="3083"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Банк получателя</w:t>
            </w:r>
            <w:r>
              <w:rPr>
                <w:rFonts w:eastAsia="Times New Roman"/>
                <w:spacing w:val="0"/>
                <w:sz w:val="20"/>
                <w:szCs w:val="20"/>
                <w:lang w:eastAsia="ru-RU"/>
              </w:rPr>
            </w:r>
            <w:r>
              <w:rPr>
                <w:rFonts w:eastAsia="Times New Roman"/>
                <w:spacing w:val="0"/>
                <w:sz w:val="20"/>
                <w:szCs w:val="20"/>
                <w:lang w:eastAsia="ru-RU"/>
              </w:rPr>
            </w:r>
          </w:p>
        </w:tc>
        <w:tc>
          <w:tcPr>
            <w:shd w:val="clear" w:color="auto" w:fill="auto"/>
            <w:tcW w:w="6828" w:type="dxa"/>
            <w:textDirection w:val="lrTb"/>
            <w:noWrap w:val="false"/>
          </w:tcPr>
          <w:p>
            <w:pPr>
              <w:contextualSpacing w:val="0"/>
              <w:ind w:firstLine="0"/>
              <w:jc w:val="left"/>
              <w:spacing w:after="60" w:line="240" w:lineRule="auto"/>
              <w:rPr>
                <w:rFonts w:eastAsia="Times New Roman"/>
                <w:spacing w:val="0"/>
                <w:sz w:val="20"/>
                <w:szCs w:val="20"/>
                <w:lang w:eastAsia="ru-RU"/>
              </w:rPr>
            </w:pPr>
            <w:r>
              <w:rPr>
                <w:sz w:val="20"/>
                <w:szCs w:val="20"/>
                <w:highlight w:val="white"/>
              </w:rPr>
              <w:t xml:space="preserve">ОКЦ № 1 ГУ БАНКА РОССИИ ПО ЦФО//УФК ПО Г. МОСКВЕ, г. Москва</w:t>
            </w:r>
            <w:r>
              <w:rPr>
                <w:rFonts w:eastAsia="Times New Roman"/>
                <w:spacing w:val="0"/>
                <w:sz w:val="20"/>
                <w:szCs w:val="20"/>
                <w:lang w:eastAsia="ru-RU"/>
              </w:rPr>
            </w:r>
            <w:r>
              <w:rPr>
                <w:rFonts w:eastAsia="Times New Roman"/>
                <w:spacing w:val="0"/>
                <w:sz w:val="20"/>
                <w:szCs w:val="20"/>
                <w:lang w:eastAsia="ru-RU"/>
              </w:rPr>
            </w:r>
          </w:p>
        </w:tc>
      </w:tr>
      <w:tr>
        <w:tblPrEx/>
        <w:trPr>
          <w:trHeight w:val="231"/>
        </w:trPr>
        <w:tc>
          <w:tcPr>
            <w:shd w:val="clear" w:color="auto" w:fill="auto"/>
            <w:tcW w:w="3083"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БИК</w:t>
            </w:r>
            <w:r>
              <w:rPr>
                <w:rFonts w:eastAsia="Times New Roman"/>
                <w:spacing w:val="0"/>
                <w:sz w:val="20"/>
                <w:szCs w:val="20"/>
                <w:lang w:eastAsia="ru-RU"/>
              </w:rPr>
            </w:r>
            <w:r>
              <w:rPr>
                <w:rFonts w:eastAsia="Times New Roman"/>
                <w:spacing w:val="0"/>
                <w:sz w:val="20"/>
                <w:szCs w:val="20"/>
                <w:lang w:eastAsia="ru-RU"/>
              </w:rPr>
            </w:r>
          </w:p>
        </w:tc>
        <w:tc>
          <w:tcPr>
            <w:shd w:val="clear" w:color="auto" w:fill="auto"/>
            <w:tcW w:w="6828"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004525988</w:t>
            </w:r>
            <w:r>
              <w:rPr>
                <w:rFonts w:eastAsia="Times New Roman"/>
                <w:spacing w:val="0"/>
                <w:sz w:val="20"/>
                <w:szCs w:val="20"/>
                <w:lang w:eastAsia="ru-RU"/>
              </w:rPr>
            </w:r>
            <w:r>
              <w:rPr>
                <w:rFonts w:eastAsia="Times New Roman"/>
                <w:spacing w:val="0"/>
                <w:sz w:val="20"/>
                <w:szCs w:val="20"/>
                <w:lang w:eastAsia="ru-RU"/>
              </w:rPr>
            </w:r>
          </w:p>
        </w:tc>
      </w:tr>
      <w:tr>
        <w:tblPrEx/>
        <w:trPr>
          <w:trHeight w:val="265"/>
        </w:trPr>
        <w:tc>
          <w:tcPr>
            <w:shd w:val="clear" w:color="auto" w:fill="auto"/>
            <w:tcW w:w="3083"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Казначейский счет</w:t>
            </w:r>
            <w:r>
              <w:rPr>
                <w:rFonts w:eastAsia="Times New Roman"/>
                <w:spacing w:val="0"/>
                <w:sz w:val="20"/>
                <w:szCs w:val="20"/>
                <w:lang w:eastAsia="ru-RU"/>
              </w:rPr>
            </w:r>
            <w:r>
              <w:rPr>
                <w:rFonts w:eastAsia="Times New Roman"/>
                <w:spacing w:val="0"/>
                <w:sz w:val="20"/>
                <w:szCs w:val="20"/>
                <w:lang w:eastAsia="ru-RU"/>
              </w:rPr>
            </w:r>
          </w:p>
        </w:tc>
        <w:tc>
          <w:tcPr>
            <w:shd w:val="clear" w:color="auto" w:fill="auto"/>
            <w:tcW w:w="6828"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03214643000000017300</w:t>
            </w:r>
            <w:r>
              <w:rPr>
                <w:rFonts w:eastAsia="Times New Roman"/>
                <w:spacing w:val="0"/>
                <w:sz w:val="20"/>
                <w:szCs w:val="20"/>
                <w:lang w:eastAsia="ru-RU"/>
              </w:rPr>
            </w:r>
            <w:r>
              <w:rPr>
                <w:rFonts w:eastAsia="Times New Roman"/>
                <w:spacing w:val="0"/>
                <w:sz w:val="20"/>
                <w:szCs w:val="20"/>
                <w:lang w:eastAsia="ru-RU"/>
              </w:rPr>
            </w:r>
          </w:p>
        </w:tc>
      </w:tr>
      <w:tr>
        <w:tblPrEx/>
        <w:trPr>
          <w:trHeight w:val="242"/>
        </w:trPr>
        <w:tc>
          <w:tcPr>
            <w:shd w:val="clear" w:color="auto" w:fill="auto"/>
            <w:tcW w:w="3083"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Единый казначейский счет</w:t>
            </w:r>
            <w:r>
              <w:rPr>
                <w:rFonts w:eastAsia="Times New Roman"/>
                <w:spacing w:val="0"/>
                <w:sz w:val="20"/>
                <w:szCs w:val="20"/>
                <w:lang w:eastAsia="ru-RU"/>
              </w:rPr>
            </w:r>
            <w:r>
              <w:rPr>
                <w:rFonts w:eastAsia="Times New Roman"/>
                <w:spacing w:val="0"/>
                <w:sz w:val="20"/>
                <w:szCs w:val="20"/>
                <w:lang w:eastAsia="ru-RU"/>
              </w:rPr>
            </w:r>
          </w:p>
        </w:tc>
        <w:tc>
          <w:tcPr>
            <w:shd w:val="clear" w:color="auto" w:fill="auto"/>
            <w:tcW w:w="6828"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40102810545370000003</w:t>
            </w:r>
            <w:r>
              <w:rPr>
                <w:rFonts w:eastAsia="Times New Roman"/>
                <w:spacing w:val="0"/>
                <w:sz w:val="20"/>
                <w:szCs w:val="20"/>
                <w:lang w:eastAsia="ru-RU"/>
              </w:rPr>
            </w:r>
            <w:r>
              <w:rPr>
                <w:rFonts w:eastAsia="Times New Roman"/>
                <w:spacing w:val="0"/>
                <w:sz w:val="20"/>
                <w:szCs w:val="20"/>
                <w:lang w:eastAsia="ru-RU"/>
              </w:rPr>
            </w:r>
          </w:p>
        </w:tc>
      </w:tr>
      <w:tr>
        <w:tblPrEx/>
        <w:trPr>
          <w:trHeight w:val="219"/>
        </w:trPr>
        <w:tc>
          <w:tcPr>
            <w:shd w:val="clear" w:color="auto" w:fill="auto"/>
            <w:tcW w:w="3083"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Лицевой счет </w:t>
            </w:r>
            <w:r>
              <w:rPr>
                <w:rFonts w:eastAsia="Times New Roman"/>
                <w:spacing w:val="0"/>
                <w:sz w:val="20"/>
                <w:szCs w:val="20"/>
                <w:lang w:eastAsia="ru-RU"/>
              </w:rPr>
            </w:r>
            <w:r>
              <w:rPr>
                <w:rFonts w:eastAsia="Times New Roman"/>
                <w:spacing w:val="0"/>
                <w:sz w:val="20"/>
                <w:szCs w:val="20"/>
                <w:lang w:eastAsia="ru-RU"/>
              </w:rPr>
            </w:r>
          </w:p>
        </w:tc>
        <w:tc>
          <w:tcPr>
            <w:shd w:val="clear" w:color="auto" w:fill="auto"/>
            <w:tcW w:w="6828"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20736Х21630</w:t>
            </w:r>
            <w:r>
              <w:rPr>
                <w:rFonts w:eastAsia="Times New Roman"/>
                <w:spacing w:val="0"/>
                <w:sz w:val="20"/>
                <w:szCs w:val="20"/>
                <w:lang w:eastAsia="ru-RU"/>
              </w:rPr>
            </w:r>
            <w:r>
              <w:rPr>
                <w:rFonts w:eastAsia="Times New Roman"/>
                <w:spacing w:val="0"/>
                <w:sz w:val="20"/>
                <w:szCs w:val="20"/>
                <w:lang w:eastAsia="ru-RU"/>
              </w:rPr>
            </w:r>
          </w:p>
        </w:tc>
      </w:tr>
      <w:tr>
        <w:tblPrEx/>
        <w:trPr>
          <w:trHeight w:val="265"/>
        </w:trPr>
        <w:tc>
          <w:tcPr>
            <w:shd w:val="clear" w:color="auto" w:fill="auto"/>
            <w:tcW w:w="3083"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КБК</w:t>
            </w:r>
            <w:r>
              <w:rPr>
                <w:rFonts w:eastAsia="Times New Roman"/>
                <w:spacing w:val="0"/>
                <w:sz w:val="20"/>
                <w:szCs w:val="20"/>
                <w:lang w:eastAsia="ru-RU"/>
              </w:rPr>
            </w:r>
            <w:r>
              <w:rPr>
                <w:rFonts w:eastAsia="Times New Roman"/>
                <w:spacing w:val="0"/>
                <w:sz w:val="20"/>
                <w:szCs w:val="20"/>
                <w:lang w:eastAsia="ru-RU"/>
              </w:rPr>
            </w:r>
          </w:p>
        </w:tc>
        <w:tc>
          <w:tcPr>
            <w:shd w:val="clear" w:color="auto" w:fill="auto"/>
            <w:tcW w:w="6828" w:type="dxa"/>
            <w:textDirection w:val="lrTb"/>
            <w:noWrap w:val="false"/>
          </w:tcPr>
          <w:p>
            <w:pPr>
              <w:contextualSpacing w:val="0"/>
              <w:ind w:firstLine="0"/>
              <w:jc w:val="left"/>
              <w:spacing w:after="60" w:line="240" w:lineRule="auto"/>
              <w:rPr>
                <w:rFonts w:eastAsia="Times New Roman"/>
                <w:b/>
                <w:spacing w:val="0"/>
                <w:sz w:val="20"/>
                <w:szCs w:val="20"/>
                <w:lang w:eastAsia="ru-RU"/>
              </w:rPr>
            </w:pPr>
            <w:r>
              <w:rPr>
                <w:rFonts w:eastAsia="Times New Roman"/>
                <w:b/>
                <w:spacing w:val="0"/>
                <w:sz w:val="20"/>
                <w:szCs w:val="20"/>
                <w:lang w:eastAsia="ru-RU"/>
              </w:rPr>
              <w:t xml:space="preserve">00000000000000000140</w:t>
            </w:r>
            <w:r>
              <w:rPr>
                <w:rFonts w:eastAsia="Times New Roman"/>
                <w:b/>
                <w:spacing w:val="0"/>
                <w:sz w:val="20"/>
                <w:szCs w:val="20"/>
                <w:lang w:eastAsia="ru-RU"/>
              </w:rPr>
            </w:r>
            <w:r>
              <w:rPr>
                <w:rFonts w:eastAsia="Times New Roman"/>
                <w:b/>
                <w:spacing w:val="0"/>
                <w:sz w:val="20"/>
                <w:szCs w:val="20"/>
                <w:lang w:eastAsia="ru-RU"/>
              </w:rPr>
            </w:r>
          </w:p>
        </w:tc>
      </w:tr>
      <w:tr>
        <w:tblPrEx/>
        <w:trPr>
          <w:trHeight w:val="242"/>
        </w:trPr>
        <w:tc>
          <w:tcPr>
            <w:shd w:val="clear" w:color="auto" w:fill="auto"/>
            <w:tcW w:w="3083"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ОКТМО</w:t>
            </w:r>
            <w:r>
              <w:rPr>
                <w:rFonts w:eastAsia="Times New Roman"/>
                <w:spacing w:val="0"/>
                <w:sz w:val="20"/>
                <w:szCs w:val="20"/>
                <w:lang w:eastAsia="ru-RU"/>
              </w:rPr>
            </w:r>
            <w:r>
              <w:rPr>
                <w:rFonts w:eastAsia="Times New Roman"/>
                <w:spacing w:val="0"/>
                <w:sz w:val="20"/>
                <w:szCs w:val="20"/>
                <w:lang w:eastAsia="ru-RU"/>
              </w:rPr>
            </w:r>
          </w:p>
        </w:tc>
        <w:tc>
          <w:tcPr>
            <w:shd w:val="clear" w:color="auto" w:fill="auto"/>
            <w:tcW w:w="6828"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45378000</w:t>
            </w:r>
            <w:r>
              <w:rPr>
                <w:rFonts w:eastAsia="Times New Roman"/>
                <w:spacing w:val="0"/>
                <w:sz w:val="20"/>
                <w:szCs w:val="20"/>
                <w:lang w:eastAsia="ru-RU"/>
              </w:rPr>
            </w:r>
            <w:r>
              <w:rPr>
                <w:rFonts w:eastAsia="Times New Roman"/>
                <w:spacing w:val="0"/>
                <w:sz w:val="20"/>
                <w:szCs w:val="20"/>
                <w:lang w:eastAsia="ru-RU"/>
              </w:rPr>
            </w:r>
          </w:p>
        </w:tc>
      </w:tr>
    </w:tbl>
    <w:p>
      <w:pPr>
        <w:ind w:left="540"/>
        <w:jc w:val="center"/>
        <w:spacing w:after="0"/>
        <w:tabs>
          <w:tab w:val="left" w:pos="851" w:leader="none"/>
          <w:tab w:val="left" w:pos="993" w:leader="none"/>
        </w:tabs>
        <w:rPr>
          <w:b/>
        </w:rPr>
        <w:outlineLvl w:val="1"/>
      </w:pPr>
      <w:r>
        <w:rPr>
          <w:b/>
        </w:rPr>
      </w:r>
      <w:r>
        <w:rPr>
          <w:b/>
        </w:rPr>
      </w:r>
      <w:r>
        <w:rPr>
          <w:b/>
        </w:rPr>
      </w:r>
    </w:p>
    <w:p>
      <w:pPr>
        <w:jc w:val="center"/>
        <w:spacing w:after="0"/>
        <w:tabs>
          <w:tab w:val="left" w:pos="851" w:leader="none"/>
          <w:tab w:val="left" w:pos="993" w:leader="none"/>
        </w:tabs>
        <w:rPr>
          <w:b/>
        </w:rPr>
        <w:outlineLvl w:val="1"/>
      </w:pPr>
      <w:r>
        <w:rPr>
          <w:b/>
        </w:rPr>
        <w:t xml:space="preserve">7. </w:t>
      </w:r>
      <w:r>
        <w:rPr>
          <w:b/>
        </w:rPr>
        <w:t xml:space="preserve">КАЧЕСТВО УСЛУГИ</w:t>
      </w:r>
      <w:r>
        <w:rPr>
          <w:b/>
        </w:rPr>
        <w:t xml:space="preserve">, ГАРАНТИЙНЫЕ ОБЯЗАТЕЛЬСТВА</w:t>
      </w:r>
      <w:r>
        <w:rPr>
          <w:b/>
        </w:rPr>
        <w:t xml:space="preserve"> </w:t>
      </w:r>
      <w:r>
        <w:rPr>
          <w:b/>
        </w:rPr>
      </w:r>
      <w:r>
        <w:rPr>
          <w:b/>
        </w:rPr>
      </w:r>
    </w:p>
    <w:p>
      <w:pPr>
        <w:ind w:firstLine="426"/>
        <w:spacing w:after="0"/>
        <w:tabs>
          <w:tab w:val="left" w:pos="567" w:leader="none"/>
          <w:tab w:val="left" w:pos="851" w:leader="none"/>
        </w:tabs>
      </w:pPr>
      <w:r>
        <w:t xml:space="preserve">7.1. Качество Услуги, оказываемой по настоящему Контракту, должно соответствовать установленным в Российской Федерации государственным стандартам, техническим регламентам</w:t>
      </w:r>
      <w:r>
        <w:br/>
        <w:t xml:space="preserve">и условиям Контракта. </w:t>
      </w:r>
      <w:r/>
    </w:p>
    <w:p>
      <w:pPr>
        <w:ind w:firstLine="426"/>
        <w:spacing w:after="0"/>
        <w:tabs>
          <w:tab w:val="left" w:pos="567" w:leader="none"/>
          <w:tab w:val="left" w:pos="851" w:leader="none"/>
        </w:tabs>
      </w:pPr>
      <w:r>
        <w:t xml:space="preserve">7.2. </w:t>
      </w:r>
      <w:r>
        <w:t xml:space="preserve">Требования к услугам, определенные условиями Контракта, должны быть выполнены, цели и результаты, изложенные в разделе </w:t>
      </w:r>
      <w:r>
        <w:t xml:space="preserve">2</w:t>
      </w:r>
      <w:r>
        <w:t xml:space="preserve"> Контракта, должны быть достигнуты.</w:t>
      </w:r>
      <w:r/>
    </w:p>
    <w:p>
      <w:pPr>
        <w:ind w:firstLine="426"/>
        <w:spacing w:after="0"/>
        <w:tabs>
          <w:tab w:val="left" w:pos="567" w:leader="none"/>
          <w:tab w:val="left" w:pos="851" w:leader="none"/>
        </w:tabs>
      </w:pPr>
      <w:r>
        <w:t xml:space="preserve">7.3. </w:t>
      </w:r>
      <w:r>
        <w:t xml:space="preserve">Гарантийный срок: с </w:t>
      </w:r>
      <w:r>
        <w:t xml:space="preserve">01</w:t>
      </w:r>
      <w:r>
        <w:t xml:space="preserve">.</w:t>
      </w:r>
      <w:r>
        <w:t xml:space="preserve">10</w:t>
      </w:r>
      <w:r>
        <w:t xml:space="preserve">.202</w:t>
      </w:r>
      <w:r>
        <w:t xml:space="preserve">6</w:t>
      </w:r>
      <w:r>
        <w:t xml:space="preserve"> по </w:t>
      </w:r>
      <w:r>
        <w:t xml:space="preserve">30</w:t>
      </w:r>
      <w:r>
        <w:t xml:space="preserve">.</w:t>
      </w:r>
      <w:r>
        <w:t xml:space="preserve">09</w:t>
      </w:r>
      <w:r>
        <w:t xml:space="preserve">.202</w:t>
      </w:r>
      <w:r>
        <w:t xml:space="preserve">7</w:t>
      </w:r>
      <w:r>
        <w:t xml:space="preserve"> </w:t>
      </w:r>
      <w:r>
        <w:t xml:space="preserve">(включительно).</w:t>
      </w:r>
      <w:r/>
    </w:p>
    <w:p>
      <w:pPr>
        <w:ind w:firstLine="426"/>
        <w:spacing w:after="0"/>
        <w:tabs>
          <w:tab w:val="left" w:pos="567" w:leader="none"/>
          <w:tab w:val="left" w:pos="851" w:leader="none"/>
        </w:tabs>
      </w:pPr>
      <w:r>
        <w:t xml:space="preserve">Объем гарантийных обязательств включает выполнение условий по адаптаци</w:t>
      </w:r>
      <w:r>
        <w:t xml:space="preserve">и</w:t>
      </w:r>
      <w:r>
        <w:t xml:space="preserve"> и сопровождени</w:t>
      </w:r>
      <w:r>
        <w:t xml:space="preserve">ю</w:t>
      </w:r>
      <w:r>
        <w:t xml:space="preserve"> экземпляров Систем </w:t>
      </w:r>
      <w:r>
        <w:t xml:space="preserve">КонсультантПлюс</w:t>
      </w:r>
      <w:r>
        <w:t xml:space="preserve"> в порядке и на условиях, установленных Техническом задании (Приложение № 1 к Контракту).</w:t>
      </w:r>
      <w:r/>
    </w:p>
    <w:p>
      <w:pPr>
        <w:ind w:firstLine="426"/>
        <w:spacing w:after="0"/>
        <w:tabs>
          <w:tab w:val="left" w:pos="567" w:leader="none"/>
          <w:tab w:val="left" w:pos="851" w:leader="none"/>
        </w:tabs>
      </w:pPr>
      <w:r/>
      <w:r/>
    </w:p>
    <w:p>
      <w:pPr>
        <w:jc w:val="center"/>
        <w:spacing w:after="0"/>
        <w:rPr>
          <w:b/>
        </w:rPr>
      </w:pPr>
      <w:r>
        <w:rPr>
          <w:b/>
        </w:rPr>
        <w:t xml:space="preserve">8. </w:t>
      </w:r>
      <w:r>
        <w:rPr>
          <w:b/>
        </w:rPr>
        <w:t xml:space="preserve">ОБСТОЯТЕЛЬСТВА НЕПРЕОДОЛИМОЙ СИЛЫ</w:t>
      </w:r>
      <w:r>
        <w:rPr>
          <w:b/>
        </w:rPr>
      </w:r>
      <w:r>
        <w:rPr>
          <w:b/>
        </w:rPr>
      </w:r>
    </w:p>
    <w:p>
      <w:pPr>
        <w:pStyle w:val="969"/>
        <w:ind w:firstLine="426"/>
        <w:tabs>
          <w:tab w:val="left" w:pos="1134" w:leader="none"/>
        </w:tabs>
        <w:rPr>
          <w:color w:val="000000"/>
        </w:rPr>
      </w:pPr>
      <w:r>
        <w:rPr>
          <w:color w:val="000000"/>
        </w:rPr>
        <w:t xml:space="preserve">8.1.</w:t>
      </w:r>
      <w:r>
        <w:rPr>
          <w:color w:val="000000"/>
        </w:rPr>
        <w:tab/>
        <w:t xml:space="preserve">Стороны освобождаются от ответственности за частичное или полное невыполнение обязательств по Контракту, если оно явилось следствием действия обстоятельств непреодол</w:t>
      </w:r>
      <w:r>
        <w:rPr>
          <w:color w:val="000000"/>
        </w:rPr>
        <w:t xml:space="preserve">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r>
        <w:rPr>
          <w:color w:val="000000"/>
        </w:rPr>
      </w:r>
      <w:r>
        <w:rPr>
          <w:color w:val="000000"/>
        </w:rPr>
      </w:r>
    </w:p>
    <w:p>
      <w:pPr>
        <w:pStyle w:val="969"/>
        <w:ind w:firstLine="426"/>
        <w:tabs>
          <w:tab w:val="left" w:pos="1134" w:leader="none"/>
        </w:tabs>
        <w:rPr>
          <w:color w:val="000000"/>
        </w:rPr>
      </w:pPr>
      <w:r>
        <w:rPr>
          <w:color w:val="000000"/>
        </w:rPr>
        <w:t xml:space="preserve">8.2.</w:t>
      </w:r>
      <w:r>
        <w:rPr>
          <w:color w:val="000000"/>
        </w:rPr>
        <w:tab/>
        <w:t xml:space="preserve">Сторона, для которой создалась невозможность выполнения обязательств по</w:t>
      </w:r>
      <w:r>
        <w:rPr>
          <w:color w:val="000000"/>
          <w:lang w:val="en-US"/>
        </w:rPr>
        <w:t xml:space="preserve"> </w:t>
      </w:r>
      <w:r>
        <w:rPr>
          <w:color w:val="000000"/>
        </w:rPr>
        <w:t xml:space="preserve">Контракту, обязана незамедлительно (не позднее 3 (трех) рабочих дней) известить другую Сторону о наступлении и прекращении вышеуказанных обстоятельств. </w:t>
      </w:r>
      <w:r>
        <w:rPr>
          <w:color w:val="000000"/>
        </w:rPr>
      </w:r>
      <w:r>
        <w:rPr>
          <w:color w:val="000000"/>
        </w:rPr>
      </w:r>
    </w:p>
    <w:p>
      <w:pPr>
        <w:pStyle w:val="969"/>
        <w:ind w:firstLine="426"/>
        <w:tabs>
          <w:tab w:val="left" w:pos="1134" w:leader="none"/>
          <w:tab w:val="left" w:pos="1276" w:leader="none"/>
        </w:tabs>
        <w:rPr>
          <w:color w:val="000000"/>
        </w:rPr>
      </w:pPr>
      <w:r>
        <w:rPr>
          <w:color w:val="000000"/>
        </w:rPr>
        <w:t xml:space="preserve">8.3. </w:t>
      </w:r>
      <w:r>
        <w:t xml:space="preserve">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color w:val="000000"/>
        </w:rPr>
      </w:r>
      <w:r>
        <w:rPr>
          <w:color w:val="000000"/>
        </w:rPr>
      </w:r>
    </w:p>
    <w:p>
      <w:pPr>
        <w:pStyle w:val="969"/>
        <w:ind w:firstLine="426"/>
        <w:tabs>
          <w:tab w:val="left" w:pos="1134" w:leader="none"/>
        </w:tabs>
        <w:rPr>
          <w:color w:val="000000"/>
        </w:rPr>
      </w:pPr>
      <w:r>
        <w:rPr>
          <w:color w:val="000000"/>
        </w:rPr>
        <w:t xml:space="preserve">8.4.</w:t>
      </w:r>
      <w:r>
        <w:rPr>
          <w:color w:val="000000"/>
        </w:rPr>
        <w:tab/>
        <w:t xml:space="preserve">Если обстоятельства и их последствия будут длиться более 3 (трех) месяцев, Стороны расторгают Контракт по соглашению Сторон. В этом случае ни одна из Сторон не имеет права потребовать от другой Стороны возмещения убытков.</w:t>
      </w:r>
      <w:r>
        <w:rPr>
          <w:color w:val="000000"/>
        </w:rPr>
      </w:r>
      <w:r>
        <w:rPr>
          <w:color w:val="000000"/>
        </w:rPr>
      </w:r>
    </w:p>
    <w:p>
      <w:pPr>
        <w:pStyle w:val="969"/>
        <w:ind w:firstLine="426"/>
        <w:tabs>
          <w:tab w:val="left" w:pos="1134" w:leader="none"/>
        </w:tabs>
        <w:rPr>
          <w:color w:val="000000"/>
        </w:rPr>
      </w:pPr>
      <w:r>
        <w:rPr>
          <w:color w:val="000000"/>
        </w:rPr>
      </w:r>
      <w:r>
        <w:rPr>
          <w:color w:val="000000"/>
        </w:rPr>
      </w:r>
      <w:r>
        <w:rPr>
          <w:color w:val="000000"/>
        </w:rPr>
      </w:r>
    </w:p>
    <w:p>
      <w:pPr>
        <w:jc w:val="center"/>
        <w:spacing w:after="0"/>
        <w:widowControl w:val="off"/>
        <w:rPr>
          <w:b/>
        </w:rPr>
      </w:pPr>
      <w:r>
        <w:rPr>
          <w:b/>
        </w:rPr>
        <w:t xml:space="preserve">9. </w:t>
      </w:r>
      <w:r>
        <w:rPr>
          <w:b/>
        </w:rPr>
        <w:t xml:space="preserve">РАССМОТРЕНИЕ И РАЗРЕШЕНИЕ СПОРОВ</w:t>
      </w:r>
      <w:r>
        <w:rPr>
          <w:b/>
        </w:rPr>
      </w:r>
      <w:r>
        <w:rPr>
          <w:b/>
        </w:rPr>
      </w:r>
    </w:p>
    <w:p>
      <w:pPr>
        <w:pStyle w:val="970"/>
        <w:ind w:firstLine="426"/>
      </w:pPr>
      <w:r>
        <w:t xml:space="preserve">9.1. Все споры и разногласия, возникшие в связи с исполнением Контракта, решаются Сторонами путем переговоров, а достигнутые договоренности, при необходимости, оформляются в виде дополнительных соглашений, подписанных Сторонами и скрепленных печатями.</w:t>
      </w:r>
      <w:r/>
    </w:p>
    <w:p>
      <w:pPr>
        <w:pStyle w:val="970"/>
        <w:ind w:firstLine="426"/>
      </w:pPr>
      <w:r>
        <w:t xml:space="preserve">9.2. В случае </w:t>
      </w:r>
      <w:r>
        <w:t xml:space="preserve">недостижения</w:t>
      </w:r>
      <w:r>
        <w:t xml:space="preserve"> согласия в результате переговоров спорные вопросы разрешаются</w:t>
      </w:r>
      <w:r>
        <w:br/>
        <w:t xml:space="preserve"> в претензионном (досудебном) порядке.</w:t>
      </w:r>
      <w:r/>
    </w:p>
    <w:p>
      <w:pPr>
        <w:pStyle w:val="970"/>
        <w:ind w:firstLine="426"/>
      </w:pPr>
      <w:r>
        <w:t xml:space="preserve">9.3. Претензия должна быть н</w:t>
      </w:r>
      <w:r>
        <w:t xml:space="preserve">аправлена в письменном виде. Сторона должна дать письменный ответ по существу заявленной претензии в срок не позднее 10 (десяти) рабочих дней с даты ее получения. Оставление претензии без ответа в установленный срок означает признание требований претензии.</w:t>
      </w:r>
      <w:r/>
    </w:p>
    <w:p>
      <w:pPr>
        <w:ind w:firstLine="426"/>
        <w:spacing w:after="0"/>
        <w:tabs>
          <w:tab w:val="left" w:pos="993" w:leader="none"/>
        </w:tabs>
      </w:pPr>
      <w:r>
        <w:t xml:space="preserve">9.4. При невозможности разрешения споров, разногласий или требований путем переговоров они рассматриваются Арбитражным судом города Москвы.</w:t>
      </w:r>
      <w:r/>
    </w:p>
    <w:p>
      <w:pPr>
        <w:ind w:firstLine="426"/>
        <w:spacing w:after="0"/>
        <w:tabs>
          <w:tab w:val="left" w:pos="993" w:leader="none"/>
        </w:tabs>
      </w:pPr>
      <w:r/>
      <w:r/>
    </w:p>
    <w:p>
      <w:pPr>
        <w:jc w:val="center"/>
        <w:spacing w:after="0"/>
        <w:widowControl w:val="off"/>
        <w:rPr>
          <w:b/>
          <w:bCs/>
        </w:rPr>
      </w:pPr>
      <w:r>
        <w:rPr>
          <w:b/>
        </w:rPr>
        <w:t xml:space="preserve">10. </w:t>
      </w:r>
      <w:r>
        <w:rPr>
          <w:b/>
        </w:rPr>
        <w:t xml:space="preserve">ИЗМЕНЕНИЕ И РАСТОРЖЕНИЕ КОНТРАКТА</w:t>
      </w:r>
      <w:r>
        <w:rPr>
          <w:b/>
          <w:bCs/>
        </w:rPr>
      </w:r>
      <w:r>
        <w:rPr>
          <w:b/>
          <w:bCs/>
        </w:rPr>
      </w:r>
    </w:p>
    <w:p>
      <w:pPr>
        <w:jc w:val="center"/>
        <w:spacing w:after="0"/>
        <w:widowControl w:val="off"/>
        <w:rPr>
          <w:b/>
          <w:bCs/>
        </w:rPr>
      </w:pPr>
      <w:r>
        <w:rPr>
          <w:b/>
          <w:bCs/>
        </w:rPr>
      </w:r>
      <w:r>
        <w:rPr>
          <w:b/>
          <w:bCs/>
        </w:rPr>
      </w:r>
      <w:r>
        <w:rPr>
          <w:b/>
          <w:bCs/>
        </w:rPr>
      </w:r>
    </w:p>
    <w:p>
      <w:pPr>
        <w:ind w:left="0" w:right="0" w:firstLine="425"/>
        <w:spacing w:after="0" w:line="240" w:lineRule="auto"/>
        <w:tabs>
          <w:tab w:val="left" w:pos="567" w:leader="none"/>
          <w:tab w:val="left" w:pos="1134" w:leader="none"/>
        </w:tabs>
        <w:rPr>
          <w:rFonts w:eastAsia="Times New Roman" w:cs="Arial Unicode MS"/>
        </w:rPr>
      </w:pPr>
      <w:r>
        <w:t xml:space="preserve">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w:t>
      </w:r>
      <w:r>
        <w:rPr>
          <w:rFonts w:eastAsia="Times New Roman" w:cs="Arial Unicode MS"/>
        </w:rPr>
      </w:r>
      <w:r>
        <w:rPr>
          <w:rFonts w:eastAsia="Times New Roman" w:cs="Arial Unicode MS"/>
        </w:rPr>
      </w:r>
    </w:p>
    <w:p>
      <w:pPr>
        <w:ind w:left="0" w:right="0" w:firstLine="425"/>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2</w:t>
      </w:r>
      <w:r>
        <w:rPr>
          <w:rFonts w:eastAsia="Times New Roman" w:cs="Arial Unicode MS"/>
        </w:rPr>
        <w:t xml:space="preserve">. Изменения и (или) дополнения в условия Контракта, необходимость внесения которых возникает в процессе его исполнения, оформляются дополнительными соглашениями к Контракту.</w:t>
      </w:r>
      <w:r>
        <w:rPr>
          <w:rFonts w:eastAsia="Times New Roman" w:cs="Arial Unicode MS"/>
        </w:rPr>
      </w:r>
      <w:r>
        <w:rPr>
          <w:rFonts w:eastAsia="Times New Roman" w:cs="Arial Unicode MS"/>
        </w:rPr>
      </w:r>
    </w:p>
    <w:p>
      <w:pPr>
        <w:ind w:left="0" w:right="0" w:firstLine="425"/>
        <w:spacing w:line="240" w:lineRule="auto"/>
        <w:widowControl w:val="off"/>
        <w:tabs>
          <w:tab w:val="left" w:pos="786" w:leader="none"/>
        </w:tabs>
      </w:pPr>
      <w:r>
        <w:rPr>
          <w:rFonts w:eastAsia="Times New Roman" w:cs="Arial Unicode MS"/>
        </w:rPr>
        <w:t xml:space="preserve">10.</w:t>
      </w:r>
      <w:r>
        <w:rPr>
          <w:rFonts w:eastAsia="Times New Roman" w:cs="Arial Unicode MS"/>
        </w:rPr>
        <w:t xml:space="preserve">3</w:t>
      </w:r>
      <w:r>
        <w:rPr>
          <w:rFonts w:eastAsia="Times New Roman" w:cs="Arial Unicode MS"/>
        </w:rPr>
        <w:t xml:space="preserve">. </w:t>
      </w:r>
      <w:r>
        <w:t xml:space="preserve">Дополнительные соглашения к Контракту оформляются письменно на бумажных носителях в 2-х экземплярах, по одному экземпляру для каждой Стороны либо через использование функционала Единого </w:t>
      </w:r>
      <w:r>
        <w:t xml:space="preserve">агрегатора</w:t>
      </w:r>
      <w:r>
        <w:t xml:space="preserve"> торговли (далее - ЕАТ). Дополнительные соглашения подписываются уполномоченными представителями Сторон, и не должны противоречить законодательству Российской Федерации.</w:t>
      </w:r>
      <w:r/>
    </w:p>
    <w:p>
      <w:pPr>
        <w:ind w:left="0" w:right="0" w:firstLine="425"/>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4</w:t>
      </w:r>
      <w:r>
        <w:rPr>
          <w:rFonts w:eastAsia="Times New Roman" w:cs="Arial Unicode MS"/>
        </w:rPr>
        <w:t xml:space="preserve">.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w:t>
      </w:r>
      <w:r>
        <w:rPr>
          <w:rFonts w:eastAsia="Times New Roman" w:cs="Arial Unicode MS"/>
        </w:rPr>
      </w:r>
      <w:r>
        <w:rPr>
          <w:rFonts w:eastAsia="Times New Roman" w:cs="Arial Unicode MS"/>
        </w:rPr>
      </w:r>
    </w:p>
    <w:p>
      <w:pPr>
        <w:ind w:left="0" w:right="0" w:firstLine="425"/>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5</w:t>
      </w:r>
      <w:r>
        <w:rPr>
          <w:rFonts w:eastAsia="Times New Roman" w:cs="Arial Unicode MS"/>
        </w:rPr>
        <w:t xml:space="preserve">.</w:t>
      </w:r>
      <w:r>
        <w:rPr>
          <w:rFonts w:eastAsia="Times New Roman" w:cs="Arial Unicode MS"/>
        </w:rPr>
        <w:tab/>
        <w:t xml:space="preserve">Расторжение Контракта по соглашению Сторон совершается в письменной форме либо через использование функционала Единого </w:t>
      </w:r>
      <w:r>
        <w:rPr>
          <w:rFonts w:eastAsia="Times New Roman" w:cs="Arial Unicode MS"/>
        </w:rPr>
        <w:t xml:space="preserve">агрегатора</w:t>
      </w:r>
      <w:r>
        <w:rPr>
          <w:rFonts w:eastAsia="Times New Roman" w:cs="Arial Unicode MS"/>
        </w:rPr>
        <w:t xml:space="preserve"> торговли (далее - ЕАТ).</w:t>
      </w:r>
      <w:r>
        <w:rPr>
          <w:rFonts w:eastAsia="Times New Roman" w:cs="Arial Unicode MS"/>
        </w:rPr>
      </w:r>
      <w:r>
        <w:rPr>
          <w:rFonts w:eastAsia="Times New Roman" w:cs="Arial Unicode MS"/>
        </w:rPr>
      </w:r>
    </w:p>
    <w:p>
      <w:pPr>
        <w:ind w:left="0" w:right="0" w:firstLine="425"/>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6</w:t>
      </w:r>
      <w:r>
        <w:rPr>
          <w:rFonts w:eastAsia="Times New Roman" w:cs="Arial Unicode MS"/>
        </w:rPr>
        <w:t xml:space="preserve">. Заказчик вправе принять решение об </w:t>
      </w:r>
      <w:r>
        <w:rPr>
          <w:rFonts w:eastAsia="Times New Roman" w:cs="Arial Unicode MS"/>
        </w:rPr>
        <w:t xml:space="preserve">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 </w:t>
      </w:r>
      <w:r>
        <w:rPr>
          <w:rFonts w:eastAsia="Times New Roman" w:cs="Arial Unicode MS"/>
        </w:rPr>
      </w:r>
      <w:r>
        <w:rPr>
          <w:rFonts w:eastAsia="Times New Roman" w:cs="Arial Unicode MS"/>
        </w:rPr>
      </w:r>
    </w:p>
    <w:p>
      <w:pPr>
        <w:ind w:left="0" w:right="0" w:firstLine="425"/>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7</w:t>
      </w:r>
      <w:r>
        <w:rPr>
          <w:rFonts w:eastAsia="Times New Roman" w:cs="Arial Unicode MS"/>
        </w:rPr>
        <w:t xml:space="preserve">. Исполнитель вправе принять решение об</w:t>
      </w:r>
      <w:r>
        <w:rPr>
          <w:rFonts w:eastAsia="Times New Roman" w:cs="Arial Unicode MS"/>
        </w:rPr>
        <w:t xml:space="preserve">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w:t>
      </w:r>
      <w:r>
        <w:rPr>
          <w:rFonts w:eastAsia="Times New Roman" w:cs="Arial Unicode MS"/>
        </w:rPr>
      </w:r>
      <w:r>
        <w:rPr>
          <w:rFonts w:eastAsia="Times New Roman" w:cs="Arial Unicode MS"/>
        </w:rPr>
      </w:r>
    </w:p>
    <w:p>
      <w:pPr>
        <w:ind w:left="0" w:right="0" w:firstLine="425"/>
        <w:spacing w:after="0"/>
        <w:widowControl w:val="off"/>
        <w:tabs>
          <w:tab w:val="left" w:pos="786" w:leader="none"/>
        </w:tabs>
      </w:pPr>
      <w:r>
        <w:rPr>
          <w:rFonts w:eastAsia="Times New Roman" w:cs="Arial Unicode MS"/>
        </w:rPr>
        <w:t xml:space="preserve">10.</w:t>
      </w:r>
      <w:r>
        <w:rPr>
          <w:rFonts w:eastAsia="Times New Roman" w:cs="Arial Unicode MS"/>
        </w:rPr>
        <w:t xml:space="preserve">8</w:t>
      </w:r>
      <w:r>
        <w:rPr>
          <w:rFonts w:eastAsia="Times New Roman" w:cs="Arial Unicode MS"/>
        </w:rPr>
        <w:t xml:space="preserve">. При расторжении Контракта в с</w:t>
      </w:r>
      <w:r>
        <w:rPr>
          <w:rFonts w:eastAsia="Times New Roman" w:cs="Arial Unicode MS"/>
        </w:rPr>
        <w:t xml:space="preserve">вязи с односторонним отказом Стороны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eastAsia="Times New Roman" w:cs="Arial Unicode MS"/>
        </w:rPr>
      </w:r>
      <w:r/>
    </w:p>
    <w:p>
      <w:pPr>
        <w:ind w:firstLine="426"/>
        <w:spacing w:after="0"/>
        <w:widowControl w:val="off"/>
        <w:tabs>
          <w:tab w:val="left" w:pos="786" w:leader="none"/>
        </w:tabs>
      </w:pPr>
      <w:r/>
      <w:r/>
    </w:p>
    <w:p>
      <w:pPr>
        <w:jc w:val="center"/>
        <w:spacing w:after="0"/>
        <w:rPr>
          <w:b/>
          <w:bCs/>
        </w:rPr>
      </w:pPr>
      <w:r>
        <w:rPr>
          <w:b/>
        </w:rPr>
        <w:t xml:space="preserve">11. </w:t>
      </w:r>
      <w:r>
        <w:rPr>
          <w:b/>
        </w:rPr>
        <w:t xml:space="preserve">СРОК ДЕЙСТВИЯ КОНТРАКТА</w:t>
      </w:r>
      <w:r>
        <w:rPr>
          <w:b/>
          <w:bCs/>
        </w:rPr>
      </w:r>
      <w:r>
        <w:rPr>
          <w:b/>
          <w:bCs/>
        </w:rPr>
      </w:r>
    </w:p>
    <w:p>
      <w:pPr>
        <w:jc w:val="center"/>
        <w:spacing w:after="0"/>
        <w:rPr>
          <w:b/>
          <w:bCs/>
        </w:rPr>
      </w:pPr>
      <w:r>
        <w:rPr>
          <w:b/>
          <w:bCs/>
        </w:rPr>
      </w:r>
      <w:r>
        <w:rPr>
          <w:b/>
          <w:bCs/>
        </w:rPr>
      </w:r>
      <w:r>
        <w:rPr>
          <w:b/>
          <w:bCs/>
        </w:rPr>
      </w:r>
    </w:p>
    <w:p>
      <w:pPr>
        <w:ind w:firstLine="426"/>
        <w:spacing w:after="0"/>
        <w:widowControl w:val="off"/>
      </w:pPr>
      <w:r>
        <w:t xml:space="preserve">Контракт вступает в силу с момента его подписания обеими Сторонами и действует до</w:t>
      </w:r>
      <w:r>
        <w:rPr>
          <w:lang w:val="en-US"/>
        </w:rPr>
        <w:t xml:space="preserve"> </w:t>
      </w:r>
      <w:r>
        <w:t xml:space="preserve">31.12.2027</w:t>
      </w:r>
      <w:r>
        <w:t xml:space="preserve">, а в части оплаты – до момента завершения расчетов. Окончание срока действия Контракта не влечет прекращения неисполненных обязательств Сторон по Контракту.</w:t>
      </w:r>
      <w:r/>
    </w:p>
    <w:p>
      <w:pPr>
        <w:ind w:firstLine="426"/>
        <w:spacing w:after="0"/>
        <w:widowControl w:val="off"/>
      </w:pPr>
      <w:r/>
      <w:r/>
    </w:p>
    <w:p>
      <w:pPr>
        <w:jc w:val="center"/>
        <w:spacing w:after="0"/>
        <w:rPr>
          <w:b/>
          <w:bCs/>
        </w:rPr>
      </w:pPr>
      <w:r>
        <w:rPr>
          <w:b/>
        </w:rPr>
        <w:t xml:space="preserve">12. </w:t>
      </w:r>
      <w:r>
        <w:rPr>
          <w:b/>
        </w:rPr>
        <w:t xml:space="preserve">ПРОЧИЕ УСЛОВИЯ</w:t>
      </w:r>
      <w:r>
        <w:rPr>
          <w:b/>
          <w:bCs/>
        </w:rPr>
      </w:r>
      <w:r>
        <w:rPr>
          <w:b/>
          <w:bCs/>
        </w:rPr>
      </w:r>
    </w:p>
    <w:p>
      <w:pPr>
        <w:jc w:val="center"/>
        <w:spacing w:after="0"/>
        <w:rPr>
          <w:b/>
          <w:bCs/>
        </w:rPr>
      </w:pPr>
      <w:r>
        <w:rPr>
          <w:b/>
          <w:bCs/>
        </w:rPr>
      </w:r>
      <w:r>
        <w:rPr>
          <w:b/>
          <w:bCs/>
        </w:rPr>
      </w:r>
      <w:r>
        <w:rPr>
          <w:b/>
          <w:bCs/>
        </w:rPr>
      </w:r>
    </w:p>
    <w:p>
      <w:pPr>
        <w:ind w:firstLine="426"/>
        <w:spacing w:after="0"/>
        <w:widowControl w:val="off"/>
      </w:pPr>
      <w:r>
        <w:t xml:space="preserve">12.1. Во всем, что не предусмотрено Контрактом, Стороны руководствуются законодательством Российской Федерации.</w:t>
      </w:r>
      <w:r/>
    </w:p>
    <w:p>
      <w:pPr>
        <w:ind w:left="0" w:right="0" w:firstLine="425"/>
        <w:spacing w:after="0" w:line="240" w:lineRule="auto"/>
        <w:rPr>
          <w:rFonts w:eastAsia="Arial Unicode MS" w:cs="Arial Unicode MS"/>
        </w:rPr>
      </w:pPr>
      <w:r>
        <w:rPr>
          <w:rFonts w:eastAsia="Arial Unicode MS" w:cs="Arial Unicode MS"/>
        </w:rPr>
        <w:t xml:space="preserve">12.2. 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 </w:t>
      </w:r>
      <w:r>
        <w:rPr>
          <w:rFonts w:eastAsia="Arial Unicode MS" w:cs="Arial Unicode MS"/>
        </w:rPr>
      </w:r>
      <w:r>
        <w:rPr>
          <w:rFonts w:eastAsia="Arial Unicode MS" w:cs="Arial Unicode MS"/>
        </w:rPr>
      </w:r>
    </w:p>
    <w:p>
      <w:pPr>
        <w:ind w:left="0" w:right="0" w:firstLine="425"/>
        <w:spacing w:after="0" w:line="240" w:lineRule="auto"/>
        <w:rPr>
          <w:rFonts w:eastAsia="Arial Unicode MS" w:cs="Arial Unicode MS"/>
          <w:highlight w:val="white"/>
        </w:rPr>
      </w:pPr>
      <w:r>
        <w:rPr>
          <w:rFonts w:eastAsia="Arial Unicode MS" w:cs="Arial Unicode MS"/>
        </w:rPr>
        <w:t xml:space="preserve">12.3.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w:t>
      </w:r>
      <w:r>
        <w:rPr>
          <w:rFonts w:eastAsia="Arial Unicode MS" w:cs="Arial Unicode MS"/>
          <w:highlight w:val="white"/>
        </w:rPr>
        <w:t xml:space="preserve">ния</w:t>
      </w:r>
      <w:r>
        <w:rPr>
          <w:rFonts w:eastAsia="Arial Unicode MS" w:cs="Times New Roman"/>
          <w:highlight w:val="white"/>
          <w:vertAlign w:val="superscript"/>
        </w:rPr>
        <w:footnoteReference w:id="5"/>
      </w:r>
      <w:r>
        <w:rPr>
          <w:rFonts w:eastAsia="Arial Unicode MS" w:cs="Arial Unicode MS"/>
          <w:highlight w:val="white"/>
        </w:rPr>
        <w:t xml:space="preserve">.</w:t>
      </w:r>
      <w:r>
        <w:rPr>
          <w:rFonts w:eastAsia="Arial Unicode MS" w:cs="Arial Unicode MS"/>
          <w:highlight w:val="white"/>
        </w:rPr>
      </w:r>
      <w:r>
        <w:rPr>
          <w:rFonts w:eastAsia="Arial Unicode MS" w:cs="Arial Unicode MS"/>
          <w:highlight w:val="white"/>
        </w:rPr>
      </w:r>
    </w:p>
    <w:p>
      <w:pPr>
        <w:ind w:left="0" w:right="0" w:firstLine="425"/>
        <w:spacing w:after="0"/>
        <w:widowControl w:val="off"/>
      </w:pPr>
      <w:r>
        <w:rPr>
          <w:rFonts w:eastAsia="Arial Unicode MS" w:cs="Arial Unicode MS"/>
        </w:rPr>
        <w:t xml:space="preserve">12.4. В случае перемены Заказчика по Контракту права и обязанности Заказчика по Контракту переходят к</w:t>
      </w:r>
      <w:r>
        <w:rPr>
          <w:rFonts w:eastAsia="Arial Unicode MS" w:cs="Arial Unicode MS"/>
          <w:lang w:val="en-US"/>
        </w:rPr>
        <w:t xml:space="preserve"> </w:t>
      </w:r>
      <w:r>
        <w:rPr>
          <w:rFonts w:eastAsia="Arial Unicode MS" w:cs="Arial Unicode MS"/>
        </w:rPr>
        <w:t xml:space="preserve">новому Заказчику в том же объеме и на тех же условиях.</w:t>
      </w:r>
      <w:r>
        <w:rPr>
          <w:rFonts w:eastAsia="Arial Unicode MS" w:cs="Arial Unicode MS"/>
        </w:rPr>
      </w:r>
      <w:r/>
    </w:p>
    <w:p>
      <w:pPr>
        <w:ind w:firstLine="426"/>
        <w:spacing w:after="0"/>
        <w:widowControl w:val="off"/>
      </w:pPr>
      <w:r>
        <w:t xml:space="preserve">12.6. Стороны обязуются обеспечить конфиденциальность сведений, относящихся к</w:t>
      </w:r>
      <w:r>
        <w:rPr>
          <w:lang w:val="en-US"/>
        </w:rPr>
        <w:t xml:space="preserve"> </w:t>
      </w:r>
      <w:r>
        <w:t xml:space="preserve">предмету Контракта, и ставших им известными в ходе исполнения Контракта.</w:t>
      </w:r>
      <w:r/>
    </w:p>
    <w:p>
      <w:pPr>
        <w:ind w:firstLine="426"/>
        <w:spacing w:after="0"/>
      </w:pPr>
      <w:r/>
      <w:bookmarkStart w:id="11" w:name="P1633"/>
      <w:r/>
      <w:bookmarkEnd w:id="11"/>
      <w:r>
        <w:t xml:space="preserve">12.7. Все приложения к Контракту являются его неотъемлемой частью:</w:t>
      </w:r>
      <w:r/>
    </w:p>
    <w:p>
      <w:pPr>
        <w:ind w:firstLine="426"/>
        <w:spacing w:after="0"/>
      </w:pPr>
      <w:r>
        <w:t xml:space="preserve">12.7.1. Приложение № 1 - Техническое задание;</w:t>
      </w:r>
      <w:r/>
    </w:p>
    <w:p>
      <w:pPr>
        <w:ind w:firstLine="426"/>
        <w:spacing w:after="0"/>
      </w:pPr>
      <w:r>
        <w:t xml:space="preserve">12.7.2. Приложение № 2 – Расшифровка цены Контракта;</w:t>
      </w:r>
      <w:r/>
    </w:p>
    <w:p>
      <w:pPr>
        <w:ind w:firstLine="426"/>
        <w:spacing w:after="0"/>
      </w:pPr>
      <w:r>
        <w:t xml:space="preserve">12.7.3. Приложение № 3 - Форма акта оказанных услуг;</w:t>
      </w:r>
      <w:r/>
    </w:p>
    <w:p>
      <w:pPr>
        <w:ind w:firstLine="426"/>
        <w:spacing w:after="0"/>
      </w:pPr>
      <w:r>
        <w:t xml:space="preserve">12.7.4. Приложение № 4 – Декларация.</w:t>
      </w:r>
      <w:r/>
    </w:p>
    <w:p>
      <w:pPr>
        <w:ind w:firstLine="426"/>
        <w:spacing w:after="0"/>
      </w:pPr>
      <w:r/>
      <w:r/>
    </w:p>
    <w:p>
      <w:pPr>
        <w:jc w:val="center"/>
        <w:spacing w:after="0"/>
        <w:widowControl w:val="off"/>
        <w:rPr>
          <w:b/>
          <w:color w:val="0d0d0d"/>
        </w:rPr>
      </w:pPr>
      <w:r>
        <w:rPr>
          <w:b/>
          <w:color w:val="0d0d0d"/>
          <w:lang w:eastAsia="ar-SA"/>
        </w:rPr>
        <w:t xml:space="preserve">13. АДРЕСА, РЕКВИЗИТЫ И ПОДПИСИ СТОРОН</w:t>
      </w:r>
      <w:bookmarkStart w:id="12" w:name="_Hlk68875467"/>
      <w:r>
        <w:rPr>
          <w:b/>
          <w:color w:val="0d0d0d"/>
        </w:rPr>
      </w:r>
      <w:r>
        <w:rPr>
          <w:b/>
          <w:color w:val="0d0d0d"/>
        </w:rPr>
      </w:r>
    </w:p>
    <w:tbl>
      <w:tblPr>
        <w:tblW w:w="0" w:type="auto"/>
        <w:tblInd w:w="108" w:type="dxa"/>
        <w:tblLook w:val="04A0" w:firstRow="1" w:lastRow="0" w:firstColumn="1" w:lastColumn="0" w:noHBand="0" w:noVBand="1"/>
      </w:tblPr>
      <w:tblGrid>
        <w:gridCol w:w="4961"/>
        <w:gridCol w:w="4926"/>
      </w:tblGrid>
      <w:tr>
        <w:tblPrEx/>
        <w:trPr>
          <w:trHeight w:val="5085"/>
        </w:trPr>
        <w:tc>
          <w:tcPr>
            <w:tcW w:w="4961" w:type="dxa"/>
            <w:textDirection w:val="lrTb"/>
            <w:noWrap w:val="false"/>
          </w:tcPr>
          <w:p>
            <w:pPr>
              <w:jc w:val="left"/>
              <w:spacing w:after="0"/>
              <w:tabs>
                <w:tab w:val="left" w:pos="7626" w:leader="none"/>
              </w:tabs>
              <w:rPr>
                <w:color w:val="0d0d0d"/>
              </w:rPr>
            </w:pPr>
            <w:r>
              <w:rPr>
                <w:b/>
                <w:bCs/>
                <w:color w:val="0d0d0d"/>
              </w:rPr>
              <w:t xml:space="preserve">Заказчик:</w:t>
            </w:r>
            <w:r>
              <w:rPr>
                <w:color w:val="0d0d0d"/>
              </w:rPr>
              <w:t xml:space="preserve"> </w:t>
            </w:r>
            <w:r>
              <w:rPr>
                <w:color w:val="0d0d0d"/>
              </w:rPr>
            </w:r>
            <w:r>
              <w:rPr>
                <w:color w:val="0d0d0d"/>
              </w:rPr>
            </w:r>
          </w:p>
          <w:p>
            <w:pPr>
              <w:jc w:val="left"/>
              <w:spacing w:after="0"/>
              <w:widowControl w:val="off"/>
            </w:pPr>
            <w:r>
              <w:rPr>
                <w:color w:val="0d0d0d"/>
              </w:rPr>
              <w:t xml:space="preserve">ФГБУ «СИЦ Минтранса России»</w:t>
            </w:r>
            <w:r>
              <w:rPr>
                <w:color w:val="0d0d0d"/>
              </w:rPr>
            </w:r>
            <w:r/>
          </w:p>
          <w:p>
            <w:pPr>
              <w:jc w:val="left"/>
              <w:spacing w:after="0"/>
              <w:widowControl w:val="off"/>
            </w:pPr>
            <w:r>
              <w:rPr>
                <w:color w:val="0d0d0d"/>
              </w:rPr>
              <w:t xml:space="preserve">Юридический адрес: 107078, г. Москва, вн. тер. г. муниципальный округ Красносельский, ул. Садовая-Спасская, д.18 стр. 1, помещ. 1</w:t>
            </w:r>
            <w:r>
              <w:rPr>
                <w:color w:val="0d0d0d"/>
              </w:rPr>
            </w:r>
            <w:r/>
          </w:p>
          <w:p>
            <w:pPr>
              <w:jc w:val="left"/>
              <w:spacing w:after="0"/>
              <w:widowControl w:val="off"/>
            </w:pPr>
            <w:r>
              <w:rPr>
                <w:color w:val="0d0d0d"/>
              </w:rPr>
              <w:t xml:space="preserve">Адрес местонахождения: 105082, г. Москва, Большая Почтовая улица, д. 26, стр. 1 </w:t>
            </w:r>
            <w:r>
              <w:rPr>
                <w:color w:val="0d0d0d"/>
              </w:rPr>
            </w:r>
            <w:r/>
          </w:p>
          <w:p>
            <w:pPr>
              <w:jc w:val="left"/>
              <w:spacing w:after="0"/>
              <w:widowControl w:val="off"/>
            </w:pPr>
            <w:r>
              <w:rPr>
                <w:color w:val="0d0d0d"/>
              </w:rPr>
              <w:t xml:space="preserve">info@sicmt.ru </w:t>
            </w:r>
            <w:r>
              <w:rPr>
                <w:color w:val="0d0d0d"/>
              </w:rPr>
            </w:r>
            <w:r/>
          </w:p>
          <w:p>
            <w:pPr>
              <w:jc w:val="left"/>
              <w:spacing w:after="0"/>
              <w:widowControl w:val="off"/>
            </w:pPr>
            <w:r>
              <w:rPr>
                <w:color w:val="0d0d0d"/>
              </w:rPr>
              <w:t xml:space="preserve">ОГРН 1027739833109 </w:t>
            </w:r>
            <w:r>
              <w:rPr>
                <w:color w:val="0d0d0d"/>
              </w:rPr>
            </w:r>
            <w:r/>
          </w:p>
          <w:p>
            <w:pPr>
              <w:jc w:val="left"/>
              <w:spacing w:after="0"/>
              <w:widowControl w:val="off"/>
            </w:pPr>
            <w:r>
              <w:rPr>
                <w:color w:val="0d0d0d"/>
              </w:rPr>
              <w:t xml:space="preserve">ИНН 7704116205/КПП 770801001</w:t>
            </w:r>
            <w:r>
              <w:rPr>
                <w:color w:val="0d0d0d"/>
              </w:rPr>
            </w:r>
            <w:r/>
          </w:p>
          <w:p>
            <w:pPr>
              <w:jc w:val="left"/>
              <w:spacing w:after="0"/>
              <w:widowControl w:val="off"/>
            </w:pPr>
            <w:r>
              <w:rPr>
                <w:color w:val="0d0d0d"/>
              </w:rPr>
              <w:t xml:space="preserve">ОКЦ № 1 ГУ Банка России по ЦФО // УФК ПО Г. МОСКВЕ, г. Москва,</w:t>
            </w:r>
            <w:r>
              <w:rPr>
                <w:color w:val="0d0d0d"/>
              </w:rPr>
            </w:r>
            <w:r/>
          </w:p>
          <w:p>
            <w:pPr>
              <w:jc w:val="left"/>
              <w:spacing w:after="0"/>
              <w:widowControl w:val="off"/>
            </w:pPr>
            <w:r>
              <w:rPr>
                <w:color w:val="0d0d0d"/>
              </w:rPr>
              <w:t xml:space="preserve">БИК 004525988, </w:t>
            </w:r>
            <w:r>
              <w:rPr>
                <w:color w:val="0d0d0d"/>
              </w:rPr>
            </w:r>
            <w:r/>
          </w:p>
          <w:p>
            <w:pPr>
              <w:jc w:val="left"/>
              <w:spacing w:after="0"/>
              <w:widowControl w:val="off"/>
            </w:pPr>
            <w:r>
              <w:rPr>
                <w:color w:val="0d0d0d"/>
              </w:rPr>
              <w:t xml:space="preserve">Казначейский счет 03214643000000017300</w:t>
            </w:r>
            <w:r>
              <w:rPr>
                <w:color w:val="0d0d0d"/>
              </w:rPr>
            </w:r>
            <w:r/>
          </w:p>
          <w:p>
            <w:pPr>
              <w:jc w:val="left"/>
              <w:spacing w:after="0"/>
              <w:widowControl w:val="off"/>
            </w:pPr>
            <w:r>
              <w:rPr>
                <w:color w:val="0d0d0d"/>
              </w:rPr>
              <w:t xml:space="preserve">Единый казначейский счет 40102810545370000003</w:t>
            </w:r>
            <w:r>
              <w:rPr>
                <w:color w:val="0d0d0d"/>
              </w:rPr>
            </w:r>
            <w:r/>
          </w:p>
          <w:p>
            <w:pPr>
              <w:jc w:val="left"/>
              <w:spacing w:after="0"/>
              <w:widowControl w:val="off"/>
              <w:rPr>
                <w:color w:val="0d0d0d"/>
              </w:rPr>
            </w:pPr>
            <w:r>
              <w:rPr>
                <w:color w:val="0d0d0d"/>
              </w:rPr>
              <w:t xml:space="preserve">лицевой счет 21736Х21630</w:t>
            </w:r>
            <w:r>
              <w:rPr>
                <w:color w:val="0d0d0d"/>
              </w:rPr>
            </w:r>
            <w:r>
              <w:rPr>
                <w:color w:val="0d0d0d"/>
              </w:rPr>
            </w:r>
          </w:p>
        </w:tc>
        <w:tc>
          <w:tcPr>
            <w:tcW w:w="4926" w:type="dxa"/>
            <w:textDirection w:val="lrTb"/>
            <w:noWrap w:val="false"/>
          </w:tcPr>
          <w:p>
            <w:pPr>
              <w:spacing w:after="0"/>
              <w:widowControl w:val="off"/>
              <w:rPr>
                <w:color w:val="0d0d0d"/>
              </w:rPr>
            </w:pPr>
            <w:r>
              <w:rPr>
                <w:b/>
                <w:bCs/>
                <w:color w:val="0d0d0d"/>
                <w:lang w:eastAsia="ar-SA"/>
              </w:rPr>
              <w:t xml:space="preserve">Исполнитель:</w:t>
            </w:r>
            <w:r>
              <w:rPr>
                <w:color w:val="0d0d0d"/>
                <w:lang w:eastAsia="ar-SA"/>
              </w:rPr>
              <w:t xml:space="preserve"> </w:t>
            </w:r>
            <w:r>
              <w:rPr>
                <w:color w:val="0d0d0d"/>
              </w:rPr>
            </w:r>
            <w:r>
              <w:rPr>
                <w:color w:val="0d0d0d"/>
              </w:rPr>
            </w:r>
          </w:p>
          <w:p>
            <w:pPr>
              <w:jc w:val="left"/>
              <w:rPr>
                <w:sz w:val="22"/>
              </w:rPr>
            </w:pPr>
            <w:r>
              <w:rPr>
                <w:sz w:val="22"/>
              </w:rPr>
              <w:t xml:space="preserve">Наименование:</w:t>
            </w:r>
            <w:r>
              <w:rPr>
                <w:sz w:val="22"/>
              </w:rPr>
            </w:r>
            <w:r>
              <w:rPr>
                <w:sz w:val="22"/>
              </w:rPr>
            </w:r>
          </w:p>
          <w:p>
            <w:pPr>
              <w:jc w:val="left"/>
              <w:rPr>
                <w:sz w:val="22"/>
              </w:rPr>
            </w:pPr>
            <w:r>
              <w:rPr>
                <w:sz w:val="22"/>
              </w:rPr>
              <w:t xml:space="preserve">Юридический адрес:</w:t>
            </w:r>
            <w:r>
              <w:rPr>
                <w:sz w:val="22"/>
              </w:rPr>
            </w:r>
            <w:r>
              <w:rPr>
                <w:sz w:val="22"/>
              </w:rPr>
            </w:r>
          </w:p>
          <w:p>
            <w:pPr>
              <w:jc w:val="left"/>
              <w:rPr>
                <w:sz w:val="22"/>
              </w:rPr>
            </w:pPr>
            <w:r>
              <w:rPr>
                <w:sz w:val="22"/>
              </w:rPr>
            </w:r>
            <w:r>
              <w:rPr>
                <w:sz w:val="22"/>
              </w:rPr>
            </w:r>
            <w:r>
              <w:rPr>
                <w:sz w:val="22"/>
              </w:rPr>
            </w:r>
          </w:p>
          <w:p>
            <w:pPr>
              <w:jc w:val="left"/>
              <w:rPr>
                <w:sz w:val="22"/>
              </w:rPr>
            </w:pPr>
            <w:r>
              <w:rPr>
                <w:sz w:val="22"/>
              </w:rPr>
            </w:r>
            <w:r>
              <w:rPr>
                <w:sz w:val="22"/>
              </w:rPr>
            </w:r>
            <w:r>
              <w:rPr>
                <w:sz w:val="22"/>
              </w:rPr>
            </w:r>
          </w:p>
          <w:p>
            <w:pPr>
              <w:jc w:val="left"/>
              <w:rPr>
                <w:sz w:val="22"/>
              </w:rPr>
            </w:pPr>
            <w:r>
              <w:rPr>
                <w:sz w:val="22"/>
              </w:rPr>
            </w:r>
            <w:r>
              <w:rPr>
                <w:color w:val="0d0d0d"/>
              </w:rPr>
              <w:t xml:space="preserve">Адрес местонахождения</w:t>
            </w:r>
            <w:r>
              <w:rPr>
                <w:sz w:val="22"/>
              </w:rPr>
              <w:t xml:space="preserve">: </w:t>
            </w:r>
            <w:r>
              <w:rPr>
                <w:sz w:val="22"/>
              </w:rPr>
            </w:r>
            <w:r>
              <w:rPr>
                <w:sz w:val="22"/>
              </w:rPr>
            </w:r>
          </w:p>
          <w:p>
            <w:pPr>
              <w:jc w:val="left"/>
              <w:rPr>
                <w:sz w:val="22"/>
              </w:rPr>
            </w:pPr>
            <w:r>
              <w:rPr>
                <w:sz w:val="22"/>
              </w:rPr>
            </w:r>
            <w:r>
              <w:rPr>
                <w:sz w:val="22"/>
              </w:rPr>
            </w:r>
            <w:r>
              <w:rPr>
                <w:sz w:val="22"/>
              </w:rPr>
            </w:r>
          </w:p>
          <w:p>
            <w:pPr>
              <w:jc w:val="left"/>
              <w:rPr>
                <w:sz w:val="22"/>
              </w:rPr>
            </w:pPr>
            <w:r>
              <w:rPr>
                <w:sz w:val="22"/>
              </w:rPr>
              <w:t xml:space="preserve">Телефон: </w:t>
            </w:r>
            <w:r>
              <w:rPr>
                <w:sz w:val="22"/>
              </w:rPr>
            </w:r>
            <w:r>
              <w:rPr>
                <w:sz w:val="22"/>
              </w:rPr>
            </w:r>
          </w:p>
          <w:p>
            <w:pPr>
              <w:jc w:val="left"/>
              <w:rPr>
                <w:sz w:val="22"/>
              </w:rPr>
            </w:pPr>
            <w:r>
              <w:rPr>
                <w:sz w:val="22"/>
                <w:lang w:val="en-US"/>
              </w:rPr>
              <w:t xml:space="preserve">E</w:t>
            </w:r>
            <w:r>
              <w:rPr>
                <w:sz w:val="22"/>
              </w:rPr>
              <w:t xml:space="preserve">-</w:t>
            </w:r>
            <w:r>
              <w:rPr>
                <w:sz w:val="22"/>
                <w:lang w:val="en-US"/>
              </w:rPr>
              <w:t xml:space="preserve">mail</w:t>
            </w:r>
            <w:r>
              <w:rPr>
                <w:sz w:val="22"/>
              </w:rPr>
              <w:t xml:space="preserve">: </w:t>
            </w:r>
            <w:r>
              <w:rPr>
                <w:sz w:val="22"/>
              </w:rPr>
            </w:r>
            <w:r>
              <w:rPr>
                <w:sz w:val="22"/>
              </w:rPr>
            </w:r>
          </w:p>
          <w:p>
            <w:pPr>
              <w:jc w:val="left"/>
              <w:rPr>
                <w:sz w:val="22"/>
              </w:rPr>
            </w:pPr>
            <w:r>
              <w:rPr>
                <w:sz w:val="22"/>
              </w:rPr>
              <w:t xml:space="preserve">ОГРН: </w:t>
            </w:r>
            <w:r>
              <w:rPr>
                <w:sz w:val="22"/>
              </w:rPr>
            </w:r>
            <w:r>
              <w:rPr>
                <w:sz w:val="22"/>
              </w:rPr>
            </w:r>
          </w:p>
          <w:p>
            <w:pPr>
              <w:jc w:val="left"/>
              <w:rPr>
                <w:bCs/>
                <w:sz w:val="22"/>
              </w:rPr>
            </w:pPr>
            <w:r>
              <w:rPr>
                <w:bCs/>
                <w:sz w:val="22"/>
              </w:rPr>
              <w:t xml:space="preserve">ИНН: </w:t>
            </w:r>
            <w:r>
              <w:rPr>
                <w:bCs/>
                <w:sz w:val="22"/>
              </w:rPr>
            </w:r>
            <w:r>
              <w:rPr>
                <w:bCs/>
                <w:sz w:val="22"/>
              </w:rPr>
            </w:r>
          </w:p>
          <w:p>
            <w:pPr>
              <w:jc w:val="left"/>
              <w:rPr>
                <w:sz w:val="22"/>
              </w:rPr>
            </w:pPr>
            <w:r>
              <w:rPr>
                <w:bCs/>
                <w:sz w:val="22"/>
              </w:rPr>
              <w:t xml:space="preserve">КПП: </w:t>
            </w:r>
            <w:r>
              <w:rPr>
                <w:sz w:val="22"/>
              </w:rPr>
            </w:r>
            <w:r>
              <w:rPr>
                <w:sz w:val="22"/>
              </w:rPr>
            </w:r>
          </w:p>
          <w:p>
            <w:pPr>
              <w:jc w:val="left"/>
              <w:rPr>
                <w:sz w:val="22"/>
              </w:rPr>
            </w:pPr>
            <w:r>
              <w:rPr>
                <w:sz w:val="22"/>
              </w:rPr>
              <w:t xml:space="preserve">Наименование банка: </w:t>
            </w:r>
            <w:r>
              <w:rPr>
                <w:sz w:val="22"/>
              </w:rPr>
            </w:r>
            <w:r>
              <w:rPr>
                <w:sz w:val="22"/>
              </w:rPr>
            </w:r>
          </w:p>
          <w:p>
            <w:pPr>
              <w:jc w:val="left"/>
              <w:rPr>
                <w:sz w:val="22"/>
              </w:rPr>
            </w:pPr>
            <w:r>
              <w:rPr>
                <w:sz w:val="22"/>
              </w:rPr>
              <w:t xml:space="preserve">БИК: </w:t>
            </w:r>
            <w:r>
              <w:rPr>
                <w:sz w:val="22"/>
              </w:rPr>
            </w:r>
            <w:r>
              <w:rPr>
                <w:sz w:val="22"/>
              </w:rPr>
            </w:r>
          </w:p>
          <w:p>
            <w:pPr>
              <w:jc w:val="left"/>
              <w:rPr>
                <w:sz w:val="22"/>
              </w:rPr>
            </w:pPr>
            <w:r>
              <w:rPr>
                <w:sz w:val="22"/>
              </w:rPr>
              <w:t xml:space="preserve">Рас/счет: </w:t>
            </w:r>
            <w:r>
              <w:rPr>
                <w:sz w:val="22"/>
              </w:rPr>
            </w:r>
            <w:r>
              <w:rPr>
                <w:sz w:val="22"/>
              </w:rPr>
            </w:r>
          </w:p>
          <w:p>
            <w:pPr>
              <w:jc w:val="left"/>
            </w:pPr>
            <w:r>
              <w:rPr>
                <w:sz w:val="22"/>
              </w:rPr>
              <w:t xml:space="preserve">Кор/счет: </w:t>
            </w:r>
            <w:bookmarkEnd w:id="12"/>
            <w:r/>
            <w:r/>
          </w:p>
          <w:p>
            <w:pPr>
              <w:spacing w:after="0"/>
              <w:rPr>
                <w:color w:val="0d0d0d"/>
              </w:rPr>
            </w:pPr>
            <w:r>
              <w:rPr>
                <w:color w:val="0d0d0d"/>
              </w:rPr>
            </w:r>
            <w:r>
              <w:rPr>
                <w:color w:val="0d0d0d"/>
              </w:rPr>
            </w:r>
            <w:r>
              <w:rPr>
                <w:color w:val="0d0d0d"/>
              </w:rPr>
            </w:r>
          </w:p>
        </w:tc>
      </w:tr>
    </w:tbl>
    <w:p>
      <w:pPr>
        <w:keepLines/>
        <w:keepNext/>
        <w:spacing w:after="0"/>
        <w:rPr>
          <w:color w:val="0d0d0d"/>
        </w:rPr>
      </w:pPr>
      <w:r>
        <w:rPr>
          <w:color w:val="0d0d0d"/>
        </w:rPr>
      </w:r>
      <w:r>
        <w:rPr>
          <w:color w:val="0d0d0d"/>
        </w:rPr>
      </w:r>
      <w:r>
        <w:rPr>
          <w:color w:val="0d0d0d"/>
        </w:rPr>
      </w:r>
    </w:p>
    <w:tbl>
      <w:tblPr>
        <w:tblW w:w="9430" w:type="dxa"/>
        <w:tblInd w:w="142" w:type="dxa"/>
        <w:tblLayout w:type="fixed"/>
        <w:tblLook w:val="04A0" w:firstRow="1" w:lastRow="0" w:firstColumn="1" w:lastColumn="0" w:noHBand="0" w:noVBand="1"/>
      </w:tblPr>
      <w:tblGrid>
        <w:gridCol w:w="4752"/>
        <w:gridCol w:w="236"/>
        <w:gridCol w:w="4442"/>
      </w:tblGrid>
      <w:tr>
        <w:tblPrEx/>
        <w:trPr>
          <w:trHeight w:val="1893"/>
        </w:trPr>
        <w:tc>
          <w:tcPr>
            <w:tcW w:w="4752" w:type="dxa"/>
            <w:textDirection w:val="lrTb"/>
            <w:noWrap w:val="false"/>
          </w:tcPr>
          <w:p>
            <w:pPr>
              <w:ind w:left="-178" w:firstLine="106"/>
              <w:spacing w:after="0"/>
              <w:rPr>
                <w:b/>
                <w:color w:val="000000"/>
              </w:rPr>
            </w:pPr>
            <w:r>
              <w:rPr>
                <w:b/>
                <w:color w:val="000000"/>
              </w:rPr>
              <w:t xml:space="preserve">ЗАКАЗЧИК:</w:t>
            </w:r>
            <w:r>
              <w:rPr>
                <w:b/>
                <w:color w:val="000000"/>
              </w:rPr>
            </w:r>
            <w:r>
              <w:rPr>
                <w:b/>
                <w:color w:val="000000"/>
              </w:rPr>
            </w:r>
          </w:p>
          <w:p>
            <w:pPr>
              <w:ind w:left="-178" w:right="-1" w:firstLine="106"/>
              <w:spacing w:after="0"/>
              <w:tabs>
                <w:tab w:val="left" w:pos="2640" w:leader="none"/>
              </w:tabs>
            </w:pPr>
            <w:r>
              <w:t xml:space="preserve">Директор</w:t>
            </w:r>
            <w:r/>
          </w:p>
          <w:p>
            <w:pPr>
              <w:ind w:left="-178" w:right="-1" w:firstLine="106"/>
              <w:spacing w:after="0"/>
              <w:rPr>
                <w:color w:val="000000"/>
              </w:rPr>
            </w:pPr>
            <w:r>
              <w:rPr>
                <w:color w:val="000000"/>
              </w:rPr>
            </w:r>
            <w:r>
              <w:rPr>
                <w:color w:val="000000"/>
              </w:rPr>
            </w:r>
            <w:r>
              <w:rPr>
                <w:color w:val="000000"/>
              </w:rPr>
            </w:r>
          </w:p>
          <w:p>
            <w:pPr>
              <w:ind w:left="-178" w:right="-1" w:firstLine="106"/>
              <w:spacing w:after="0"/>
              <w:rPr>
                <w:color w:val="000000"/>
              </w:rPr>
            </w:pPr>
            <w:r>
              <w:rPr>
                <w:color w:val="000000"/>
              </w:rPr>
            </w:r>
            <w:r>
              <w:rPr>
                <w:color w:val="000000"/>
              </w:rPr>
            </w:r>
            <w:r>
              <w:rPr>
                <w:color w:val="000000"/>
              </w:rPr>
            </w:r>
          </w:p>
          <w:p>
            <w:pPr>
              <w:ind w:left="-178" w:right="-1" w:firstLine="106"/>
              <w:spacing w:after="0"/>
              <w:rPr>
                <w:color w:val="000000"/>
              </w:rPr>
            </w:pPr>
            <w:r>
              <w:rPr>
                <w:color w:val="000000"/>
              </w:rPr>
              <w:t xml:space="preserve">_______________/</w:t>
            </w:r>
            <w:r>
              <w:rPr>
                <w:color w:val="000000"/>
              </w:rPr>
              <w:t xml:space="preserve">А.В. Кисляков</w:t>
            </w:r>
            <w:r>
              <w:rPr>
                <w:color w:val="000000"/>
              </w:rPr>
              <w:t xml:space="preserve">/</w:t>
            </w:r>
            <w:r>
              <w:rPr>
                <w:color w:val="000000"/>
              </w:rPr>
            </w:r>
            <w:r>
              <w:rPr>
                <w:color w:val="000000"/>
              </w:rPr>
            </w:r>
          </w:p>
          <w:p>
            <w:pPr>
              <w:ind w:left="-178" w:right="-1" w:firstLine="106"/>
              <w:spacing w:after="0"/>
              <w:rPr>
                <w:color w:val="000000"/>
              </w:rPr>
            </w:pPr>
            <w:r>
              <w:rPr>
                <w:lang w:val="en-US"/>
              </w:rPr>
              <w:t xml:space="preserve">ЭЦП</w:t>
            </w:r>
            <w:r>
              <w:rPr>
                <w:color w:val="000000"/>
              </w:rPr>
            </w:r>
            <w:r>
              <w:rPr>
                <w:color w:val="000000"/>
              </w:rPr>
            </w:r>
          </w:p>
          <w:p>
            <w:pPr>
              <w:ind w:left="-178" w:right="-1" w:firstLine="106"/>
              <w:spacing w:after="0"/>
              <w:rPr>
                <w:color w:val="000000"/>
              </w:rPr>
            </w:pPr>
            <w:r>
              <w:rPr>
                <w:color w:val="000000"/>
              </w:rPr>
            </w:r>
            <w:r>
              <w:rPr>
                <w:color w:val="000000"/>
              </w:rPr>
            </w:r>
            <w:r>
              <w:rPr>
                <w:color w:val="000000"/>
              </w:rPr>
            </w:r>
          </w:p>
        </w:tc>
        <w:tc>
          <w:tcPr>
            <w:tcBorders>
              <w:left w:val="none" w:color="000000" w:sz="4" w:space="0"/>
            </w:tcBorders>
            <w:tcW w:w="236" w:type="dxa"/>
            <w:textDirection w:val="lrTb"/>
            <w:noWrap w:val="false"/>
          </w:tcPr>
          <w:p>
            <w:pPr>
              <w:ind w:left="-284" w:firstLine="687"/>
              <w:spacing w:after="0"/>
              <w:rPr>
                <w:color w:val="000000"/>
              </w:rPr>
            </w:pPr>
            <w:r>
              <w:rPr>
                <w:color w:val="000000"/>
              </w:rPr>
            </w:r>
            <w:r>
              <w:rPr>
                <w:color w:val="000000"/>
              </w:rPr>
            </w:r>
            <w:r>
              <w:rPr>
                <w:color w:val="000000"/>
              </w:rPr>
            </w:r>
          </w:p>
        </w:tc>
        <w:tc>
          <w:tcPr>
            <w:tcW w:w="4442" w:type="dxa"/>
            <w:textDirection w:val="lrTb"/>
            <w:noWrap w:val="false"/>
          </w:tcPr>
          <w:p>
            <w:pPr>
              <w:spacing w:after="0"/>
              <w:rPr>
                <w:b/>
                <w:color w:val="000000"/>
              </w:rPr>
            </w:pPr>
            <w:r>
              <w:rPr>
                <w:b/>
                <w:color w:val="000000"/>
              </w:rPr>
              <w:t xml:space="preserve"> ИСПОЛНИТЕЛЬ:</w:t>
            </w:r>
            <w:r>
              <w:rPr>
                <w:b/>
                <w:color w:val="000000"/>
              </w:rPr>
            </w:r>
            <w:r>
              <w:rPr>
                <w:b/>
                <w:color w:val="000000"/>
              </w:rPr>
            </w:r>
          </w:p>
          <w:p>
            <w:pPr>
              <w:ind w:left="111" w:right="-1" w:hanging="27"/>
              <w:spacing w:after="0"/>
              <w:rPr>
                <w:color w:val="000000"/>
              </w:rPr>
            </w:pPr>
            <w:r>
              <w:rPr>
                <w:color w:val="000000"/>
              </w:rPr>
            </w:r>
            <w:r>
              <w:rPr>
                <w:color w:val="000000"/>
              </w:rPr>
            </w:r>
            <w:r>
              <w:rPr>
                <w:color w:val="000000"/>
              </w:rPr>
            </w:r>
          </w:p>
          <w:p>
            <w:pPr>
              <w:ind w:left="111" w:right="-1" w:hanging="27"/>
              <w:spacing w:after="0"/>
              <w:rPr>
                <w:color w:val="000000"/>
              </w:rPr>
            </w:pPr>
            <w:r>
              <w:rPr>
                <w:color w:val="000000"/>
              </w:rPr>
            </w:r>
            <w:r>
              <w:rPr>
                <w:color w:val="000000"/>
              </w:rPr>
            </w:r>
            <w:r>
              <w:rPr>
                <w:color w:val="000000"/>
              </w:rPr>
            </w:r>
          </w:p>
          <w:p>
            <w:pPr>
              <w:ind w:left="111" w:right="-1"/>
              <w:spacing w:after="0"/>
              <w:rPr>
                <w:color w:val="000000"/>
              </w:rPr>
            </w:pPr>
            <w:r>
              <w:rPr>
                <w:color w:val="000000"/>
              </w:rPr>
            </w:r>
            <w:r>
              <w:rPr>
                <w:color w:val="000000"/>
              </w:rPr>
            </w:r>
            <w:r>
              <w:rPr>
                <w:color w:val="000000"/>
              </w:rPr>
            </w:r>
          </w:p>
          <w:p>
            <w:pPr>
              <w:ind w:left="111" w:right="-1"/>
              <w:spacing w:after="0"/>
              <w:rPr>
                <w:color w:val="000000"/>
              </w:rPr>
            </w:pPr>
            <w:r>
              <w:rPr>
                <w:color w:val="000000"/>
              </w:rPr>
              <w:t xml:space="preserve">__________________/</w:t>
            </w:r>
            <w:r>
              <w:rPr>
                <w:color w:val="000000"/>
              </w:rPr>
              <w:t xml:space="preserve">___________</w:t>
            </w:r>
            <w:r>
              <w:rPr>
                <w:color w:val="000000"/>
              </w:rPr>
              <w:t xml:space="preserve">/</w:t>
            </w:r>
            <w:r>
              <w:rPr>
                <w:color w:val="000000"/>
              </w:rPr>
            </w:r>
            <w:r>
              <w:rPr>
                <w:color w:val="000000"/>
              </w:rPr>
            </w:r>
          </w:p>
          <w:p>
            <w:pPr>
              <w:ind w:left="111" w:right="-1"/>
              <w:spacing w:after="0"/>
              <w:rPr>
                <w:color w:val="000000"/>
              </w:rPr>
            </w:pPr>
            <w:r>
              <w:rPr>
                <w:lang w:val="en-US"/>
              </w:rPr>
              <w:t xml:space="preserve">ЭЦП</w:t>
            </w:r>
            <w:r>
              <w:rPr>
                <w:color w:val="000000"/>
              </w:rPr>
            </w:r>
            <w:r>
              <w:rPr>
                <w:color w:val="000000"/>
              </w:rPr>
            </w:r>
          </w:p>
        </w:tc>
      </w:tr>
    </w:tbl>
    <w:p>
      <w:pPr>
        <w:jc w:val="right"/>
        <w:spacing w:after="0"/>
      </w:pPr>
      <w:r/>
      <w:r/>
    </w:p>
    <w:p>
      <w:pPr>
        <w:jc w:val="right"/>
        <w:spacing w:after="0"/>
      </w:pPr>
      <w:r/>
      <w:r/>
    </w:p>
    <w:p>
      <w:pPr>
        <w:jc w:val="right"/>
        <w:spacing w:after="0"/>
      </w:pPr>
      <w:r/>
      <w:r/>
    </w:p>
    <w:p>
      <w:pPr>
        <w:jc w:val="right"/>
        <w:spacing w:after="0"/>
      </w:pPr>
      <w:r>
        <w:t xml:space="preserve">Приложение № 1</w:t>
      </w:r>
      <w:r/>
    </w:p>
    <w:p>
      <w:pPr>
        <w:jc w:val="right"/>
        <w:spacing w:after="0"/>
      </w:pPr>
      <w:r>
        <w:t xml:space="preserve">к Контракту № ЕП/2</w:t>
      </w:r>
      <w:r>
        <w:t xml:space="preserve">6_</w:t>
      </w:r>
      <w:r/>
    </w:p>
    <w:p>
      <w:pPr>
        <w:jc w:val="right"/>
        <w:spacing w:after="0"/>
      </w:pPr>
      <w:r>
        <w:t xml:space="preserve">от </w:t>
      </w:r>
      <w:r>
        <w:t xml:space="preserve">«  </w:t>
      </w:r>
      <w:r>
        <w:t xml:space="preserve">  »__________202</w:t>
      </w:r>
      <w:r>
        <w:t xml:space="preserve">6</w:t>
      </w:r>
      <w:r>
        <w:t xml:space="preserve"> г. </w:t>
      </w:r>
      <w:r/>
    </w:p>
    <w:p>
      <w:pPr>
        <w:jc w:val="right"/>
        <w:spacing w:after="0"/>
      </w:pPr>
      <w:r/>
      <w:r/>
    </w:p>
    <w:p>
      <w:pPr>
        <w:jc w:val="center"/>
        <w:spacing w:after="0"/>
        <w:rPr>
          <w:b/>
        </w:rPr>
      </w:pPr>
      <w:r>
        <w:rPr>
          <w:b/>
        </w:rPr>
        <w:t xml:space="preserve">ТЕХНИЧЕСКОЕ ЗАДАНИЕ</w:t>
      </w:r>
      <w:r>
        <w:rPr>
          <w:b/>
        </w:rPr>
      </w:r>
      <w:r>
        <w:rPr>
          <w:b/>
        </w:rPr>
      </w:r>
    </w:p>
    <w:p>
      <w:pPr>
        <w:jc w:val="center"/>
        <w:spacing w:after="0"/>
        <w:rPr>
          <w:b/>
        </w:rPr>
      </w:pPr>
      <w:r>
        <w:rPr>
          <w:b/>
        </w:rPr>
        <w:t xml:space="preserve">на оказание услуг по передаче сертификата на адаптацию и сопровождение </w:t>
      </w:r>
      <w:r>
        <w:rPr>
          <w:b/>
          <w:bCs/>
        </w:rPr>
        <w:t xml:space="preserve">экземпляров Систем </w:t>
      </w:r>
      <w:r>
        <w:rPr>
          <w:b/>
          <w:bCs/>
        </w:rPr>
        <w:t xml:space="preserve">КонсультантПлюс</w:t>
      </w:r>
      <w:r>
        <w:rPr>
          <w:b/>
          <w:bCs/>
        </w:rPr>
        <w:t xml:space="preserve">с</w:t>
      </w:r>
      <w:r>
        <w:rPr>
          <w:b/>
        </w:rPr>
        <w:t xml:space="preserve"> </w:t>
      </w:r>
      <w:r>
        <w:rPr>
          <w:b/>
        </w:rPr>
      </w:r>
      <w:r>
        <w:rPr>
          <w:b/>
        </w:rPr>
      </w:r>
    </w:p>
    <w:p>
      <w:pPr>
        <w:jc w:val="center"/>
        <w:spacing w:after="0"/>
        <w:rPr>
          <w:b/>
        </w:rPr>
      </w:pPr>
      <w:r>
        <w:rPr>
          <w:b/>
        </w:rPr>
      </w:r>
      <w:r>
        <w:rPr>
          <w:b/>
        </w:rPr>
      </w:r>
      <w:r>
        <w:rPr>
          <w:b/>
        </w:rPr>
      </w:r>
    </w:p>
    <w:p>
      <w:pPr>
        <w:numPr>
          <w:ilvl w:val="0"/>
          <w:numId w:val="20"/>
        </w:numPr>
        <w:spacing w:after="0"/>
        <w:rPr>
          <w:b/>
        </w:rPr>
      </w:pPr>
      <w:r>
        <w:rPr>
          <w:b/>
        </w:rPr>
        <w:t xml:space="preserve">Общие положения:</w:t>
      </w:r>
      <w:r>
        <w:rPr>
          <w:b/>
        </w:rPr>
      </w:r>
      <w:r>
        <w:rPr>
          <w:b/>
        </w:rPr>
      </w:r>
    </w:p>
    <w:p>
      <w:pPr>
        <w:numPr>
          <w:ilvl w:val="1"/>
          <w:numId w:val="20"/>
        </w:numPr>
        <w:ind w:left="0" w:firstLine="709"/>
        <w:spacing w:after="0"/>
      </w:pPr>
      <w:r>
        <w:t xml:space="preserve">Наименование объекта закупки: </w:t>
      </w:r>
      <w:r>
        <w:t xml:space="preserve">оказание услуг по передаче сертификата на адаптацию и сопровождение </w:t>
      </w:r>
      <w:r>
        <w:rPr>
          <w:bCs/>
        </w:rPr>
        <w:t xml:space="preserve">экземпляров Систем </w:t>
      </w:r>
      <w:r>
        <w:rPr>
          <w:bCs/>
        </w:rPr>
        <w:t xml:space="preserve">КонсультантПлюс</w:t>
      </w:r>
      <w:r>
        <w:rPr>
          <w:bCs/>
        </w:rPr>
        <w:t xml:space="preserve"> и </w:t>
      </w:r>
      <w:r>
        <w:t xml:space="preserve">проведение </w:t>
      </w:r>
      <w:r>
        <w:t xml:space="preserve">адаптаци</w:t>
      </w:r>
      <w:r>
        <w:t xml:space="preserve">и</w:t>
      </w:r>
      <w:r>
        <w:t xml:space="preserve"> и сопровождени</w:t>
      </w:r>
      <w:r>
        <w:t xml:space="preserve">я</w:t>
      </w:r>
      <w:r>
        <w:t xml:space="preserve"> экземпляров Систем </w:t>
      </w:r>
      <w:r>
        <w:t xml:space="preserve">КонсультантПлюс</w:t>
      </w:r>
      <w:r>
        <w:t xml:space="preserve"> в период действия переданного сертификата</w:t>
      </w:r>
      <w:r>
        <w:t xml:space="preserve">.</w:t>
      </w:r>
      <w:r/>
    </w:p>
    <w:p>
      <w:pPr>
        <w:numPr>
          <w:ilvl w:val="1"/>
          <w:numId w:val="20"/>
        </w:numPr>
        <w:ind w:left="0" w:firstLine="709"/>
        <w:spacing w:after="0"/>
      </w:pPr>
      <w:r>
        <w:rPr>
          <w:highlight w:val="white"/>
        </w:rPr>
        <w:t xml:space="preserve">ОКПД2: 62.02.30.000 - Услуги по технической поддержке информационных технологий.</w:t>
      </w:r>
      <w:r/>
    </w:p>
    <w:p>
      <w:pPr>
        <w:numPr>
          <w:ilvl w:val="1"/>
          <w:numId w:val="20"/>
        </w:numPr>
        <w:ind w:left="0" w:firstLine="709"/>
        <w:spacing w:after="0"/>
        <w:rPr>
          <w:b/>
        </w:rPr>
      </w:pPr>
      <w:r>
        <w:t xml:space="preserve"> Место оказания Услуг:</w:t>
      </w:r>
      <w:r>
        <w:rPr>
          <w:b/>
        </w:rPr>
        <w:t xml:space="preserve"> </w:t>
      </w:r>
      <w:r>
        <w:rPr>
          <w:color w:val="000000" w:themeColor="text1"/>
          <w:highlight w:val="white"/>
        </w:rPr>
        <w:t xml:space="preserve">105082, г. Москва, ул. Большая Почтовая, д. 26</w:t>
      </w:r>
      <w:r>
        <w:rPr>
          <w:color w:val="000000" w:themeColor="text1"/>
        </w:rPr>
        <w:t xml:space="preserve">, стр. 1</w:t>
      </w:r>
      <w:r>
        <w:t xml:space="preserve">.</w:t>
      </w:r>
      <w:r>
        <w:rPr>
          <w:b/>
        </w:rPr>
      </w:r>
      <w:r>
        <w:rPr>
          <w:b/>
        </w:rPr>
      </w:r>
    </w:p>
    <w:p>
      <w:pPr>
        <w:numPr>
          <w:ilvl w:val="1"/>
          <w:numId w:val="20"/>
        </w:numPr>
        <w:ind w:left="0" w:firstLine="709"/>
        <w:spacing w:after="0"/>
      </w:pPr>
      <w:r>
        <w:t xml:space="preserve">Срок оказания услуг: </w:t>
      </w:r>
      <w:r>
        <w:t xml:space="preserve">в течение </w:t>
      </w:r>
      <w:r>
        <w:t xml:space="preserve">20</w:t>
      </w:r>
      <w:r>
        <w:t xml:space="preserve"> (</w:t>
      </w:r>
      <w:r>
        <w:t xml:space="preserve">двадцати</w:t>
      </w:r>
      <w:r>
        <w:t xml:space="preserve">) рабочих дней с даты заключения Контракта Исполнитель передает Заказчику сертификат на адаптацию и сопровождение </w:t>
      </w:r>
      <w:r>
        <w:t xml:space="preserve">экземпляров Систем </w:t>
      </w:r>
      <w:r>
        <w:t xml:space="preserve">КонсультантПлюс</w:t>
      </w:r>
      <w:r>
        <w:t xml:space="preserve"> </w:t>
      </w:r>
      <w:r>
        <w:t xml:space="preserve">на 12 месяцев (с </w:t>
      </w:r>
      <w:r>
        <w:t xml:space="preserve">01</w:t>
      </w:r>
      <w:r>
        <w:t xml:space="preserve">.</w:t>
      </w:r>
      <w:r>
        <w:t xml:space="preserve">10</w:t>
      </w:r>
      <w:r>
        <w:t xml:space="preserve">.202</w:t>
      </w:r>
      <w:r>
        <w:t xml:space="preserve">6</w:t>
      </w:r>
      <w:r>
        <w:t xml:space="preserve"> по </w:t>
      </w:r>
      <w:r>
        <w:t xml:space="preserve">30</w:t>
      </w:r>
      <w:r>
        <w:t xml:space="preserve">.</w:t>
      </w:r>
      <w:r>
        <w:t xml:space="preserve">09</w:t>
      </w:r>
      <w:r>
        <w:t xml:space="preserve">.202</w:t>
      </w:r>
      <w:r>
        <w:t xml:space="preserve">7</w:t>
      </w:r>
      <w:r>
        <w:t xml:space="preserve"> (включительно</w:t>
      </w:r>
      <w:r>
        <w:t xml:space="preserve">)</w:t>
      </w:r>
      <w:r>
        <w:t xml:space="preserve">)</w:t>
      </w:r>
      <w:r>
        <w:t xml:space="preserve">.</w:t>
      </w:r>
      <w:r/>
    </w:p>
    <w:p>
      <w:pPr>
        <w:numPr>
          <w:ilvl w:val="1"/>
          <w:numId w:val="10"/>
        </w:numPr>
        <w:ind w:left="0" w:firstLine="709"/>
        <w:spacing w:after="0"/>
      </w:pPr>
      <w:r>
        <w:t xml:space="preserve">Перечень предоставляемых экземпляров Систем </w:t>
      </w:r>
      <w:r>
        <w:t xml:space="preserve">КонсультантПлюс</w:t>
      </w:r>
      <w:r>
        <w:t xml:space="preserve">:</w:t>
      </w:r>
      <w:r/>
    </w:p>
    <w:tbl>
      <w:tblPr>
        <w:tblW w:w="1024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0A0" w:firstRow="1" w:lastRow="0" w:firstColumn="1" w:lastColumn="0" w:noHBand="0" w:noVBand="0"/>
      </w:tblPr>
      <w:tblGrid>
        <w:gridCol w:w="583"/>
        <w:gridCol w:w="6070"/>
        <w:gridCol w:w="2693"/>
        <w:gridCol w:w="900"/>
      </w:tblGrid>
      <w:tr>
        <w:tblPrEx/>
        <w:trPr>
          <w:cantSplit/>
          <w:trHeight w:val="270"/>
        </w:trPr>
        <w:tc>
          <w:tcPr>
            <w:tcW w:w="583" w:type="dxa"/>
            <w:vAlign w:val="center"/>
            <w:textDirection w:val="lrTb"/>
            <w:noWrap w:val="false"/>
          </w:tcPr>
          <w:p>
            <w:pPr>
              <w:jc w:val="center"/>
              <w:spacing w:after="0"/>
              <w:rPr>
                <w:bCs/>
                <w:sz w:val="20"/>
                <w:szCs w:val="20"/>
              </w:rPr>
            </w:pPr>
            <w:r>
              <w:rPr>
                <w:bCs/>
                <w:sz w:val="20"/>
                <w:szCs w:val="20"/>
              </w:rPr>
              <w:t xml:space="preserve">№</w:t>
            </w:r>
            <w:r>
              <w:rPr>
                <w:bCs/>
                <w:sz w:val="20"/>
                <w:szCs w:val="20"/>
              </w:rPr>
            </w:r>
            <w:r>
              <w:rPr>
                <w:bCs/>
                <w:sz w:val="20"/>
                <w:szCs w:val="20"/>
              </w:rPr>
            </w:r>
          </w:p>
          <w:p>
            <w:pPr>
              <w:jc w:val="center"/>
              <w:spacing w:after="0"/>
              <w:rPr>
                <w:bCs/>
                <w:sz w:val="20"/>
                <w:szCs w:val="20"/>
              </w:rPr>
            </w:pPr>
            <w:r>
              <w:rPr>
                <w:bCs/>
                <w:sz w:val="20"/>
                <w:szCs w:val="20"/>
              </w:rPr>
              <w:t xml:space="preserve">п/п</w:t>
            </w:r>
            <w:r>
              <w:rPr>
                <w:bCs/>
                <w:sz w:val="20"/>
                <w:szCs w:val="20"/>
              </w:rPr>
            </w:r>
            <w:r>
              <w:rPr>
                <w:bCs/>
                <w:sz w:val="20"/>
                <w:szCs w:val="20"/>
              </w:rPr>
            </w:r>
          </w:p>
        </w:tc>
        <w:tc>
          <w:tcPr>
            <w:tcW w:w="6070" w:type="dxa"/>
            <w:vAlign w:val="center"/>
            <w:textDirection w:val="lrTb"/>
            <w:noWrap/>
          </w:tcPr>
          <w:p>
            <w:pPr>
              <w:ind w:left="127"/>
              <w:jc w:val="center"/>
              <w:spacing w:after="0"/>
              <w:rPr>
                <w:bCs/>
                <w:sz w:val="20"/>
                <w:szCs w:val="20"/>
              </w:rPr>
            </w:pPr>
            <w:r>
              <w:rPr>
                <w:bCs/>
                <w:sz w:val="20"/>
                <w:szCs w:val="20"/>
              </w:rPr>
              <w:t xml:space="preserve">Наименование Системы</w:t>
            </w:r>
            <w:r>
              <w:rPr>
                <w:bCs/>
                <w:sz w:val="20"/>
                <w:szCs w:val="20"/>
              </w:rPr>
            </w:r>
            <w:r>
              <w:rPr>
                <w:bCs/>
                <w:sz w:val="20"/>
                <w:szCs w:val="20"/>
              </w:rPr>
            </w:r>
          </w:p>
        </w:tc>
        <w:tc>
          <w:tcPr>
            <w:tcW w:w="2693" w:type="dxa"/>
            <w:vAlign w:val="center"/>
            <w:textDirection w:val="lrTb"/>
            <w:noWrap w:val="false"/>
          </w:tcPr>
          <w:p>
            <w:pPr>
              <w:ind w:left="127"/>
              <w:jc w:val="center"/>
              <w:spacing w:after="0"/>
              <w:rPr>
                <w:bCs/>
                <w:sz w:val="20"/>
                <w:szCs w:val="20"/>
              </w:rPr>
            </w:pPr>
            <w:r>
              <w:rPr>
                <w:bCs/>
                <w:sz w:val="20"/>
                <w:szCs w:val="20"/>
              </w:rPr>
              <w:t xml:space="preserve">Версия / число одновременных доступов</w:t>
            </w:r>
            <w:r>
              <w:rPr>
                <w:bCs/>
                <w:sz w:val="20"/>
                <w:szCs w:val="20"/>
              </w:rPr>
            </w:r>
            <w:r>
              <w:rPr>
                <w:bCs/>
                <w:sz w:val="20"/>
                <w:szCs w:val="20"/>
              </w:rPr>
            </w:r>
          </w:p>
        </w:tc>
        <w:tc>
          <w:tcPr>
            <w:tcW w:w="900" w:type="dxa"/>
            <w:vAlign w:val="center"/>
            <w:textDirection w:val="lrTb"/>
            <w:noWrap w:val="false"/>
          </w:tcPr>
          <w:p>
            <w:pPr>
              <w:ind w:left="127"/>
              <w:jc w:val="center"/>
              <w:spacing w:after="0"/>
              <w:rPr>
                <w:bCs/>
                <w:sz w:val="20"/>
                <w:szCs w:val="20"/>
              </w:rPr>
            </w:pPr>
            <w:r>
              <w:rPr>
                <w:bCs/>
                <w:sz w:val="20"/>
                <w:szCs w:val="20"/>
              </w:rPr>
              <w:t xml:space="preserve">Кол, экз.</w:t>
            </w:r>
            <w:r>
              <w:rPr>
                <w:bCs/>
                <w:sz w:val="20"/>
                <w:szCs w:val="20"/>
              </w:rPr>
            </w:r>
            <w:r>
              <w:rPr>
                <w:bCs/>
                <w:sz w:val="20"/>
                <w:szCs w:val="20"/>
              </w:rPr>
            </w:r>
          </w:p>
        </w:tc>
      </w:tr>
      <w:tr>
        <w:tblPrEx/>
        <w:trPr>
          <w:cantSplit/>
          <w:trHeight w:val="255"/>
        </w:trPr>
        <w:tc>
          <w:tcPr>
            <w:tcW w:w="583" w:type="dxa"/>
            <w:vAlign w:val="center"/>
            <w:textDirection w:val="lrTb"/>
            <w:noWrap w:val="false"/>
          </w:tcPr>
          <w:p>
            <w:pPr>
              <w:jc w:val="center"/>
              <w:spacing w:after="0"/>
              <w:rPr>
                <w:rFonts w:eastAsia="Arial Unicode MS"/>
                <w:bCs/>
                <w:sz w:val="20"/>
                <w:szCs w:val="20"/>
              </w:rPr>
            </w:pPr>
            <w:r>
              <w:rPr>
                <w:rFonts w:eastAsia="Arial Unicode MS"/>
                <w:bCs/>
                <w:sz w:val="20"/>
                <w:szCs w:val="20"/>
              </w:rPr>
              <w:t xml:space="preserve">1</w:t>
            </w:r>
            <w:r>
              <w:rPr>
                <w:rFonts w:eastAsia="Arial Unicode MS"/>
                <w:bCs/>
                <w:sz w:val="20"/>
                <w:szCs w:val="20"/>
              </w:rPr>
            </w:r>
            <w:r>
              <w:rPr>
                <w:rFonts w:eastAsia="Arial Unicode MS"/>
                <w:bCs/>
                <w:sz w:val="20"/>
                <w:szCs w:val="20"/>
              </w:rPr>
            </w:r>
          </w:p>
        </w:tc>
        <w:tc>
          <w:tcPr>
            <w:tcW w:w="6070" w:type="dxa"/>
            <w:vAlign w:val="center"/>
            <w:textDirection w:val="lrTb"/>
            <w:noWrap/>
          </w:tcPr>
          <w:p>
            <w:pPr>
              <w:spacing w:after="0"/>
              <w:rPr>
                <w:sz w:val="20"/>
                <w:szCs w:val="20"/>
              </w:rPr>
            </w:pPr>
            <w:r>
              <w:rPr>
                <w:sz w:val="20"/>
                <w:szCs w:val="20"/>
              </w:rPr>
              <w:t xml:space="preserve">СС </w:t>
            </w:r>
            <w:r>
              <w:rPr>
                <w:sz w:val="20"/>
                <w:szCs w:val="20"/>
              </w:rPr>
              <w:t xml:space="preserve">КонсультантПлюс</w:t>
            </w:r>
            <w:r>
              <w:rPr>
                <w:sz w:val="20"/>
                <w:szCs w:val="20"/>
              </w:rPr>
              <w:t xml:space="preserve">: Консультации для бюджетных организаций</w:t>
            </w:r>
            <w:r>
              <w:rPr>
                <w:sz w:val="20"/>
                <w:szCs w:val="20"/>
              </w:rPr>
            </w:r>
            <w:r>
              <w:rPr>
                <w:sz w:val="20"/>
                <w:szCs w:val="20"/>
              </w:rPr>
            </w:r>
          </w:p>
        </w:tc>
        <w:tc>
          <w:tcPr>
            <w:tcW w:w="2693" w:type="dxa"/>
            <w:vAlign w:val="center"/>
            <w:textDirection w:val="lrTb"/>
            <w:noWrap w:val="false"/>
          </w:tcPr>
          <w:p>
            <w:pPr>
              <w:jc w:val="center"/>
              <w:spacing w:after="0"/>
              <w:rPr>
                <w:rFonts w:eastAsia="Arial Unicode MS"/>
                <w:bCs/>
                <w:sz w:val="20"/>
                <w:szCs w:val="20"/>
                <w:lang w:val="en-US"/>
              </w:rPr>
            </w:pPr>
            <w:r>
              <w:rPr>
                <w:rFonts w:eastAsia="Arial Unicode MS"/>
                <w:bCs/>
                <w:sz w:val="20"/>
                <w:szCs w:val="20"/>
              </w:rPr>
              <w:t xml:space="preserve">ОВМ/10</w:t>
            </w:r>
            <w:r>
              <w:rPr>
                <w:rFonts w:eastAsia="Arial Unicode MS"/>
                <w:bCs/>
                <w:sz w:val="20"/>
                <w:szCs w:val="20"/>
                <w:lang w:val="en-US"/>
              </w:rPr>
            </w:r>
            <w:r>
              <w:rPr>
                <w:rFonts w:eastAsia="Arial Unicode MS"/>
                <w:bCs/>
                <w:sz w:val="20"/>
                <w:szCs w:val="20"/>
                <w:lang w:val="en-US"/>
              </w:rPr>
            </w:r>
          </w:p>
        </w:tc>
        <w:tc>
          <w:tcPr>
            <w:tcW w:w="900" w:type="dxa"/>
            <w:vAlign w:val="center"/>
            <w:textDirection w:val="lrTb"/>
            <w:noWrap w:val="false"/>
          </w:tcPr>
          <w:p>
            <w:pPr>
              <w:jc w:val="center"/>
              <w:spacing w:after="0"/>
              <w:rPr>
                <w:rFonts w:eastAsia="Arial Unicode MS"/>
                <w:bCs/>
                <w:sz w:val="20"/>
                <w:szCs w:val="20"/>
              </w:rPr>
            </w:pPr>
            <w:r>
              <w:rPr>
                <w:rFonts w:eastAsia="Arial Unicode MS"/>
                <w:bCs/>
                <w:sz w:val="20"/>
                <w:szCs w:val="20"/>
              </w:rPr>
              <w:t xml:space="preserve">1</w:t>
            </w:r>
            <w:r>
              <w:rPr>
                <w:rFonts w:eastAsia="Arial Unicode MS"/>
                <w:bCs/>
                <w:sz w:val="20"/>
                <w:szCs w:val="20"/>
              </w:rPr>
            </w:r>
            <w:r>
              <w:rPr>
                <w:rFonts w:eastAsia="Arial Unicode MS"/>
                <w:bCs/>
                <w:sz w:val="20"/>
                <w:szCs w:val="20"/>
              </w:rPr>
            </w:r>
          </w:p>
        </w:tc>
      </w:tr>
      <w:tr>
        <w:tblPrEx/>
        <w:trPr>
          <w:cantSplit/>
          <w:trHeight w:val="255"/>
        </w:trPr>
        <w:tc>
          <w:tcPr>
            <w:tcW w:w="583" w:type="dxa"/>
            <w:vAlign w:val="center"/>
            <w:textDirection w:val="lrTb"/>
            <w:noWrap w:val="false"/>
          </w:tcPr>
          <w:p>
            <w:pPr>
              <w:jc w:val="center"/>
              <w:spacing w:after="0"/>
              <w:rPr>
                <w:rFonts w:eastAsia="Arial Unicode MS"/>
                <w:bCs/>
                <w:sz w:val="20"/>
                <w:szCs w:val="20"/>
              </w:rPr>
            </w:pPr>
            <w:r>
              <w:rPr>
                <w:rFonts w:eastAsia="Arial Unicode MS"/>
                <w:bCs/>
                <w:sz w:val="20"/>
                <w:szCs w:val="20"/>
              </w:rPr>
              <w:t xml:space="preserve">2</w:t>
            </w:r>
            <w:r>
              <w:rPr>
                <w:rFonts w:eastAsia="Arial Unicode MS"/>
                <w:bCs/>
                <w:sz w:val="20"/>
                <w:szCs w:val="20"/>
              </w:rPr>
            </w:r>
            <w:r>
              <w:rPr>
                <w:rFonts w:eastAsia="Arial Unicode MS"/>
                <w:bCs/>
                <w:sz w:val="20"/>
                <w:szCs w:val="20"/>
              </w:rPr>
            </w:r>
          </w:p>
        </w:tc>
        <w:tc>
          <w:tcPr>
            <w:tcW w:w="6070" w:type="dxa"/>
            <w:vAlign w:val="center"/>
            <w:textDirection w:val="lrTb"/>
            <w:noWrap/>
          </w:tcPr>
          <w:p>
            <w:pPr>
              <w:spacing w:after="0"/>
              <w:rPr>
                <w:sz w:val="20"/>
                <w:szCs w:val="20"/>
              </w:rPr>
            </w:pPr>
            <w:r>
              <w:rPr>
                <w:sz w:val="20"/>
                <w:szCs w:val="20"/>
              </w:rPr>
              <w:t xml:space="preserve">СС </w:t>
            </w:r>
            <w:r>
              <w:rPr>
                <w:sz w:val="20"/>
                <w:szCs w:val="20"/>
              </w:rPr>
              <w:t xml:space="preserve">КонсультантАрбитраж</w:t>
            </w:r>
            <w:r>
              <w:rPr>
                <w:sz w:val="20"/>
                <w:szCs w:val="20"/>
              </w:rPr>
              <w:t xml:space="preserve">: Арбитражные суды всех округов</w:t>
            </w:r>
            <w:r>
              <w:rPr>
                <w:sz w:val="20"/>
                <w:szCs w:val="20"/>
              </w:rPr>
            </w:r>
            <w:r>
              <w:rPr>
                <w:sz w:val="20"/>
                <w:szCs w:val="20"/>
              </w:rPr>
            </w:r>
          </w:p>
        </w:tc>
        <w:tc>
          <w:tcPr>
            <w:tcW w:w="2693" w:type="dxa"/>
            <w:vAlign w:val="center"/>
            <w:textDirection w:val="lrTb"/>
            <w:noWrap w:val="false"/>
          </w:tcPr>
          <w:p>
            <w:pPr>
              <w:jc w:val="center"/>
              <w:spacing w:after="0"/>
              <w:rPr>
                <w:rFonts w:eastAsia="Arial Unicode MS"/>
                <w:bCs/>
                <w:sz w:val="20"/>
                <w:szCs w:val="20"/>
                <w:lang w:val="en-US"/>
              </w:rPr>
            </w:pPr>
            <w:r>
              <w:rPr>
                <w:rFonts w:eastAsia="Arial Unicode MS"/>
                <w:bCs/>
                <w:sz w:val="20"/>
                <w:szCs w:val="20"/>
              </w:rPr>
              <w:t xml:space="preserve">ОВМ/10</w:t>
            </w:r>
            <w:r>
              <w:rPr>
                <w:rFonts w:eastAsia="Arial Unicode MS"/>
                <w:bCs/>
                <w:sz w:val="20"/>
                <w:szCs w:val="20"/>
                <w:lang w:val="en-US"/>
              </w:rPr>
            </w:r>
            <w:r>
              <w:rPr>
                <w:rFonts w:eastAsia="Arial Unicode MS"/>
                <w:bCs/>
                <w:sz w:val="20"/>
                <w:szCs w:val="20"/>
                <w:lang w:val="en-US"/>
              </w:rPr>
            </w:r>
          </w:p>
        </w:tc>
        <w:tc>
          <w:tcPr>
            <w:tcW w:w="900" w:type="dxa"/>
            <w:vAlign w:val="center"/>
            <w:textDirection w:val="lrTb"/>
            <w:noWrap w:val="false"/>
          </w:tcPr>
          <w:p>
            <w:pPr>
              <w:jc w:val="center"/>
              <w:spacing w:after="0"/>
              <w:rPr>
                <w:rFonts w:eastAsia="Arial Unicode MS"/>
                <w:bCs/>
                <w:sz w:val="20"/>
                <w:szCs w:val="20"/>
              </w:rPr>
            </w:pPr>
            <w:r>
              <w:rPr>
                <w:rFonts w:eastAsia="Arial Unicode MS"/>
                <w:bCs/>
                <w:sz w:val="20"/>
                <w:szCs w:val="20"/>
              </w:rPr>
              <w:t xml:space="preserve">1</w:t>
            </w:r>
            <w:r>
              <w:rPr>
                <w:rFonts w:eastAsia="Arial Unicode MS"/>
                <w:bCs/>
                <w:sz w:val="20"/>
                <w:szCs w:val="20"/>
              </w:rPr>
            </w:r>
            <w:r>
              <w:rPr>
                <w:rFonts w:eastAsia="Arial Unicode MS"/>
                <w:bCs/>
                <w:sz w:val="20"/>
                <w:szCs w:val="20"/>
              </w:rPr>
            </w:r>
          </w:p>
        </w:tc>
      </w:tr>
      <w:tr>
        <w:tblPrEx/>
        <w:trPr>
          <w:cantSplit/>
          <w:trHeight w:val="255"/>
        </w:trPr>
        <w:tc>
          <w:tcPr>
            <w:tcW w:w="583" w:type="dxa"/>
            <w:vAlign w:val="center"/>
            <w:textDirection w:val="lrTb"/>
            <w:noWrap w:val="false"/>
          </w:tcPr>
          <w:p>
            <w:pPr>
              <w:jc w:val="center"/>
              <w:spacing w:after="0"/>
              <w:rPr>
                <w:rFonts w:eastAsia="Arial Unicode MS"/>
                <w:bCs/>
                <w:sz w:val="20"/>
                <w:szCs w:val="20"/>
              </w:rPr>
            </w:pPr>
            <w:r>
              <w:rPr>
                <w:rFonts w:eastAsia="Arial Unicode MS"/>
                <w:bCs/>
                <w:sz w:val="20"/>
                <w:szCs w:val="20"/>
              </w:rPr>
              <w:t xml:space="preserve">3</w:t>
            </w:r>
            <w:r>
              <w:rPr>
                <w:rFonts w:eastAsia="Arial Unicode MS"/>
                <w:bCs/>
                <w:sz w:val="20"/>
                <w:szCs w:val="20"/>
              </w:rPr>
            </w:r>
            <w:r>
              <w:rPr>
                <w:rFonts w:eastAsia="Arial Unicode MS"/>
                <w:bCs/>
                <w:sz w:val="20"/>
                <w:szCs w:val="20"/>
              </w:rPr>
            </w:r>
          </w:p>
        </w:tc>
        <w:tc>
          <w:tcPr>
            <w:tcW w:w="6070" w:type="dxa"/>
            <w:vAlign w:val="center"/>
            <w:textDirection w:val="lrTb"/>
            <w:noWrap/>
          </w:tcPr>
          <w:p>
            <w:pPr>
              <w:spacing w:after="0"/>
              <w:rPr>
                <w:rFonts w:eastAsia="Arial Unicode MS"/>
                <w:bCs/>
                <w:sz w:val="20"/>
                <w:szCs w:val="20"/>
              </w:rPr>
            </w:pPr>
            <w:r>
              <w:rPr>
                <w:sz w:val="20"/>
                <w:szCs w:val="20"/>
              </w:rPr>
              <w:t xml:space="preserve">СПС </w:t>
            </w:r>
            <w:r>
              <w:rPr>
                <w:sz w:val="20"/>
                <w:szCs w:val="20"/>
              </w:rPr>
              <w:t xml:space="preserve">КонсультантПлюс</w:t>
            </w:r>
            <w:r>
              <w:rPr>
                <w:sz w:val="20"/>
                <w:szCs w:val="20"/>
              </w:rPr>
              <w:t xml:space="preserve">: Московский выпуск</w:t>
            </w:r>
            <w:r>
              <w:rPr>
                <w:rFonts w:eastAsia="Arial Unicode MS"/>
                <w:bCs/>
                <w:sz w:val="20"/>
                <w:szCs w:val="20"/>
              </w:rPr>
            </w:r>
            <w:r>
              <w:rPr>
                <w:rFonts w:eastAsia="Arial Unicode MS"/>
                <w:bCs/>
                <w:sz w:val="20"/>
                <w:szCs w:val="20"/>
              </w:rPr>
            </w:r>
          </w:p>
        </w:tc>
        <w:tc>
          <w:tcPr>
            <w:tcW w:w="2693" w:type="dxa"/>
            <w:vAlign w:val="center"/>
            <w:textDirection w:val="lrTb"/>
            <w:noWrap w:val="false"/>
          </w:tcPr>
          <w:p>
            <w:pPr>
              <w:jc w:val="center"/>
              <w:spacing w:after="0"/>
              <w:rPr>
                <w:rFonts w:eastAsia="Arial Unicode MS"/>
                <w:bCs/>
                <w:sz w:val="20"/>
                <w:szCs w:val="20"/>
              </w:rPr>
            </w:pPr>
            <w:r>
              <w:rPr>
                <w:rFonts w:eastAsia="Arial Unicode MS"/>
                <w:bCs/>
                <w:sz w:val="20"/>
                <w:szCs w:val="20"/>
              </w:rPr>
              <w:t xml:space="preserve">ОВМ/10</w:t>
            </w:r>
            <w:r>
              <w:rPr>
                <w:rFonts w:eastAsia="Arial Unicode MS"/>
                <w:bCs/>
                <w:sz w:val="20"/>
                <w:szCs w:val="20"/>
              </w:rPr>
            </w:r>
            <w:r>
              <w:rPr>
                <w:rFonts w:eastAsia="Arial Unicode MS"/>
                <w:bCs/>
                <w:sz w:val="20"/>
                <w:szCs w:val="20"/>
              </w:rPr>
            </w:r>
          </w:p>
        </w:tc>
        <w:tc>
          <w:tcPr>
            <w:tcW w:w="900" w:type="dxa"/>
            <w:vAlign w:val="center"/>
            <w:textDirection w:val="lrTb"/>
            <w:noWrap w:val="false"/>
          </w:tcPr>
          <w:p>
            <w:pPr>
              <w:jc w:val="center"/>
              <w:spacing w:after="0"/>
              <w:rPr>
                <w:rFonts w:eastAsia="Arial Unicode MS"/>
                <w:bCs/>
                <w:sz w:val="20"/>
                <w:szCs w:val="20"/>
              </w:rPr>
            </w:pPr>
            <w:r>
              <w:rPr>
                <w:rFonts w:eastAsia="Arial Unicode MS"/>
                <w:bCs/>
                <w:sz w:val="20"/>
                <w:szCs w:val="20"/>
              </w:rPr>
              <w:t xml:space="preserve">1</w:t>
            </w:r>
            <w:r>
              <w:rPr>
                <w:rFonts w:eastAsia="Arial Unicode MS"/>
                <w:bCs/>
                <w:sz w:val="20"/>
                <w:szCs w:val="20"/>
              </w:rPr>
            </w:r>
            <w:r>
              <w:rPr>
                <w:rFonts w:eastAsia="Arial Unicode MS"/>
                <w:bCs/>
                <w:sz w:val="20"/>
                <w:szCs w:val="20"/>
              </w:rPr>
            </w:r>
          </w:p>
        </w:tc>
      </w:tr>
      <w:tr>
        <w:tblPrEx/>
        <w:trPr>
          <w:cantSplit/>
          <w:trHeight w:val="255"/>
        </w:trPr>
        <w:tc>
          <w:tcPr>
            <w:tcW w:w="583" w:type="dxa"/>
            <w:vAlign w:val="center"/>
            <w:textDirection w:val="lrTb"/>
            <w:noWrap w:val="false"/>
          </w:tcPr>
          <w:p>
            <w:pPr>
              <w:jc w:val="center"/>
              <w:spacing w:after="0"/>
              <w:rPr>
                <w:rFonts w:eastAsia="Arial Unicode MS"/>
                <w:bCs/>
                <w:sz w:val="20"/>
                <w:szCs w:val="20"/>
              </w:rPr>
            </w:pPr>
            <w:r>
              <w:rPr>
                <w:rFonts w:eastAsia="Arial Unicode MS"/>
                <w:bCs/>
                <w:sz w:val="20"/>
                <w:szCs w:val="20"/>
              </w:rPr>
              <w:t xml:space="preserve">4</w:t>
            </w:r>
            <w:r>
              <w:rPr>
                <w:rFonts w:eastAsia="Arial Unicode MS"/>
                <w:bCs/>
                <w:sz w:val="20"/>
                <w:szCs w:val="20"/>
              </w:rPr>
            </w:r>
            <w:r>
              <w:rPr>
                <w:rFonts w:eastAsia="Arial Unicode MS"/>
                <w:bCs/>
                <w:sz w:val="20"/>
                <w:szCs w:val="20"/>
              </w:rPr>
            </w:r>
          </w:p>
        </w:tc>
        <w:tc>
          <w:tcPr>
            <w:tcW w:w="6070" w:type="dxa"/>
            <w:vAlign w:val="center"/>
            <w:textDirection w:val="lrTb"/>
            <w:noWrap/>
          </w:tcPr>
          <w:p>
            <w:pPr>
              <w:spacing w:after="0"/>
              <w:rPr>
                <w:rFonts w:eastAsia="Arial Unicode MS"/>
                <w:bCs/>
                <w:sz w:val="20"/>
                <w:szCs w:val="20"/>
              </w:rPr>
            </w:pPr>
            <w:r>
              <w:rPr>
                <w:sz w:val="20"/>
                <w:szCs w:val="20"/>
              </w:rPr>
              <w:t xml:space="preserve">СПС Консультант Юрист: Версия </w:t>
            </w:r>
            <w:r>
              <w:rPr>
                <w:sz w:val="20"/>
                <w:szCs w:val="20"/>
              </w:rPr>
              <w:t xml:space="preserve">Проф</w:t>
            </w:r>
            <w:r>
              <w:rPr>
                <w:rFonts w:eastAsia="Arial Unicode MS"/>
                <w:bCs/>
                <w:sz w:val="20"/>
                <w:szCs w:val="20"/>
              </w:rPr>
            </w:r>
            <w:r>
              <w:rPr>
                <w:rFonts w:eastAsia="Arial Unicode MS"/>
                <w:bCs/>
                <w:sz w:val="20"/>
                <w:szCs w:val="20"/>
              </w:rPr>
            </w:r>
          </w:p>
        </w:tc>
        <w:tc>
          <w:tcPr>
            <w:tcW w:w="2693" w:type="dxa"/>
            <w:vAlign w:val="center"/>
            <w:textDirection w:val="lrTb"/>
            <w:noWrap w:val="false"/>
          </w:tcPr>
          <w:p>
            <w:pPr>
              <w:jc w:val="center"/>
              <w:spacing w:after="0"/>
              <w:rPr>
                <w:rFonts w:eastAsia="Arial Unicode MS"/>
                <w:bCs/>
                <w:sz w:val="20"/>
                <w:szCs w:val="20"/>
                <w:lang w:val="en-US"/>
              </w:rPr>
            </w:pPr>
            <w:r>
              <w:rPr>
                <w:rFonts w:eastAsia="Arial Unicode MS"/>
                <w:bCs/>
                <w:sz w:val="20"/>
                <w:szCs w:val="20"/>
              </w:rPr>
              <w:t xml:space="preserve">ОВМ/10</w:t>
            </w:r>
            <w:r>
              <w:rPr>
                <w:rFonts w:eastAsia="Arial Unicode MS"/>
                <w:bCs/>
                <w:sz w:val="20"/>
                <w:szCs w:val="20"/>
                <w:lang w:val="en-US"/>
              </w:rPr>
            </w:r>
            <w:r>
              <w:rPr>
                <w:rFonts w:eastAsia="Arial Unicode MS"/>
                <w:bCs/>
                <w:sz w:val="20"/>
                <w:szCs w:val="20"/>
                <w:lang w:val="en-US"/>
              </w:rPr>
            </w:r>
          </w:p>
        </w:tc>
        <w:tc>
          <w:tcPr>
            <w:tcW w:w="900" w:type="dxa"/>
            <w:vAlign w:val="center"/>
            <w:textDirection w:val="lrTb"/>
            <w:noWrap w:val="false"/>
          </w:tcPr>
          <w:p>
            <w:pPr>
              <w:jc w:val="center"/>
              <w:spacing w:after="0"/>
              <w:rPr>
                <w:rFonts w:eastAsia="Arial Unicode MS"/>
                <w:bCs/>
                <w:sz w:val="20"/>
                <w:szCs w:val="20"/>
              </w:rPr>
            </w:pPr>
            <w:r>
              <w:rPr>
                <w:rFonts w:eastAsia="Arial Unicode MS"/>
                <w:bCs/>
                <w:sz w:val="20"/>
                <w:szCs w:val="20"/>
              </w:rPr>
              <w:t xml:space="preserve">1</w:t>
            </w:r>
            <w:r>
              <w:rPr>
                <w:rFonts w:eastAsia="Arial Unicode MS"/>
                <w:bCs/>
                <w:sz w:val="20"/>
                <w:szCs w:val="20"/>
              </w:rPr>
            </w:r>
            <w:r>
              <w:rPr>
                <w:rFonts w:eastAsia="Arial Unicode MS"/>
                <w:bCs/>
                <w:sz w:val="20"/>
                <w:szCs w:val="20"/>
              </w:rPr>
            </w:r>
          </w:p>
        </w:tc>
      </w:tr>
      <w:tr>
        <w:tblPrEx/>
        <w:trPr>
          <w:cantSplit/>
          <w:trHeight w:val="255"/>
        </w:trPr>
        <w:tc>
          <w:tcPr>
            <w:tcW w:w="583" w:type="dxa"/>
            <w:vAlign w:val="center"/>
            <w:textDirection w:val="lrTb"/>
            <w:noWrap w:val="false"/>
          </w:tcPr>
          <w:p>
            <w:pPr>
              <w:jc w:val="center"/>
              <w:spacing w:after="0"/>
              <w:rPr>
                <w:rFonts w:eastAsia="Arial Unicode MS"/>
                <w:bCs/>
                <w:sz w:val="20"/>
                <w:szCs w:val="20"/>
              </w:rPr>
            </w:pPr>
            <w:r>
              <w:rPr>
                <w:rFonts w:eastAsia="Arial Unicode MS"/>
                <w:bCs/>
                <w:sz w:val="20"/>
                <w:szCs w:val="20"/>
              </w:rPr>
              <w:t xml:space="preserve">5</w:t>
            </w:r>
            <w:r>
              <w:rPr>
                <w:rFonts w:eastAsia="Arial Unicode MS"/>
                <w:bCs/>
                <w:sz w:val="20"/>
                <w:szCs w:val="20"/>
              </w:rPr>
            </w:r>
            <w:r>
              <w:rPr>
                <w:rFonts w:eastAsia="Arial Unicode MS"/>
                <w:bCs/>
                <w:sz w:val="20"/>
                <w:szCs w:val="20"/>
              </w:rPr>
            </w:r>
          </w:p>
        </w:tc>
        <w:tc>
          <w:tcPr>
            <w:tcW w:w="6070" w:type="dxa"/>
            <w:vAlign w:val="center"/>
            <w:textDirection w:val="lrTb"/>
            <w:noWrap/>
          </w:tcPr>
          <w:p>
            <w:pPr>
              <w:spacing w:after="0"/>
              <w:rPr>
                <w:rFonts w:eastAsia="Arial Unicode MS"/>
                <w:bCs/>
                <w:sz w:val="20"/>
                <w:szCs w:val="20"/>
              </w:rPr>
            </w:pPr>
            <w:r>
              <w:rPr>
                <w:sz w:val="20"/>
                <w:szCs w:val="20"/>
              </w:rPr>
              <w:t xml:space="preserve">СС </w:t>
            </w:r>
            <w:r>
              <w:rPr>
                <w:sz w:val="20"/>
                <w:szCs w:val="20"/>
              </w:rPr>
              <w:t xml:space="preserve">КонсультантАрбитраж</w:t>
            </w:r>
            <w:r>
              <w:rPr>
                <w:sz w:val="20"/>
                <w:szCs w:val="20"/>
              </w:rPr>
              <w:t xml:space="preserve">: Все апелляционные суды</w:t>
            </w:r>
            <w:r>
              <w:rPr>
                <w:rFonts w:eastAsia="Arial Unicode MS"/>
                <w:bCs/>
                <w:sz w:val="20"/>
                <w:szCs w:val="20"/>
              </w:rPr>
            </w:r>
            <w:r>
              <w:rPr>
                <w:rFonts w:eastAsia="Arial Unicode MS"/>
                <w:bCs/>
                <w:sz w:val="20"/>
                <w:szCs w:val="20"/>
              </w:rPr>
            </w:r>
          </w:p>
        </w:tc>
        <w:tc>
          <w:tcPr>
            <w:tcW w:w="2693" w:type="dxa"/>
            <w:vAlign w:val="center"/>
            <w:textDirection w:val="lrTb"/>
            <w:noWrap w:val="false"/>
          </w:tcPr>
          <w:p>
            <w:pPr>
              <w:jc w:val="center"/>
              <w:spacing w:after="0"/>
              <w:rPr>
                <w:rFonts w:eastAsia="Arial Unicode MS"/>
                <w:bCs/>
                <w:sz w:val="20"/>
                <w:szCs w:val="20"/>
                <w:lang w:val="en-US"/>
              </w:rPr>
            </w:pPr>
            <w:r>
              <w:rPr>
                <w:rFonts w:eastAsia="Arial Unicode MS"/>
                <w:bCs/>
                <w:sz w:val="20"/>
                <w:szCs w:val="20"/>
              </w:rPr>
              <w:t xml:space="preserve">ОВМ/10</w:t>
            </w:r>
            <w:r>
              <w:rPr>
                <w:rFonts w:eastAsia="Arial Unicode MS"/>
                <w:bCs/>
                <w:sz w:val="20"/>
                <w:szCs w:val="20"/>
                <w:lang w:val="en-US"/>
              </w:rPr>
            </w:r>
            <w:r>
              <w:rPr>
                <w:rFonts w:eastAsia="Arial Unicode MS"/>
                <w:bCs/>
                <w:sz w:val="20"/>
                <w:szCs w:val="20"/>
                <w:lang w:val="en-US"/>
              </w:rPr>
            </w:r>
          </w:p>
        </w:tc>
        <w:tc>
          <w:tcPr>
            <w:tcW w:w="900" w:type="dxa"/>
            <w:vAlign w:val="center"/>
            <w:textDirection w:val="lrTb"/>
            <w:noWrap w:val="false"/>
          </w:tcPr>
          <w:p>
            <w:pPr>
              <w:jc w:val="center"/>
              <w:spacing w:after="0"/>
              <w:rPr>
                <w:rFonts w:eastAsia="Arial Unicode MS"/>
                <w:bCs/>
                <w:sz w:val="20"/>
                <w:szCs w:val="20"/>
              </w:rPr>
            </w:pPr>
            <w:r>
              <w:rPr>
                <w:rFonts w:eastAsia="Arial Unicode MS"/>
                <w:bCs/>
                <w:sz w:val="20"/>
                <w:szCs w:val="20"/>
              </w:rPr>
              <w:t xml:space="preserve">1</w:t>
            </w:r>
            <w:r>
              <w:rPr>
                <w:rFonts w:eastAsia="Arial Unicode MS"/>
                <w:bCs/>
                <w:sz w:val="20"/>
                <w:szCs w:val="20"/>
              </w:rPr>
            </w:r>
            <w:r>
              <w:rPr>
                <w:rFonts w:eastAsia="Arial Unicode MS"/>
                <w:bCs/>
                <w:sz w:val="20"/>
                <w:szCs w:val="20"/>
              </w:rPr>
            </w:r>
          </w:p>
        </w:tc>
      </w:tr>
      <w:tr>
        <w:tblPrEx/>
        <w:trPr>
          <w:cantSplit/>
          <w:trHeight w:val="255"/>
        </w:trPr>
        <w:tc>
          <w:tcPr>
            <w:tcW w:w="583" w:type="dxa"/>
            <w:vAlign w:val="center"/>
            <w:textDirection w:val="lrTb"/>
            <w:noWrap w:val="false"/>
          </w:tcPr>
          <w:p>
            <w:pPr>
              <w:jc w:val="center"/>
              <w:spacing w:after="0"/>
              <w:rPr>
                <w:rFonts w:eastAsia="Arial Unicode MS"/>
                <w:bCs/>
                <w:sz w:val="20"/>
                <w:szCs w:val="20"/>
              </w:rPr>
            </w:pPr>
            <w:r>
              <w:rPr>
                <w:rFonts w:eastAsia="Arial Unicode MS"/>
                <w:bCs/>
                <w:sz w:val="20"/>
                <w:szCs w:val="20"/>
              </w:rPr>
              <w:t xml:space="preserve">6</w:t>
            </w:r>
            <w:r>
              <w:rPr>
                <w:rFonts w:eastAsia="Arial Unicode MS"/>
                <w:bCs/>
                <w:sz w:val="20"/>
                <w:szCs w:val="20"/>
              </w:rPr>
            </w:r>
            <w:r>
              <w:rPr>
                <w:rFonts w:eastAsia="Arial Unicode MS"/>
                <w:bCs/>
                <w:sz w:val="20"/>
                <w:szCs w:val="20"/>
              </w:rPr>
            </w:r>
          </w:p>
        </w:tc>
        <w:tc>
          <w:tcPr>
            <w:tcW w:w="6070" w:type="dxa"/>
            <w:vAlign w:val="center"/>
            <w:textDirection w:val="lrTb"/>
            <w:noWrap/>
          </w:tcPr>
          <w:p>
            <w:pPr>
              <w:spacing w:after="0"/>
              <w:rPr>
                <w:rFonts w:eastAsia="Arial Unicode MS"/>
                <w:bCs/>
                <w:sz w:val="20"/>
                <w:szCs w:val="20"/>
              </w:rPr>
            </w:pPr>
            <w:r>
              <w:rPr>
                <w:sz w:val="20"/>
                <w:szCs w:val="20"/>
              </w:rPr>
              <w:t xml:space="preserve">СС </w:t>
            </w:r>
            <w:r>
              <w:rPr>
                <w:sz w:val="20"/>
                <w:szCs w:val="20"/>
              </w:rPr>
              <w:t xml:space="preserve">КонсультантПлюс</w:t>
            </w:r>
            <w:r>
              <w:rPr>
                <w:sz w:val="20"/>
                <w:szCs w:val="20"/>
              </w:rPr>
              <w:t xml:space="preserve">: Технические нормы</w:t>
            </w:r>
            <w:r>
              <w:rPr>
                <w:rFonts w:eastAsia="Arial Unicode MS"/>
                <w:bCs/>
                <w:sz w:val="20"/>
                <w:szCs w:val="20"/>
              </w:rPr>
            </w:r>
            <w:r>
              <w:rPr>
                <w:rFonts w:eastAsia="Arial Unicode MS"/>
                <w:bCs/>
                <w:sz w:val="20"/>
                <w:szCs w:val="20"/>
              </w:rPr>
            </w:r>
          </w:p>
        </w:tc>
        <w:tc>
          <w:tcPr>
            <w:tcW w:w="2693" w:type="dxa"/>
            <w:vAlign w:val="center"/>
            <w:textDirection w:val="lrTb"/>
            <w:noWrap w:val="false"/>
          </w:tcPr>
          <w:p>
            <w:pPr>
              <w:jc w:val="center"/>
              <w:spacing w:after="0"/>
              <w:rPr>
                <w:rFonts w:eastAsia="Arial Unicode MS"/>
                <w:bCs/>
                <w:sz w:val="20"/>
                <w:szCs w:val="20"/>
                <w:lang w:val="en-US"/>
              </w:rPr>
            </w:pPr>
            <w:r>
              <w:rPr>
                <w:rFonts w:eastAsia="Arial Unicode MS"/>
                <w:bCs/>
                <w:sz w:val="20"/>
                <w:szCs w:val="20"/>
              </w:rPr>
              <w:t xml:space="preserve">ОВМ/10</w:t>
            </w:r>
            <w:r>
              <w:rPr>
                <w:rFonts w:eastAsia="Arial Unicode MS"/>
                <w:bCs/>
                <w:sz w:val="20"/>
                <w:szCs w:val="20"/>
                <w:lang w:val="en-US"/>
              </w:rPr>
            </w:r>
            <w:r>
              <w:rPr>
                <w:rFonts w:eastAsia="Arial Unicode MS"/>
                <w:bCs/>
                <w:sz w:val="20"/>
                <w:szCs w:val="20"/>
                <w:lang w:val="en-US"/>
              </w:rPr>
            </w:r>
          </w:p>
        </w:tc>
        <w:tc>
          <w:tcPr>
            <w:tcW w:w="900" w:type="dxa"/>
            <w:vAlign w:val="center"/>
            <w:textDirection w:val="lrTb"/>
            <w:noWrap w:val="false"/>
          </w:tcPr>
          <w:p>
            <w:pPr>
              <w:jc w:val="center"/>
              <w:spacing w:after="0"/>
              <w:rPr>
                <w:rFonts w:eastAsia="Arial Unicode MS"/>
                <w:bCs/>
                <w:sz w:val="20"/>
                <w:szCs w:val="20"/>
              </w:rPr>
            </w:pPr>
            <w:r>
              <w:rPr>
                <w:rFonts w:eastAsia="Arial Unicode MS"/>
                <w:bCs/>
                <w:sz w:val="20"/>
                <w:szCs w:val="20"/>
              </w:rPr>
              <w:t xml:space="preserve">1</w:t>
            </w:r>
            <w:r>
              <w:rPr>
                <w:rFonts w:eastAsia="Arial Unicode MS"/>
                <w:bCs/>
                <w:sz w:val="20"/>
                <w:szCs w:val="20"/>
              </w:rPr>
            </w:r>
            <w:r>
              <w:rPr>
                <w:rFonts w:eastAsia="Arial Unicode MS"/>
                <w:bCs/>
                <w:sz w:val="20"/>
                <w:szCs w:val="20"/>
              </w:rPr>
            </w:r>
          </w:p>
        </w:tc>
      </w:tr>
      <w:tr>
        <w:tblPrEx/>
        <w:trPr>
          <w:trHeight w:val="276"/>
        </w:trPr>
        <w:tc>
          <w:tcPr>
            <w:tcW w:w="583" w:type="dxa"/>
            <w:vAlign w:val="center"/>
            <w:textDirection w:val="lrTb"/>
            <w:noWrap w:val="false"/>
          </w:tcPr>
          <w:p>
            <w:pPr>
              <w:jc w:val="center"/>
              <w:spacing w:after="0"/>
              <w:rPr>
                <w:rFonts w:eastAsia="Arial Unicode MS"/>
                <w:bCs/>
                <w:sz w:val="20"/>
                <w:szCs w:val="20"/>
              </w:rPr>
            </w:pPr>
            <w:r>
              <w:rPr>
                <w:rFonts w:eastAsia="Arial Unicode MS"/>
                <w:bCs/>
                <w:sz w:val="20"/>
                <w:szCs w:val="20"/>
              </w:rPr>
              <w:t xml:space="preserve">7</w:t>
            </w:r>
            <w:r>
              <w:rPr>
                <w:rFonts w:eastAsia="Arial Unicode MS"/>
                <w:bCs/>
                <w:sz w:val="20"/>
                <w:szCs w:val="20"/>
              </w:rPr>
            </w:r>
            <w:r>
              <w:rPr>
                <w:rFonts w:eastAsia="Arial Unicode MS"/>
                <w:bCs/>
                <w:sz w:val="20"/>
                <w:szCs w:val="20"/>
              </w:rPr>
            </w:r>
          </w:p>
        </w:tc>
        <w:tc>
          <w:tcPr>
            <w:tcW w:w="6070" w:type="dxa"/>
            <w:vAlign w:val="center"/>
            <w:textDirection w:val="lrTb"/>
            <w:noWrap/>
          </w:tcPr>
          <w:p>
            <w:pPr>
              <w:spacing w:after="0"/>
              <w:rPr>
                <w:sz w:val="20"/>
                <w:szCs w:val="20"/>
              </w:rPr>
            </w:pPr>
            <w:r>
              <w:rPr>
                <w:sz w:val="20"/>
                <w:szCs w:val="20"/>
              </w:rPr>
              <w:t xml:space="preserve">СС Изменения в регулировании </w:t>
            </w:r>
            <w:r>
              <w:rPr>
                <w:sz w:val="20"/>
                <w:szCs w:val="20"/>
              </w:rPr>
              <w:t xml:space="preserve">госзакупок</w:t>
            </w:r>
            <w:r>
              <w:rPr>
                <w:sz w:val="20"/>
                <w:szCs w:val="20"/>
              </w:rPr>
            </w:r>
            <w:r>
              <w:rPr>
                <w:sz w:val="20"/>
                <w:szCs w:val="20"/>
              </w:rPr>
            </w:r>
          </w:p>
        </w:tc>
        <w:tc>
          <w:tcPr>
            <w:tcW w:w="2693" w:type="dxa"/>
            <w:vAlign w:val="center"/>
            <w:textDirection w:val="lrTb"/>
            <w:noWrap w:val="false"/>
          </w:tcPr>
          <w:p>
            <w:pPr>
              <w:jc w:val="center"/>
              <w:spacing w:after="0"/>
              <w:rPr>
                <w:rFonts w:eastAsia="Arial Unicode MS"/>
                <w:bCs/>
                <w:sz w:val="20"/>
                <w:szCs w:val="20"/>
                <w:lang w:val="en-US"/>
              </w:rPr>
            </w:pPr>
            <w:r>
              <w:rPr>
                <w:rFonts w:eastAsia="Arial Unicode MS"/>
                <w:bCs/>
                <w:sz w:val="20"/>
                <w:szCs w:val="20"/>
              </w:rPr>
              <w:t xml:space="preserve">ОВМ/10</w:t>
            </w:r>
            <w:r>
              <w:rPr>
                <w:rFonts w:eastAsia="Arial Unicode MS"/>
                <w:bCs/>
                <w:sz w:val="20"/>
                <w:szCs w:val="20"/>
                <w:lang w:val="en-US"/>
              </w:rPr>
            </w:r>
            <w:r>
              <w:rPr>
                <w:rFonts w:eastAsia="Arial Unicode MS"/>
                <w:bCs/>
                <w:sz w:val="20"/>
                <w:szCs w:val="20"/>
                <w:lang w:val="en-US"/>
              </w:rPr>
            </w:r>
          </w:p>
        </w:tc>
        <w:tc>
          <w:tcPr>
            <w:tcW w:w="900" w:type="dxa"/>
            <w:vAlign w:val="center"/>
            <w:textDirection w:val="lrTb"/>
            <w:noWrap w:val="false"/>
          </w:tcPr>
          <w:p>
            <w:pPr>
              <w:jc w:val="center"/>
              <w:spacing w:after="0"/>
              <w:rPr>
                <w:rFonts w:eastAsia="Arial Unicode MS"/>
                <w:bCs/>
                <w:sz w:val="20"/>
                <w:szCs w:val="20"/>
              </w:rPr>
            </w:pPr>
            <w:r>
              <w:rPr>
                <w:rFonts w:eastAsia="Arial Unicode MS"/>
                <w:bCs/>
                <w:sz w:val="20"/>
                <w:szCs w:val="20"/>
              </w:rPr>
              <w:t xml:space="preserve">1</w:t>
            </w:r>
            <w:r>
              <w:rPr>
                <w:rFonts w:eastAsia="Arial Unicode MS"/>
                <w:bCs/>
                <w:sz w:val="20"/>
                <w:szCs w:val="20"/>
              </w:rPr>
            </w:r>
            <w:r>
              <w:rPr>
                <w:rFonts w:eastAsia="Arial Unicode MS"/>
                <w:bCs/>
                <w:sz w:val="20"/>
                <w:szCs w:val="20"/>
              </w:rPr>
            </w:r>
          </w:p>
        </w:tc>
      </w:tr>
      <w:tr>
        <w:tblPrEx/>
        <w:trPr>
          <w:trHeight w:val="276"/>
        </w:trPr>
        <w:tc>
          <w:tcPr>
            <w:tcW w:w="583" w:type="dxa"/>
            <w:vAlign w:val="center"/>
            <w:textDirection w:val="lrTb"/>
            <w:noWrap w:val="false"/>
          </w:tcPr>
          <w:p>
            <w:pPr>
              <w:jc w:val="center"/>
              <w:spacing w:after="0"/>
              <w:rPr>
                <w:rFonts w:eastAsia="Arial Unicode MS"/>
                <w:bCs/>
                <w:sz w:val="20"/>
                <w:szCs w:val="20"/>
              </w:rPr>
            </w:pPr>
            <w:r>
              <w:rPr>
                <w:rFonts w:eastAsia="Arial Unicode MS"/>
                <w:bCs/>
                <w:sz w:val="20"/>
                <w:szCs w:val="20"/>
              </w:rPr>
              <w:t xml:space="preserve">8</w:t>
            </w:r>
            <w:r>
              <w:rPr>
                <w:rFonts w:eastAsia="Arial Unicode MS"/>
                <w:bCs/>
                <w:sz w:val="20"/>
                <w:szCs w:val="20"/>
              </w:rPr>
            </w:r>
            <w:r>
              <w:rPr>
                <w:rFonts w:eastAsia="Arial Unicode MS"/>
                <w:bCs/>
                <w:sz w:val="20"/>
                <w:szCs w:val="20"/>
              </w:rPr>
            </w:r>
          </w:p>
        </w:tc>
        <w:tc>
          <w:tcPr>
            <w:tcW w:w="6070" w:type="dxa"/>
            <w:vAlign w:val="center"/>
            <w:textDirection w:val="lrTb"/>
            <w:noWrap/>
          </w:tcPr>
          <w:p>
            <w:pPr>
              <w:spacing w:after="0"/>
              <w:rPr>
                <w:sz w:val="20"/>
                <w:szCs w:val="20"/>
              </w:rPr>
            </w:pPr>
            <w:r>
              <w:rPr>
                <w:sz w:val="20"/>
                <w:szCs w:val="20"/>
              </w:rPr>
              <w:t xml:space="preserve">СС Позиции судов по спорным вопросам. Арбитражный процесс</w:t>
            </w:r>
            <w:r>
              <w:rPr>
                <w:sz w:val="20"/>
                <w:szCs w:val="20"/>
              </w:rPr>
            </w:r>
            <w:r>
              <w:rPr>
                <w:sz w:val="20"/>
                <w:szCs w:val="20"/>
              </w:rPr>
            </w:r>
          </w:p>
        </w:tc>
        <w:tc>
          <w:tcPr>
            <w:tcW w:w="2693" w:type="dxa"/>
            <w:vAlign w:val="center"/>
            <w:textDirection w:val="lrTb"/>
            <w:noWrap w:val="false"/>
          </w:tcPr>
          <w:p>
            <w:pPr>
              <w:jc w:val="center"/>
              <w:spacing w:after="0"/>
              <w:rPr>
                <w:rFonts w:eastAsia="Arial Unicode MS"/>
                <w:bCs/>
                <w:sz w:val="20"/>
                <w:szCs w:val="20"/>
                <w:lang w:val="en-US"/>
              </w:rPr>
            </w:pPr>
            <w:r>
              <w:rPr>
                <w:rFonts w:eastAsia="Arial Unicode MS"/>
                <w:bCs/>
                <w:sz w:val="20"/>
                <w:szCs w:val="20"/>
              </w:rPr>
              <w:t xml:space="preserve">ОВМ/10</w:t>
            </w:r>
            <w:r>
              <w:rPr>
                <w:rFonts w:eastAsia="Arial Unicode MS"/>
                <w:bCs/>
                <w:sz w:val="20"/>
                <w:szCs w:val="20"/>
                <w:lang w:val="en-US"/>
              </w:rPr>
            </w:r>
            <w:r>
              <w:rPr>
                <w:rFonts w:eastAsia="Arial Unicode MS"/>
                <w:bCs/>
                <w:sz w:val="20"/>
                <w:szCs w:val="20"/>
                <w:lang w:val="en-US"/>
              </w:rPr>
            </w:r>
          </w:p>
        </w:tc>
        <w:tc>
          <w:tcPr>
            <w:tcW w:w="900" w:type="dxa"/>
            <w:vAlign w:val="center"/>
            <w:textDirection w:val="lrTb"/>
            <w:noWrap w:val="false"/>
          </w:tcPr>
          <w:p>
            <w:pPr>
              <w:jc w:val="center"/>
              <w:spacing w:after="0"/>
              <w:rPr>
                <w:rFonts w:eastAsia="Arial Unicode MS"/>
                <w:bCs/>
                <w:sz w:val="20"/>
                <w:szCs w:val="20"/>
              </w:rPr>
            </w:pPr>
            <w:r>
              <w:rPr>
                <w:rFonts w:eastAsia="Arial Unicode MS"/>
                <w:bCs/>
                <w:sz w:val="20"/>
                <w:szCs w:val="20"/>
              </w:rPr>
              <w:t xml:space="preserve">1</w:t>
            </w:r>
            <w:r>
              <w:rPr>
                <w:rFonts w:eastAsia="Arial Unicode MS"/>
                <w:bCs/>
                <w:sz w:val="20"/>
                <w:szCs w:val="20"/>
              </w:rPr>
            </w:r>
            <w:r>
              <w:rPr>
                <w:rFonts w:eastAsia="Arial Unicode MS"/>
                <w:bCs/>
                <w:sz w:val="20"/>
                <w:szCs w:val="20"/>
              </w:rPr>
            </w:r>
          </w:p>
        </w:tc>
      </w:tr>
      <w:tr>
        <w:tblPrEx/>
        <w:trPr>
          <w:trHeight w:val="276"/>
        </w:trPr>
        <w:tc>
          <w:tcPr>
            <w:tcW w:w="583" w:type="dxa"/>
            <w:vAlign w:val="center"/>
            <w:textDirection w:val="lrTb"/>
            <w:noWrap w:val="false"/>
          </w:tcPr>
          <w:p>
            <w:pPr>
              <w:jc w:val="center"/>
              <w:spacing w:after="0"/>
              <w:rPr>
                <w:rFonts w:eastAsia="Arial Unicode MS"/>
                <w:bCs/>
                <w:sz w:val="20"/>
                <w:szCs w:val="20"/>
              </w:rPr>
            </w:pPr>
            <w:r>
              <w:rPr>
                <w:rFonts w:eastAsia="Arial Unicode MS"/>
                <w:bCs/>
                <w:sz w:val="20"/>
                <w:szCs w:val="20"/>
              </w:rPr>
              <w:t xml:space="preserve">9</w:t>
            </w:r>
            <w:r>
              <w:rPr>
                <w:rFonts w:eastAsia="Arial Unicode MS"/>
                <w:bCs/>
                <w:sz w:val="20"/>
                <w:szCs w:val="20"/>
              </w:rPr>
            </w:r>
            <w:r>
              <w:rPr>
                <w:rFonts w:eastAsia="Arial Unicode MS"/>
                <w:bCs/>
                <w:sz w:val="20"/>
                <w:szCs w:val="20"/>
              </w:rPr>
            </w:r>
          </w:p>
        </w:tc>
        <w:tc>
          <w:tcPr>
            <w:tcW w:w="6070" w:type="dxa"/>
            <w:vAlign w:val="center"/>
            <w:textDirection w:val="lrTb"/>
            <w:noWrap/>
          </w:tcPr>
          <w:p>
            <w:pPr>
              <w:spacing w:after="0"/>
              <w:rPr>
                <w:sz w:val="20"/>
                <w:szCs w:val="20"/>
              </w:rPr>
            </w:pPr>
            <w:r>
              <w:rPr>
                <w:sz w:val="20"/>
                <w:szCs w:val="20"/>
              </w:rPr>
              <w:t xml:space="preserve">СС Позиции судов по спорным вопросам. Бюджетные организации</w:t>
            </w:r>
            <w:r>
              <w:rPr>
                <w:sz w:val="20"/>
                <w:szCs w:val="20"/>
              </w:rPr>
            </w:r>
            <w:r>
              <w:rPr>
                <w:sz w:val="20"/>
                <w:szCs w:val="20"/>
              </w:rPr>
            </w:r>
          </w:p>
        </w:tc>
        <w:tc>
          <w:tcPr>
            <w:tcW w:w="2693" w:type="dxa"/>
            <w:vAlign w:val="center"/>
            <w:textDirection w:val="lrTb"/>
            <w:noWrap w:val="false"/>
          </w:tcPr>
          <w:p>
            <w:pPr>
              <w:jc w:val="center"/>
              <w:spacing w:after="0"/>
              <w:rPr>
                <w:rFonts w:eastAsia="Arial Unicode MS"/>
                <w:bCs/>
                <w:sz w:val="20"/>
                <w:szCs w:val="20"/>
                <w:lang w:val="en-US"/>
              </w:rPr>
            </w:pPr>
            <w:r>
              <w:rPr>
                <w:rFonts w:eastAsia="Arial Unicode MS"/>
                <w:bCs/>
                <w:sz w:val="20"/>
                <w:szCs w:val="20"/>
              </w:rPr>
              <w:t xml:space="preserve">ОВМ/10</w:t>
            </w:r>
            <w:r>
              <w:rPr>
                <w:rFonts w:eastAsia="Arial Unicode MS"/>
                <w:bCs/>
                <w:sz w:val="20"/>
                <w:szCs w:val="20"/>
                <w:lang w:val="en-US"/>
              </w:rPr>
            </w:r>
            <w:r>
              <w:rPr>
                <w:rFonts w:eastAsia="Arial Unicode MS"/>
                <w:bCs/>
                <w:sz w:val="20"/>
                <w:szCs w:val="20"/>
                <w:lang w:val="en-US"/>
              </w:rPr>
            </w:r>
          </w:p>
        </w:tc>
        <w:tc>
          <w:tcPr>
            <w:tcW w:w="900" w:type="dxa"/>
            <w:vAlign w:val="center"/>
            <w:textDirection w:val="lrTb"/>
            <w:noWrap w:val="false"/>
          </w:tcPr>
          <w:p>
            <w:pPr>
              <w:jc w:val="center"/>
              <w:spacing w:after="0"/>
              <w:rPr>
                <w:rFonts w:eastAsia="Arial Unicode MS"/>
                <w:bCs/>
                <w:sz w:val="20"/>
                <w:szCs w:val="20"/>
              </w:rPr>
            </w:pPr>
            <w:r>
              <w:rPr>
                <w:rFonts w:eastAsia="Arial Unicode MS"/>
                <w:bCs/>
                <w:sz w:val="20"/>
                <w:szCs w:val="20"/>
              </w:rPr>
              <w:t xml:space="preserve">1</w:t>
            </w:r>
            <w:r>
              <w:rPr>
                <w:rFonts w:eastAsia="Arial Unicode MS"/>
                <w:bCs/>
                <w:sz w:val="20"/>
                <w:szCs w:val="20"/>
              </w:rPr>
            </w:r>
            <w:r>
              <w:rPr>
                <w:rFonts w:eastAsia="Arial Unicode MS"/>
                <w:bCs/>
                <w:sz w:val="20"/>
                <w:szCs w:val="20"/>
              </w:rPr>
            </w:r>
          </w:p>
        </w:tc>
      </w:tr>
    </w:tbl>
    <w:p>
      <w:pPr>
        <w:ind w:firstLine="709"/>
        <w:spacing w:after="0"/>
        <w:rPr>
          <w:b/>
          <w:bCs/>
        </w:rPr>
      </w:pPr>
      <w:r>
        <w:rPr>
          <w:b/>
          <w:highlight w:val="none"/>
        </w:rPr>
      </w:r>
      <w:r>
        <w:rPr>
          <w:b/>
          <w:highlight w:val="none"/>
        </w:rPr>
      </w:r>
      <w:r>
        <w:rPr>
          <w:b/>
          <w:bCs/>
        </w:rPr>
      </w:r>
    </w:p>
    <w:p>
      <w:pPr>
        <w:ind w:firstLine="709"/>
        <w:spacing w:after="0"/>
        <w:rPr>
          <w:b/>
        </w:rPr>
      </w:pPr>
      <w:r>
        <w:rPr>
          <w:b/>
        </w:rPr>
        <w:t xml:space="preserve">2. Основные понятия</w:t>
      </w:r>
      <w:r>
        <w:rPr>
          <w:b/>
        </w:rPr>
      </w:r>
      <w:r>
        <w:rPr>
          <w:b/>
        </w:rPr>
      </w:r>
    </w:p>
    <w:p>
      <w:pPr>
        <w:ind w:firstLine="709"/>
        <w:spacing w:after="0"/>
      </w:pPr>
      <w:r>
        <w:t xml:space="preserve">2.1. Справочная Правовая Система </w:t>
      </w:r>
      <w:r>
        <w:t xml:space="preserve">КонсультантПлюс</w:t>
      </w:r>
      <w:r>
        <w:t xml:space="preserve"> (далее - Система </w:t>
      </w:r>
      <w:r>
        <w:t xml:space="preserve">КонсультантПлюс</w:t>
      </w:r>
      <w:r>
        <w:t xml:space="preserve"> или Система) - совокупность многофункционально</w:t>
      </w:r>
      <w:bookmarkStart w:id="0" w:name="undefined"/>
      <w:r/>
      <w:bookmarkEnd w:id="0"/>
      <w:r>
        <w:t xml:space="preserve">й программы для ЭВМ и набора текстовой информации (программное средство, информационный продукт вычислительной техники).</w:t>
      </w:r>
      <w:r/>
    </w:p>
    <w:p>
      <w:pPr>
        <w:ind w:firstLine="709"/>
        <w:spacing w:after="0"/>
      </w:pPr>
      <w:r>
        <w:t xml:space="preserve">2.2. Экземпляр Системы - копия Системы </w:t>
      </w:r>
      <w:r>
        <w:t xml:space="preserve">КонсультантПлюс</w:t>
      </w:r>
      <w:r>
        <w:t xml:space="preserve">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r/>
    </w:p>
    <w:p>
      <w:pPr>
        <w:ind w:firstLine="709"/>
        <w:spacing w:after="0"/>
      </w:pPr>
      <w:r>
        <w:t xml:space="preserve">2.3. Порядок использования Систем - совокупность технических параметров, разрешенных способов и условий использования комплекта Систем.</w:t>
      </w:r>
      <w:r/>
    </w:p>
    <w:p>
      <w:pPr>
        <w:ind w:firstLine="709"/>
        <w:spacing w:after="0"/>
      </w:pPr>
      <w:r>
        <w:t xml:space="preserve">2.4. Уникальный пользователь - физическое лицо, состоящее в трудовых отношениях с Заказчиком (работник), являющееся пользователем Системы.</w:t>
      </w:r>
      <w:r/>
    </w:p>
    <w:p>
      <w:pPr>
        <w:ind w:firstLine="709"/>
        <w:spacing w:after="0"/>
      </w:pPr>
      <w:r>
        <w:t xml:space="preserve">2.5. Регистрация - процедура, при которой запоминаются параметры конкретного электронного устройства и в экземпляр Системы вносятся определенные изменения (адаптация Системы)</w:t>
      </w:r>
      <w:r>
        <w:t xml:space="preserve">, после чего становится возможным использование экземпляра Системы. По выбору Заказчика экземпляр Системы может быть зарегистрирован на ЭВМ Заказчика, на ЭВМ Исполнителя, на ЭВМ Разработчика Систем. Особенности регистрации определяются настоящим Договором.</w:t>
      </w:r>
      <w:r/>
    </w:p>
    <w:p>
      <w:pPr>
        <w:ind w:firstLine="709"/>
        <w:spacing w:after="0"/>
      </w:pPr>
      <w:r>
        <w:t xml:space="preserve">2.6. Число одновременных доступов (далее – число ОД) – парамет</w:t>
      </w:r>
      <w:r>
        <w:t xml:space="preserve">р, определяющий максимальное количество ЭВМ, с которых может быть осуществлен одновременный доступ к Системе. Число ОД Комплекта Систем не может превышать число ОД Системы, по которой предоставлено наибольшее число ОД среди установленных в Комплект Систем.</w:t>
      </w:r>
      <w:r/>
    </w:p>
    <w:p>
      <w:pPr>
        <w:ind w:firstLine="709"/>
        <w:spacing w:after="0"/>
      </w:pPr>
      <w:r>
        <w:t xml:space="preserve">2.7. Локальная вычислительная сеть (далее –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r/>
    </w:p>
    <w:p>
      <w:pPr>
        <w:ind w:firstLine="709"/>
        <w:spacing w:after="0"/>
        <w:rPr>
          <w:b/>
        </w:rPr>
      </w:pPr>
      <w:r>
        <w:rPr>
          <w:b/>
        </w:rPr>
        <w:t xml:space="preserve">3.</w:t>
      </w:r>
      <w:r>
        <w:t xml:space="preserve"> </w:t>
      </w:r>
      <w:r>
        <w:rPr>
          <w:b/>
        </w:rPr>
        <w:t xml:space="preserve">Описание оказываемых услуг</w:t>
      </w:r>
      <w:r>
        <w:rPr>
          <w:b/>
        </w:rPr>
      </w:r>
      <w:r>
        <w:rPr>
          <w:b/>
        </w:rPr>
      </w:r>
    </w:p>
    <w:p>
      <w:pPr>
        <w:ind w:firstLine="720"/>
        <w:spacing w:after="0"/>
        <w:tabs>
          <w:tab w:val="left" w:pos="1080" w:leader="none"/>
        </w:tabs>
      </w:pPr>
      <w:r>
        <w:t xml:space="preserve">3.1. Услуги Исполнителя </w:t>
      </w:r>
      <w:r>
        <w:t xml:space="preserve">в рамках переданного сертификата </w:t>
      </w:r>
      <w:r>
        <w:t xml:space="preserve">предусматривают:</w:t>
      </w:r>
      <w:r/>
    </w:p>
    <w:p>
      <w:pPr>
        <w:ind w:firstLine="720"/>
        <w:spacing w:after="0"/>
        <w:tabs>
          <w:tab w:val="left" w:pos="1080" w:leader="none"/>
        </w:tabs>
      </w:pPr>
      <w:r>
        <w:t xml:space="preserve">3.1.1.</w:t>
      </w:r>
      <w:r>
        <w:tab/>
        <w:t xml:space="preserve">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экземпляров Систем;</w:t>
      </w:r>
      <w:r/>
    </w:p>
    <w:p>
      <w:pPr>
        <w:ind w:firstLine="720"/>
        <w:spacing w:after="0"/>
        <w:tabs>
          <w:tab w:val="left" w:pos="1080" w:leader="none"/>
        </w:tabs>
      </w:pPr>
      <w:r>
        <w:t xml:space="preserve">3.1.2.</w:t>
      </w:r>
      <w:r>
        <w:tab/>
        <w:t xml:space="preserve">Сопровождение адаптированных Исполнителем экземпляров Систем, в том числе:</w:t>
      </w:r>
      <w:r/>
    </w:p>
    <w:p>
      <w:pPr>
        <w:numPr>
          <w:ilvl w:val="0"/>
          <w:numId w:val="21"/>
        </w:numPr>
        <w:ind w:left="0" w:firstLine="851"/>
        <w:spacing w:after="0"/>
        <w:tabs>
          <w:tab w:val="left" w:pos="1080" w:leader="none"/>
        </w:tabs>
      </w:pPr>
      <w:r>
        <w:t xml:space="preserve">передачу Заказчику актуальной информации (актуальных наборов текстовой информации, адаптированных к имеющимся у Заказчика экземплярам Систем);</w:t>
      </w:r>
      <w:r/>
    </w:p>
    <w:p>
      <w:pPr>
        <w:numPr>
          <w:ilvl w:val="0"/>
          <w:numId w:val="21"/>
        </w:numPr>
        <w:ind w:left="0" w:firstLine="851"/>
        <w:spacing w:after="0"/>
        <w:tabs>
          <w:tab w:val="left" w:pos="1080" w:leader="none"/>
        </w:tabs>
      </w:pPr>
      <w:r>
        <w:t xml:space="preserve">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(тестирование, переустановка);</w:t>
      </w:r>
      <w:r/>
    </w:p>
    <w:p>
      <w:pPr>
        <w:numPr>
          <w:ilvl w:val="0"/>
          <w:numId w:val="21"/>
        </w:numPr>
        <w:ind w:left="0" w:firstLine="851"/>
        <w:spacing w:after="0"/>
        <w:tabs>
          <w:tab w:val="left" w:pos="1080" w:leader="none"/>
        </w:tabs>
      </w:pPr>
      <w:r>
        <w:t xml:space="preserve">предоставление дополнительной информации и возможностей, состав которых определяется Исполнителем;</w:t>
      </w:r>
      <w:r/>
    </w:p>
    <w:p>
      <w:pPr>
        <w:numPr>
          <w:ilvl w:val="0"/>
          <w:numId w:val="21"/>
        </w:numPr>
        <w:ind w:left="0" w:firstLine="851"/>
        <w:spacing w:after="0"/>
        <w:tabs>
          <w:tab w:val="left" w:pos="1080" w:leader="none"/>
        </w:tabs>
      </w:pPr>
      <w:r>
        <w:t xml:space="preserve">мониторинг данных об использовании Систем с целью предотвращения их противоправного и контрафактного использования, а также замедления работы;</w:t>
      </w:r>
      <w:r/>
    </w:p>
    <w:p>
      <w:pPr>
        <w:numPr>
          <w:ilvl w:val="0"/>
          <w:numId w:val="21"/>
        </w:numPr>
        <w:ind w:left="0" w:firstLine="851"/>
        <w:spacing w:after="0"/>
        <w:tabs>
          <w:tab w:val="left" w:pos="1080" w:leader="none"/>
        </w:tabs>
      </w:pPr>
      <w:r>
        <w:t xml:space="preserve">консультирование по работе с Системами, в том числе обучение Заказчика работе с Системами;</w:t>
      </w:r>
      <w:r/>
    </w:p>
    <w:p>
      <w:pPr>
        <w:numPr>
          <w:ilvl w:val="0"/>
          <w:numId w:val="21"/>
        </w:numPr>
        <w:ind w:left="0" w:firstLine="851"/>
        <w:spacing w:after="0"/>
        <w:tabs>
          <w:tab w:val="left" w:pos="1080" w:leader="none"/>
        </w:tabs>
      </w:pPr>
      <w:r>
        <w:t xml:space="preserve">предоставление возможности получения Заказчиком консультаций по работе Систем</w:t>
      </w:r>
      <w:r>
        <w:t xml:space="preserve"> </w:t>
      </w:r>
      <w:r>
        <w:t xml:space="preserve">по телефону, по электронной почте, через специальные сервисы и базы данных либо в офисе Исполнителя;</w:t>
      </w:r>
      <w:r/>
    </w:p>
    <w:p>
      <w:pPr>
        <w:ind w:firstLine="709"/>
        <w:spacing w:after="0"/>
        <w:tabs>
          <w:tab w:val="left" w:pos="1080" w:leader="none"/>
        </w:tabs>
      </w:pPr>
      <w:r>
        <w:t xml:space="preserve">3.1.3. Адаптацию и сопровождение специальной копии Систем, зарегистрированной на электронном устройстве Заказчика;</w:t>
      </w:r>
      <w:r/>
    </w:p>
    <w:p>
      <w:pPr>
        <w:ind w:firstLine="709"/>
        <w:spacing w:after="0"/>
        <w:tabs>
          <w:tab w:val="left" w:pos="1080" w:leader="none"/>
        </w:tabs>
      </w:pPr>
      <w:r>
        <w:t xml:space="preserve">3.1.4. Исполнитель обеспечивает возможность использования комплекта Систем 24 часа</w:t>
      </w:r>
      <w:r>
        <w:t xml:space="preserve"> </w:t>
      </w:r>
      <w:r>
        <w:t xml:space="preserve">в сутки 7 дней в неделю, за исключением времени перерывов в предоставлении услуг, связанных</w:t>
      </w:r>
      <w:r>
        <w:t xml:space="preserve"> </w:t>
      </w:r>
      <w:r>
        <w:t xml:space="preserve">с заменой оборудования, программного обеспечения и/или проведения других ремонтных</w:t>
      </w:r>
      <w:r>
        <w:t xml:space="preserve"> </w:t>
      </w:r>
      <w:r>
        <w:t xml:space="preserve">или планово-профилактических работ на серверном оборудовании.</w:t>
      </w:r>
      <w:r/>
    </w:p>
    <w:p>
      <w:pPr>
        <w:ind w:firstLine="709"/>
        <w:spacing w:after="0"/>
        <w:tabs>
          <w:tab w:val="left" w:pos="1080" w:leader="none"/>
        </w:tabs>
      </w:pPr>
      <w:r>
        <w:t xml:space="preserve">3.2. Системы по заказу Разработчика Систем могут модифицироваться официальными Представителями Сети </w:t>
      </w:r>
      <w:r>
        <w:t xml:space="preserve">КонсультантПлюс</w:t>
      </w:r>
      <w:r>
        <w:t xml:space="preserve"> либо иными организациями в соответствии</w:t>
      </w:r>
      <w:r>
        <w:t xml:space="preserve"> </w:t>
      </w:r>
      <w:r>
        <w:t xml:space="preserve">с технологическими процедурами и политикой Разработчика Систем. Исполнитель оказывает Заказчику услуги по адаптации и сопровождению Систем, модифицированных Исполнителем.</w:t>
      </w:r>
      <w:r/>
    </w:p>
    <w:p>
      <w:pPr>
        <w:ind w:firstLine="709"/>
        <w:spacing w:after="0"/>
        <w:tabs>
          <w:tab w:val="left" w:pos="1080" w:leader="none"/>
        </w:tabs>
      </w:pPr>
      <w:r>
        <w:t xml:space="preserve">3.3. Оказание Заказчику текущих услуг с использованием экземпляров Систем осуществляется без выбора документов.</w:t>
      </w:r>
      <w:r/>
    </w:p>
    <w:p>
      <w:pPr>
        <w:ind w:firstLine="709"/>
        <w:spacing w:after="0"/>
        <w:tabs>
          <w:tab w:val="left" w:pos="1080" w:leader="none"/>
        </w:tabs>
      </w:pPr>
      <w:r>
        <w:t xml:space="preserve">3.4. Исполнитель может получать служебные файлы и информацию с компьютера Заказчика, необходимые для надлежащего исполнения обязательств перед Заказчиком.</w:t>
      </w:r>
      <w:r/>
    </w:p>
    <w:p>
      <w:pPr>
        <w:ind w:firstLine="709"/>
        <w:spacing w:after="0"/>
        <w:tabs>
          <w:tab w:val="left" w:pos="1080" w:leader="none"/>
        </w:tabs>
      </w:pPr>
      <w:r>
        <w:t xml:space="preserve">3.5. Экземпляры Систем передаются и сопровождаются Исполнителем в виде «как есть»</w:t>
      </w:r>
      <w:r>
        <w:t xml:space="preserve"> </w:t>
      </w:r>
      <w:r>
        <w:t xml:space="preserve">с параметрами инф</w:t>
      </w:r>
      <w:r>
        <w:t xml:space="preserve">ормационного содержания, определяемыми разработчиком, и не подлежат изменению по желанию Заказчика, если иное не предусмотрено соглашением Сторон. Разработчик Систем вправе самостоятельно определять информационное содержание Систем в рамках их общей направ</w:t>
      </w:r>
      <w:r>
        <w:t xml:space="preserve">ленности. Информация, содержащаяся в Системе, включая авторские материалы (комментарии, книги, статьи, ответы на вопросы и т.д.), имеет справочный характер. Разработчик не несет ответственности за правильность информации, изложенной в авторских материалах.</w:t>
      </w:r>
      <w:r/>
    </w:p>
    <w:p>
      <w:pPr>
        <w:ind w:firstLine="709"/>
        <w:spacing w:after="0"/>
        <w:rPr>
          <w:b/>
        </w:rPr>
      </w:pPr>
      <w:r>
        <w:rPr>
          <w:b/>
        </w:rPr>
        <w:t xml:space="preserve">4. Порядок использования экземпляров Систем</w:t>
      </w:r>
      <w:r>
        <w:rPr>
          <w:b/>
        </w:rPr>
      </w:r>
      <w:r>
        <w:rPr>
          <w:b/>
        </w:rPr>
      </w:r>
    </w:p>
    <w:p>
      <w:pPr>
        <w:ind w:firstLine="709"/>
        <w:spacing w:after="0"/>
      </w:pPr>
      <w:r>
        <w:t xml:space="preserve">4.1. Для организации сопровождения экземпляры Систем, включая специальную копию Систем, регистрируются и адаптируются на ЭВМ Заказчика, ЭВМ Исполнителя, ЭВМ Разработчика Систем.</w:t>
      </w:r>
      <w:r/>
    </w:p>
    <w:p>
      <w:pPr>
        <w:ind w:firstLine="709"/>
        <w:spacing w:after="0"/>
      </w:pPr>
      <w:r>
        <w:t xml:space="preserve">4.2. Экземпляры Систем предна</w:t>
      </w:r>
      <w:r>
        <w:t xml:space="preserve">значены для организации подключения к Системам посредством регистрации (адаптации) на ЭВМ Заказчика, ЭВМ Исполнителя, ЭВМ Разработчика Систем. Разработчиком могут определяться особенности перенастройки экземпляров Систем и их последующей работы на ЭВМ ЛВС.</w:t>
      </w:r>
      <w:r/>
    </w:p>
    <w:p>
      <w:pPr>
        <w:ind w:firstLine="709"/>
        <w:spacing w:after="0"/>
      </w:pPr>
      <w:r>
        <w:t xml:space="preserve">4.3. При осуществлении регистрации и адаптации Исполнитель обеспечивает Заказчику возможность использования комплекта с числом учетных записей (далее – УЗ) и числом ОД, указанн</w:t>
      </w:r>
      <w:r>
        <w:t xml:space="preserve">ыми в п. 1. настоящего Технического задания, сохраняет реквизиты УЗ в специальной копии Системы и регистрирует АРМ администратора УЗ пользователей для организации сопровождения Систем, в том числе формирует, адаптирует и модифицирует базу данных УЗ пользов</w:t>
      </w:r>
      <w:r>
        <w:t xml:space="preserve">ателей. Исполнитель обеспечивает администрирование специального АРМ администратора УЗ пользователей и в рамках данного процесса при необходимости проводит дополнительную регулярную перерегистрацию (адаптацию) экземпляров на ЭВМ Заказчика, ЭВМ Исполнителя, </w:t>
      </w:r>
      <w:r>
        <w:t xml:space="preserve">ЭВМ Разработчика Систем при сбоях и в других необходимых случаях.  По запросу Заказчика АРМ администратора УЗ пользователей может быть предоставлено Заказчику.</w:t>
      </w:r>
      <w:r/>
    </w:p>
    <w:p>
      <w:pPr>
        <w:ind w:firstLine="709"/>
        <w:spacing w:after="0"/>
      </w:pPr>
      <w:r>
        <w:t xml:space="preserve">4.4. Заказчик обязан обеспечивать конфиденциальность УЗ. Нарушениями конфиденциальности, являющимися грубыми нарушениями прав на объект(ы) интеллектуальной собственности, в частности, признаются: передача (разглашение) реквизитов УЗ лицу, которое</w:t>
      </w:r>
      <w:r>
        <w:t xml:space="preserve"> </w:t>
      </w:r>
      <w:r>
        <w:t xml:space="preserve">не яв</w:t>
      </w:r>
      <w:r>
        <w:t xml:space="preserve">ляется Уникальным пользователем, а также несвоевременная блокировка УЗ при прекращении трудовых отношений с бывшим Уникальным пользователем. По запросу Заказчика Исполнитель заменяет УЗ с одновременным уведомлением Заказчика открытым электронным сообщением</w:t>
      </w:r>
      <w:r>
        <w:t xml:space="preserve"> </w:t>
      </w:r>
      <w:r>
        <w:t xml:space="preserve">на электронный адрес Заказчика. По запросу Исполнителя Заказчик обязан предоставлять</w:t>
      </w:r>
      <w:r>
        <w:t xml:space="preserve"> Исполнителю информацию об Уникальных пользователях, которым была передана УЗ. Заказчик обязан обеспечить конфиденциальность УЗ. Заказчик вправе в любое время заблокировать УЗ путем смены ее реквизитов. Заказчик обязан заблокировать УЗ в следующих случаях:</w:t>
      </w:r>
      <w:r/>
    </w:p>
    <w:p>
      <w:pPr>
        <w:ind w:firstLine="709"/>
        <w:spacing w:after="0"/>
      </w:pPr>
      <w:r>
        <w:t xml:space="preserve">4.4.1. В случае прекращения трудовых отношений с Уникальным пользователем, получившим учетную запись - в течение одного рабочего дня с момента прекращения трудовых отношений.</w:t>
      </w:r>
      <w:r/>
    </w:p>
    <w:p>
      <w:pPr>
        <w:ind w:firstLine="709"/>
        <w:spacing w:after="0"/>
      </w:pPr>
      <w:r>
        <w:t xml:space="preserve">4.4.2. В случае действительного или потенциального нарушения конфиденциальности реквизитов учетной записи - незамедлительно при получении соответствующей информации.</w:t>
      </w:r>
      <w:r/>
    </w:p>
    <w:p>
      <w:pPr>
        <w:ind w:firstLine="709"/>
        <w:spacing w:after="0"/>
        <w:tabs>
          <w:tab w:val="left" w:pos="1080" w:leader="none"/>
        </w:tabs>
      </w:pPr>
      <w:r>
        <w:t xml:space="preserve">4.5. Использование Системы возможно под управлением специальной копии Системы</w:t>
      </w:r>
      <w:r>
        <w:t xml:space="preserve"> </w:t>
      </w:r>
      <w:r>
        <w:t xml:space="preserve">с электронного устройства Заказчика, на котором она установлена.</w:t>
      </w:r>
      <w:r/>
    </w:p>
    <w:p>
      <w:pPr>
        <w:ind w:firstLine="709"/>
        <w:spacing w:after="0"/>
      </w:pPr>
      <w:r>
        <w:t xml:space="preserve">4.6. Заказчик сообщает Исполнителю электронный адрес для направления ему реквизитов учетной записи и/или информации связанной с использованием Систем. В случае изменения электронного адреса Заказчик направляет Исполнителю уведомление.</w:t>
      </w:r>
      <w:r/>
    </w:p>
    <w:p>
      <w:pPr>
        <w:ind w:firstLine="709"/>
        <w:spacing w:after="0"/>
      </w:pPr>
      <w:r>
        <w:t xml:space="preserve">4.7. Система может содержать информационное сообщение о наименовании и местонахождении правомерного пользователя комплекта Систем. Сообщение может быть показано не чаще одного раза в 24 часа.</w:t>
      </w:r>
      <w:r/>
    </w:p>
    <w:p>
      <w:pPr>
        <w:ind w:firstLine="709"/>
        <w:spacing w:after="0"/>
      </w:pPr>
      <w:r>
        <w:t xml:space="preserve">4.8. Разработчик Систем самостоятельно определяет параметры использования Систем и вправе в одностороннем порядке их изменять. С актуальными параметрами Заказчик вправе ознакомиться в разделе справочной информации о комплекте в электронном виде.</w:t>
      </w:r>
      <w:r/>
    </w:p>
    <w:p>
      <w:pPr>
        <w:ind w:firstLine="709"/>
        <w:spacing w:after="0"/>
      </w:pPr>
      <w:r>
        <w:t xml:space="preserve">4.9. </w:t>
      </w:r>
      <w:r>
        <w:t xml:space="preserve">Все расходы, связанные с обеспечением достаточного для оказания текущих услуг трафика, оплачиваются Заказчиком за свой счет. Работоспособность компьютерного, телекоммуникационного оборудования Заказчика и каналов связи Заказчик обеспечивает самостоятельно.</w:t>
      </w:r>
      <w:r/>
    </w:p>
    <w:p>
      <w:pPr>
        <w:ind w:firstLine="709"/>
        <w:spacing w:after="0"/>
      </w:pPr>
      <w:r>
        <w:t xml:space="preserve">4.10. Исполнитель не несет ответственности за невозможность исполнения своих обязательств перед Заказчи</w:t>
      </w:r>
      <w:r>
        <w:t xml:space="preserve">ком по причине неполадок в работе компьютерного, телекоммуникационного оборудования или каналов связи Заказчика и/или третьих лиц (в том числе оборудования оператора, предоставляющего Заказчику услуги связи), а также в иных согласованных Сторонами случаях.</w:t>
      </w:r>
      <w:r/>
    </w:p>
    <w:p>
      <w:pPr>
        <w:ind w:firstLine="709"/>
        <w:spacing w:after="0"/>
      </w:pPr>
      <w:r>
        <w:t xml:space="preserve">4.11. Нарушениями порядка использования экземпляров Систем признаются случаи:</w:t>
      </w:r>
      <w:r/>
    </w:p>
    <w:p>
      <w:pPr>
        <w:ind w:firstLine="709"/>
        <w:spacing w:after="0"/>
      </w:pPr>
      <w:r>
        <w:t xml:space="preserve">4.11.1. внесение Заказчиком изменений в средства программной защиты Системы, приводящих к ее декомпилированию или модификации; </w:t>
      </w:r>
      <w:r/>
    </w:p>
    <w:p>
      <w:pPr>
        <w:ind w:firstLine="709"/>
        <w:spacing w:after="0"/>
      </w:pPr>
      <w:r>
        <w:t xml:space="preserve">4.11.2. изготовление, воспроизведение, распространение (любым способом) Заказчиком контрафактных экземпляров Систем.</w:t>
      </w:r>
      <w:r/>
    </w:p>
    <w:p>
      <w:pPr>
        <w:ind w:firstLine="709"/>
        <w:spacing w:after="0"/>
      </w:pPr>
      <w:r>
        <w:t xml:space="preserve">4.12. В случае если у Заказчика возникнут обоснованные претензии к Системе в част</w:t>
      </w:r>
      <w:r>
        <w:t xml:space="preserve">ях качества включенной в нее информации и/или некорректной работы программных средств и/или иной предоставленной информации и материалов, подготовленных Исполнителем с использованием экземпляра Системы, Исполнитель обязуется рассмотреть Претензию Заказчика</w:t>
      </w:r>
      <w:r>
        <w:t xml:space="preserve"> </w:t>
      </w:r>
      <w:r>
        <w:t xml:space="preserve">в течение 15 (Пятнадцати) дней с момента ее получения. Претензии принимаются Исполнителем только в </w:t>
      </w:r>
      <w:r>
        <w:t xml:space="preserve">период действия переданного сертификата</w:t>
      </w:r>
      <w:r>
        <w:t xml:space="preserve">. В случае признания </w:t>
      </w:r>
      <w:r>
        <w:t xml:space="preserve">Претензии</w:t>
      </w:r>
      <w:r>
        <w:t xml:space="preserve"> обоснованной Исполнитель обязан устранить недостатки в разумный срок. В случае </w:t>
      </w:r>
      <w:r>
        <w:t xml:space="preserve">неустранения</w:t>
      </w:r>
      <w:r>
        <w:t xml:space="preserve"> недостатков в указанный срок Заказчик будет вправе потребовать выплаты исключитель</w:t>
      </w:r>
      <w:r>
        <w:t xml:space="preserve">ной неустойки (штрафа) в размере, не превышающем стоимости одного месяца оказания услуг с использованием соответствующего экземпляра Системы, и/или досрочного расторжения настоящего Договора путем составления дополнительной Претензии. Исполнитель обязуется</w:t>
      </w:r>
      <w:r>
        <w:t xml:space="preserve"> </w:t>
      </w:r>
      <w:r>
        <w:t xml:space="preserve">в пятнадцатидневный срок со дня получения дополнительной Претензии письменно ответить на нее. В случае признания </w:t>
      </w:r>
      <w:r>
        <w:t xml:space="preserve">дополнительной Претензии Заказчика обоснованной Исполнитель обязан</w:t>
      </w:r>
      <w:r>
        <w:t xml:space="preserve"> </w:t>
      </w:r>
      <w:r>
        <w:t xml:space="preserve">в зависимости от требований Заказчика перечислить Заказчику исключительную неустойку (штраф).</w:t>
      </w:r>
      <w:r/>
    </w:p>
    <w:p>
      <w:pPr>
        <w:ind w:firstLine="709"/>
        <w:spacing w:after="0"/>
        <w:rPr>
          <w:b/>
        </w:rPr>
      </w:pPr>
      <w:r>
        <w:rPr>
          <w:b/>
        </w:rPr>
        <w:t xml:space="preserve">5. Требования к качеству услуг</w:t>
      </w:r>
      <w:r>
        <w:rPr>
          <w:b/>
        </w:rPr>
      </w:r>
      <w:r>
        <w:rPr>
          <w:b/>
        </w:rPr>
      </w:r>
    </w:p>
    <w:p>
      <w:pPr>
        <w:ind w:firstLine="720"/>
        <w:spacing w:after="0"/>
        <w:tabs>
          <w:tab w:val="left" w:pos="1080" w:leader="none"/>
        </w:tabs>
      </w:pPr>
      <w:r>
        <w:t xml:space="preserve">5.1.</w:t>
      </w:r>
      <w:r>
        <w:tab/>
        <w:t xml:space="preserve">Исполнитель обязан обеспечить взаимодействие и совместимость услуг</w:t>
      </w:r>
      <w:r>
        <w:t xml:space="preserve"> </w:t>
      </w:r>
      <w:r>
        <w:t xml:space="preserve">в рамках переданного сертификата </w:t>
      </w:r>
      <w:r>
        <w:t xml:space="preserve">по адаптации и сопровождению с:</w:t>
      </w:r>
      <w:r/>
    </w:p>
    <w:p>
      <w:pPr>
        <w:ind w:firstLine="720"/>
        <w:spacing w:after="0"/>
        <w:tabs>
          <w:tab w:val="left" w:pos="1080" w:leader="none"/>
        </w:tabs>
      </w:pPr>
      <w:r>
        <w:t xml:space="preserve">5.1.1.</w:t>
      </w:r>
      <w:r>
        <w:tab/>
        <w:t xml:space="preserve">установленными у Заказчика экземплярами Систем </w:t>
      </w:r>
      <w:r>
        <w:t xml:space="preserve">КонсультантПлюс</w:t>
      </w:r>
      <w:r>
        <w:t xml:space="preserve"> (в том числе установленной на электронном устройстве Заказчика специальной копией Системы </w:t>
      </w:r>
      <w:r>
        <w:t xml:space="preserve">КонсультантПлюс</w:t>
      </w:r>
      <w:r>
        <w:t xml:space="preserve">);</w:t>
      </w:r>
      <w:r/>
    </w:p>
    <w:p>
      <w:pPr>
        <w:ind w:firstLine="720"/>
        <w:spacing w:after="0"/>
        <w:tabs>
          <w:tab w:val="left" w:pos="1080" w:leader="none"/>
        </w:tabs>
      </w:pPr>
      <w:r>
        <w:t xml:space="preserve">5.1.2.</w:t>
      </w:r>
      <w:r>
        <w:tab/>
        <w:t xml:space="preserve">внутренними информационными ресурсами Заказчика, ранее самостоятельно подготовленными им с использованием технологий </w:t>
      </w:r>
      <w:r>
        <w:t xml:space="preserve">КонсультантПлюс</w:t>
      </w:r>
      <w:r>
        <w:t xml:space="preserve">, в том числе с:</w:t>
      </w:r>
      <w:r/>
    </w:p>
    <w:p>
      <w:pPr>
        <w:ind w:firstLine="720"/>
        <w:spacing w:after="0"/>
        <w:tabs>
          <w:tab w:val="left" w:pos="1080" w:leader="none"/>
        </w:tabs>
      </w:pPr>
      <w:r>
        <w:t xml:space="preserve">•</w:t>
      </w:r>
      <w:r>
        <w:tab/>
        <w:t xml:space="preserve">подборками документов Заказчика;</w:t>
      </w:r>
      <w:r/>
    </w:p>
    <w:p>
      <w:pPr>
        <w:ind w:firstLine="720"/>
        <w:spacing w:after="0"/>
        <w:tabs>
          <w:tab w:val="left" w:pos="1080" w:leader="none"/>
        </w:tabs>
      </w:pPr>
      <w:r>
        <w:t xml:space="preserve">•</w:t>
      </w:r>
      <w:r>
        <w:tab/>
        <w:t xml:space="preserve">перечнями документов «на контроле»;</w:t>
      </w:r>
      <w:r/>
    </w:p>
    <w:p>
      <w:pPr>
        <w:ind w:firstLine="720"/>
        <w:spacing w:after="0"/>
        <w:tabs>
          <w:tab w:val="left" w:pos="1080" w:leader="none"/>
        </w:tabs>
      </w:pPr>
      <w:r>
        <w:t xml:space="preserve">•</w:t>
      </w:r>
      <w:r>
        <w:tab/>
        <w:t xml:space="preserve">комментариями и закладками Заказчика в текстах документов Систем </w:t>
      </w:r>
      <w:r>
        <w:t xml:space="preserve">КонсультантПлюс</w:t>
      </w:r>
      <w:r>
        <w:t xml:space="preserve">; </w:t>
      </w:r>
      <w:r/>
    </w:p>
    <w:p>
      <w:pPr>
        <w:ind w:firstLine="720"/>
        <w:spacing w:after="0"/>
        <w:tabs>
          <w:tab w:val="left" w:pos="1080" w:leader="none"/>
        </w:tabs>
      </w:pPr>
      <w:r>
        <w:t xml:space="preserve">•</w:t>
      </w:r>
      <w:r>
        <w:tab/>
        <w:t xml:space="preserve">технологическими взаимосвязями собственных документов Заказчика (в том числе шаблонов/типовых форм/образцов) с актуализируемыми Системами </w:t>
      </w:r>
      <w:r>
        <w:t xml:space="preserve">КонсультантПлюс</w:t>
      </w:r>
      <w:r>
        <w:t xml:space="preserve">. </w:t>
      </w:r>
      <w:r/>
    </w:p>
    <w:p>
      <w:pPr>
        <w:ind w:firstLine="720"/>
        <w:spacing w:after="0"/>
        <w:tabs>
          <w:tab w:val="left" w:pos="1080" w:leader="none"/>
        </w:tabs>
      </w:pPr>
      <w:r>
        <w:t xml:space="preserve">5.2. Исполнитель обязан предоставить Заказчику документы, подтверждающие наличие</w:t>
      </w:r>
      <w:r>
        <w:t xml:space="preserve"> </w:t>
      </w:r>
      <w:r>
        <w:t xml:space="preserve">у Исполнителя  необходимых прав на использование технологий и иных резуль</w:t>
      </w:r>
      <w:r>
        <w:t xml:space="preserve">татов интеллектуальной деятельности, в частности, копию Лицензионного соглашения (или письмо правообладателя, или иные документы), подтверждающего, что специальное программное обеспечение, используемое исполнителем для оказания Заказчику услуг по адаптации</w:t>
      </w:r>
      <w:r>
        <w:t xml:space="preserve"> </w:t>
      </w:r>
      <w:r>
        <w:t xml:space="preserve">и сопровождению, полностью совместимо с установленными у Заказчика экземплярами Систем </w:t>
      </w:r>
      <w:r>
        <w:t xml:space="preserve">КонсультантПлюс</w:t>
      </w:r>
      <w:r>
        <w:t xml:space="preserve"> и с указанными выше внутренними информационными ресурсами Заказчика.</w:t>
      </w:r>
      <w:r/>
    </w:p>
    <w:p>
      <w:pPr>
        <w:ind w:firstLine="720"/>
        <w:spacing w:after="0"/>
        <w:tabs>
          <w:tab w:val="left" w:pos="1080" w:leader="none"/>
        </w:tabs>
      </w:pPr>
      <w:r>
        <w:t xml:space="preserve">5.3. Исполнит</w:t>
      </w:r>
      <w:r>
        <w:t xml:space="preserve">ель обязуется предоставлять только достоверные сведения и подтверждает, что его предложение об объекте закупки является достоверной информацией о совместимости оказываемых услуг по адаптации и сопровождению с установленными у Заказчика экземплярами Систем </w:t>
      </w:r>
      <w:r>
        <w:t xml:space="preserve">КонсультантПлюс</w:t>
      </w:r>
      <w:r>
        <w:t xml:space="preserve"> на основе специального лицензионного программного обеспечения, обеспечивающего такую совместимость, а также о возможности оказания указанных услуг.</w:t>
      </w:r>
      <w:r/>
    </w:p>
    <w:p>
      <w:pPr>
        <w:ind w:firstLine="284"/>
        <w:spacing w:after="0"/>
        <w:tabs>
          <w:tab w:val="left" w:pos="1080" w:leader="none"/>
        </w:tabs>
        <w:rPr>
          <w:sz w:val="22"/>
          <w:szCs w:val="22"/>
          <w:lang w:eastAsia="en-US"/>
        </w:rPr>
      </w:pPr>
      <w:r>
        <w:rPr>
          <w:sz w:val="22"/>
          <w:szCs w:val="22"/>
          <w:lang w:eastAsia="en-US"/>
        </w:rPr>
      </w:r>
      <w:r>
        <w:rPr>
          <w:sz w:val="22"/>
          <w:szCs w:val="22"/>
          <w:lang w:eastAsia="en-US"/>
        </w:rPr>
      </w:r>
      <w:r>
        <w:rPr>
          <w:sz w:val="22"/>
          <w:szCs w:val="22"/>
          <w:lang w:eastAsia="en-US"/>
        </w:rPr>
      </w:r>
    </w:p>
    <w:p>
      <w:pPr>
        <w:ind w:firstLine="284"/>
        <w:spacing w:after="0"/>
        <w:tabs>
          <w:tab w:val="left" w:pos="1080" w:leader="none"/>
        </w:tabs>
        <w:rPr>
          <w:sz w:val="22"/>
          <w:szCs w:val="22"/>
          <w:lang w:eastAsia="en-US"/>
        </w:rPr>
      </w:pPr>
      <w:r>
        <w:rPr>
          <w:sz w:val="22"/>
          <w:szCs w:val="22"/>
          <w:lang w:eastAsia="en-US"/>
        </w:rPr>
      </w:r>
      <w:r>
        <w:rPr>
          <w:sz w:val="22"/>
          <w:szCs w:val="22"/>
          <w:lang w:eastAsia="en-US"/>
        </w:rPr>
      </w:r>
      <w:r>
        <w:rPr>
          <w:sz w:val="22"/>
          <w:szCs w:val="22"/>
          <w:lang w:eastAsia="en-US"/>
        </w:rPr>
      </w:r>
    </w:p>
    <w:p>
      <w:pPr>
        <w:ind w:firstLine="284"/>
        <w:spacing w:after="0"/>
        <w:tabs>
          <w:tab w:val="left" w:pos="1080" w:leader="none"/>
        </w:tabs>
        <w:rPr>
          <w:sz w:val="22"/>
          <w:szCs w:val="22"/>
          <w:lang w:eastAsia="en-US"/>
        </w:rPr>
      </w:pPr>
      <w:r>
        <w:rPr>
          <w:sz w:val="22"/>
          <w:szCs w:val="22"/>
          <w:lang w:eastAsia="en-US"/>
        </w:rPr>
      </w:r>
      <w:r>
        <w:rPr>
          <w:sz w:val="22"/>
          <w:szCs w:val="22"/>
          <w:lang w:eastAsia="en-US"/>
        </w:rPr>
      </w:r>
      <w:r>
        <w:rPr>
          <w:sz w:val="22"/>
          <w:szCs w:val="22"/>
          <w:lang w:eastAsia="en-US"/>
        </w:rPr>
      </w:r>
    </w:p>
    <w:tbl>
      <w:tblPr>
        <w:tblW w:w="10578" w:type="dxa"/>
        <w:tblInd w:w="-108" w:type="dxa"/>
        <w:tblLayout w:type="fixed"/>
        <w:tblLook w:val="04A0" w:firstRow="1" w:lastRow="0" w:firstColumn="1" w:lastColumn="0" w:noHBand="0" w:noVBand="1"/>
      </w:tblPr>
      <w:tblGrid>
        <w:gridCol w:w="4752"/>
        <w:gridCol w:w="817"/>
        <w:gridCol w:w="5009"/>
      </w:tblGrid>
      <w:tr>
        <w:tblPrEx/>
        <w:trPr/>
        <w:tc>
          <w:tcPr>
            <w:tcW w:w="4752" w:type="dxa"/>
            <w:textDirection w:val="lrTb"/>
            <w:noWrap w:val="false"/>
          </w:tcPr>
          <w:p>
            <w:pPr>
              <w:jc w:val="left"/>
              <w:spacing w:after="0"/>
              <w:rPr>
                <w:b/>
                <w:color w:val="0d0d0d"/>
              </w:rPr>
            </w:pPr>
            <w:r>
              <w:rPr>
                <w:b/>
                <w:color w:val="0d0d0d"/>
              </w:rPr>
              <w:t xml:space="preserve">ЗАКАЗЧИК:</w:t>
            </w:r>
            <w:r>
              <w:rPr>
                <w:b/>
                <w:color w:val="0d0d0d"/>
              </w:rPr>
            </w:r>
            <w:r>
              <w:rPr>
                <w:b/>
                <w:color w:val="0d0d0d"/>
              </w:rPr>
            </w:r>
          </w:p>
          <w:p>
            <w:pPr>
              <w:jc w:val="left"/>
              <w:spacing w:after="0"/>
              <w:rPr>
                <w:color w:val="0d0d0d"/>
              </w:rPr>
            </w:pPr>
            <w:r>
              <w:rPr>
                <w:color w:val="0d0d0d"/>
              </w:rPr>
              <w:t xml:space="preserve">Директор</w:t>
            </w:r>
            <w:r>
              <w:rPr>
                <w:color w:val="0d0d0d"/>
              </w:rPr>
            </w:r>
            <w:r>
              <w:rPr>
                <w:color w:val="0d0d0d"/>
              </w:rPr>
            </w:r>
          </w:p>
          <w:p>
            <w:pPr>
              <w:jc w:val="left"/>
              <w:spacing w:after="0"/>
              <w:rPr>
                <w:color w:val="0d0d0d"/>
              </w:rPr>
            </w:pPr>
            <w:r>
              <w:rPr>
                <w:color w:val="0d0d0d"/>
              </w:rPr>
            </w:r>
            <w:r>
              <w:rPr>
                <w:color w:val="0d0d0d"/>
              </w:rPr>
            </w:r>
            <w:r>
              <w:rPr>
                <w:color w:val="0d0d0d"/>
              </w:rPr>
            </w:r>
          </w:p>
          <w:p>
            <w:pPr>
              <w:jc w:val="left"/>
              <w:spacing w:after="0"/>
              <w:rPr>
                <w:color w:val="0d0d0d"/>
              </w:rPr>
            </w:pPr>
            <w:r>
              <w:rPr>
                <w:color w:val="0d0d0d"/>
              </w:rPr>
            </w:r>
            <w:r>
              <w:rPr>
                <w:color w:val="0d0d0d"/>
              </w:rPr>
            </w:r>
            <w:r>
              <w:rPr>
                <w:color w:val="0d0d0d"/>
              </w:rPr>
            </w:r>
          </w:p>
          <w:p>
            <w:pPr>
              <w:jc w:val="left"/>
              <w:spacing w:after="0"/>
              <w:rPr>
                <w:color w:val="0d0d0d"/>
              </w:rPr>
            </w:pPr>
            <w:r>
              <w:rPr>
                <w:color w:val="0d0d0d"/>
              </w:rPr>
              <w:t xml:space="preserve">________________/</w:t>
            </w:r>
            <w:r>
              <w:rPr>
                <w:color w:val="000000"/>
              </w:rPr>
              <w:t xml:space="preserve"> А.В. Кисляков</w:t>
            </w:r>
            <w:r>
              <w:rPr>
                <w:color w:val="0d0d0d"/>
              </w:rPr>
              <w:t xml:space="preserve"> </w:t>
            </w:r>
            <w:r>
              <w:rPr>
                <w:color w:val="0d0d0d"/>
              </w:rPr>
              <w:t xml:space="preserve">/</w:t>
            </w:r>
            <w:r>
              <w:rPr>
                <w:color w:val="0d0d0d"/>
              </w:rPr>
            </w:r>
            <w:r>
              <w:rPr>
                <w:color w:val="0d0d0d"/>
              </w:rPr>
            </w:r>
          </w:p>
          <w:p>
            <w:pPr>
              <w:jc w:val="left"/>
              <w:spacing w:after="0"/>
              <w:rPr>
                <w:color w:val="0d0d0d"/>
              </w:rPr>
            </w:pPr>
            <w:r>
              <w:rPr>
                <w:lang w:val="en-US"/>
              </w:rPr>
              <w:t xml:space="preserve">ЭЦП</w:t>
            </w:r>
            <w:r>
              <w:rPr>
                <w:color w:val="0d0d0d"/>
              </w:rPr>
            </w:r>
            <w:r>
              <w:rPr>
                <w:color w:val="0d0d0d"/>
              </w:rPr>
            </w:r>
          </w:p>
        </w:tc>
        <w:tc>
          <w:tcPr>
            <w:tcBorders>
              <w:left w:val="none" w:color="000000" w:sz="4" w:space="0"/>
            </w:tcBorders>
            <w:tcW w:w="817" w:type="dxa"/>
            <w:textDirection w:val="lrTb"/>
            <w:noWrap w:val="false"/>
          </w:tcPr>
          <w:p>
            <w:pPr>
              <w:jc w:val="left"/>
              <w:spacing w:after="0"/>
              <w:rPr>
                <w:color w:val="0d0d0d"/>
              </w:rPr>
            </w:pPr>
            <w:r>
              <w:rPr>
                <w:color w:val="0d0d0d"/>
              </w:rPr>
            </w:r>
            <w:r>
              <w:rPr>
                <w:color w:val="0d0d0d"/>
              </w:rPr>
            </w:r>
            <w:r>
              <w:rPr>
                <w:color w:val="0d0d0d"/>
              </w:rPr>
            </w:r>
          </w:p>
        </w:tc>
        <w:tc>
          <w:tcPr>
            <w:tcW w:w="5009" w:type="dxa"/>
            <w:textDirection w:val="lrTb"/>
            <w:noWrap w:val="false"/>
          </w:tcPr>
          <w:p>
            <w:pPr>
              <w:jc w:val="left"/>
              <w:spacing w:after="0"/>
              <w:rPr>
                <w:b/>
                <w:color w:val="0d0d0d"/>
              </w:rPr>
            </w:pPr>
            <w:r>
              <w:rPr>
                <w:b/>
                <w:color w:val="0d0d0d"/>
              </w:rPr>
              <w:t xml:space="preserve">ИСПОЛНИТЕЛЬ:</w:t>
            </w:r>
            <w:r>
              <w:rPr>
                <w:b/>
                <w:color w:val="0d0d0d"/>
              </w:rPr>
            </w:r>
            <w:r>
              <w:rPr>
                <w:b/>
                <w:color w:val="0d0d0d"/>
              </w:rPr>
            </w:r>
          </w:p>
          <w:p>
            <w:pPr>
              <w:jc w:val="left"/>
              <w:spacing w:after="0"/>
              <w:rPr>
                <w:color w:val="0d0d0d"/>
              </w:rPr>
            </w:pPr>
            <w:r>
              <w:rPr>
                <w:color w:val="0d0d0d"/>
              </w:rPr>
            </w:r>
            <w:r>
              <w:rPr>
                <w:color w:val="0d0d0d"/>
              </w:rPr>
            </w:r>
            <w:r>
              <w:rPr>
                <w:color w:val="0d0d0d"/>
              </w:rPr>
            </w:r>
          </w:p>
          <w:p>
            <w:pPr>
              <w:jc w:val="left"/>
              <w:spacing w:after="0"/>
              <w:rPr>
                <w:color w:val="0d0d0d"/>
              </w:rPr>
            </w:pPr>
            <w:r>
              <w:rPr>
                <w:color w:val="0d0d0d"/>
              </w:rPr>
            </w:r>
            <w:r>
              <w:rPr>
                <w:color w:val="0d0d0d"/>
              </w:rPr>
            </w:r>
            <w:r>
              <w:rPr>
                <w:color w:val="0d0d0d"/>
              </w:rPr>
            </w:r>
          </w:p>
          <w:p>
            <w:pPr>
              <w:jc w:val="left"/>
              <w:spacing w:after="0"/>
              <w:rPr>
                <w:color w:val="0d0d0d"/>
              </w:rPr>
            </w:pPr>
            <w:r>
              <w:rPr>
                <w:color w:val="0d0d0d"/>
              </w:rPr>
            </w:r>
            <w:r>
              <w:rPr>
                <w:color w:val="0d0d0d"/>
              </w:rPr>
            </w:r>
            <w:r>
              <w:rPr>
                <w:color w:val="0d0d0d"/>
              </w:rPr>
            </w:r>
          </w:p>
          <w:p>
            <w:pPr>
              <w:jc w:val="left"/>
              <w:spacing w:after="0"/>
              <w:rPr>
                <w:color w:val="0d0d0d"/>
              </w:rPr>
            </w:pPr>
            <w:r>
              <w:rPr>
                <w:color w:val="0d0d0d"/>
              </w:rPr>
              <w:t xml:space="preserve">__________________/</w:t>
            </w:r>
            <w:r>
              <w:rPr>
                <w:color w:val="0d0d0d"/>
              </w:rPr>
              <w:t xml:space="preserve">_______________</w:t>
            </w:r>
            <w:r>
              <w:rPr>
                <w:color w:val="0d0d0d"/>
              </w:rPr>
              <w:t xml:space="preserve">/</w:t>
            </w:r>
            <w:r>
              <w:rPr>
                <w:color w:val="0d0d0d"/>
              </w:rPr>
            </w:r>
            <w:r>
              <w:rPr>
                <w:color w:val="0d0d0d"/>
              </w:rPr>
            </w:r>
          </w:p>
          <w:p>
            <w:pPr>
              <w:jc w:val="left"/>
              <w:spacing w:after="0"/>
              <w:rPr>
                <w:color w:val="0d0d0d"/>
              </w:rPr>
            </w:pPr>
            <w:r>
              <w:rPr>
                <w:lang w:val="en-US"/>
              </w:rPr>
              <w:t xml:space="preserve">ЭЦП</w:t>
            </w:r>
            <w:r>
              <w:rPr>
                <w:color w:val="0d0d0d"/>
              </w:rPr>
            </w:r>
            <w:r>
              <w:rPr>
                <w:color w:val="0d0d0d"/>
              </w:rPr>
            </w:r>
          </w:p>
        </w:tc>
      </w:tr>
    </w:tbl>
    <w:p>
      <w:r/>
      <w:r/>
    </w:p>
    <w:p>
      <w:r/>
      <w:r/>
    </w:p>
    <w:p>
      <w:r/>
      <w:r/>
    </w:p>
    <w:p>
      <w:r/>
      <w:r/>
    </w:p>
    <w:p>
      <w:pPr>
        <w:ind w:left="6379"/>
        <w:jc w:val="right"/>
        <w:pageBreakBefore/>
        <w:spacing w:after="0"/>
        <w:tabs>
          <w:tab w:val="center" w:pos="8150" w:leader="none"/>
          <w:tab w:val="right" w:pos="9921" w:leader="none"/>
        </w:tabs>
        <w:rPr>
          <w:caps/>
          <w:color w:val="0d0d0d"/>
        </w:rPr>
      </w:pPr>
      <w:r>
        <w:rPr>
          <w:caps/>
          <w:color w:val="0d0d0d"/>
        </w:rPr>
        <w:t xml:space="preserve">П</w:t>
      </w:r>
      <w:r>
        <w:rPr>
          <w:color w:val="0d0d0d"/>
        </w:rPr>
        <w:t xml:space="preserve">риложение</w:t>
      </w:r>
      <w:r>
        <w:rPr>
          <w:caps/>
          <w:color w:val="0d0d0d"/>
        </w:rPr>
        <w:t xml:space="preserve"> № 2</w:t>
      </w:r>
      <w:r>
        <w:rPr>
          <w:caps/>
          <w:color w:val="0d0d0d"/>
        </w:rPr>
      </w:r>
      <w:r>
        <w:rPr>
          <w:caps/>
          <w:color w:val="0d0d0d"/>
        </w:rPr>
      </w:r>
    </w:p>
    <w:p>
      <w:pPr>
        <w:jc w:val="right"/>
        <w:spacing w:after="0"/>
        <w:rPr>
          <w:color w:val="0d0d0d"/>
        </w:rPr>
        <w:suppressLineNumbers/>
      </w:pPr>
      <w:r>
        <w:rPr>
          <w:color w:val="0d0d0d"/>
        </w:rPr>
        <w:t xml:space="preserve">к Контракту № ЕП/2</w:t>
      </w:r>
      <w:r>
        <w:rPr>
          <w:color w:val="0d0d0d"/>
        </w:rPr>
        <w:t xml:space="preserve">6_</w:t>
      </w:r>
      <w:r>
        <w:rPr>
          <w:color w:val="0d0d0d"/>
        </w:rPr>
      </w:r>
      <w:r>
        <w:rPr>
          <w:color w:val="0d0d0d"/>
        </w:rPr>
      </w:r>
    </w:p>
    <w:p>
      <w:pPr>
        <w:jc w:val="right"/>
        <w:spacing w:after="0"/>
        <w:rPr>
          <w:color w:val="0d0d0d"/>
        </w:rPr>
        <w:suppressLineNumbers/>
      </w:pPr>
      <w:r>
        <w:rPr>
          <w:color w:val="0d0d0d"/>
        </w:rPr>
        <w:t xml:space="preserve">от </w:t>
      </w:r>
      <w:r>
        <w:rPr>
          <w:color w:val="0d0d0d"/>
        </w:rPr>
        <w:t xml:space="preserve">«  </w:t>
      </w:r>
      <w:r>
        <w:rPr>
          <w:color w:val="0d0d0d"/>
        </w:rPr>
        <w:t xml:space="preserve">  » ___________ 2026</w:t>
      </w:r>
      <w:r>
        <w:rPr>
          <w:color w:val="0d0d0d"/>
        </w:rPr>
        <w:t xml:space="preserve"> г.</w:t>
      </w:r>
      <w:r>
        <w:rPr>
          <w:color w:val="0d0d0d"/>
        </w:rPr>
      </w:r>
      <w:r>
        <w:rPr>
          <w:color w:val="0d0d0d"/>
        </w:rPr>
      </w:r>
    </w:p>
    <w:p>
      <w:pPr>
        <w:jc w:val="right"/>
        <w:spacing w:after="0"/>
        <w:rPr>
          <w:rFonts w:eastAsia="Calibri"/>
          <w:lang w:eastAsia="en-US"/>
        </w:rPr>
        <w:suppressLineNumbers/>
      </w:pPr>
      <w:r>
        <w:rPr>
          <w:rFonts w:eastAsia="Calibri"/>
          <w:lang w:eastAsia="en-US"/>
        </w:rPr>
      </w:r>
      <w:r>
        <w:rPr>
          <w:rFonts w:eastAsia="Calibri"/>
          <w:lang w:eastAsia="en-US"/>
        </w:rPr>
      </w:r>
      <w:r>
        <w:rPr>
          <w:rFonts w:eastAsia="Calibri"/>
          <w:lang w:eastAsia="en-US"/>
        </w:rPr>
      </w:r>
    </w:p>
    <w:p>
      <w:pPr>
        <w:jc w:val="center"/>
        <w:spacing w:after="0"/>
        <w:rPr>
          <w:rFonts w:eastAsia="Calibri"/>
          <w:b/>
          <w:sz w:val="28"/>
          <w:szCs w:val="28"/>
          <w:lang w:eastAsia="en-US"/>
        </w:rPr>
        <w:suppressLineNumbers/>
      </w:pPr>
      <w:r>
        <w:rPr>
          <w:rFonts w:eastAsia="Calibri"/>
          <w:b/>
          <w:sz w:val="28"/>
          <w:szCs w:val="28"/>
          <w:lang w:eastAsia="en-US"/>
        </w:rPr>
      </w:r>
      <w:r>
        <w:rPr>
          <w:rFonts w:eastAsia="Calibri"/>
          <w:b/>
          <w:sz w:val="28"/>
          <w:szCs w:val="28"/>
          <w:lang w:eastAsia="en-US"/>
        </w:rPr>
      </w:r>
      <w:r>
        <w:rPr>
          <w:rFonts w:eastAsia="Calibri"/>
          <w:b/>
          <w:sz w:val="28"/>
          <w:szCs w:val="28"/>
          <w:lang w:eastAsia="en-US"/>
        </w:rPr>
      </w:r>
    </w:p>
    <w:p>
      <w:pPr>
        <w:jc w:val="center"/>
        <w:spacing w:after="0"/>
        <w:rPr>
          <w:rFonts w:eastAsia="Calibri"/>
          <w:b/>
          <w:lang w:eastAsia="en-US"/>
        </w:rPr>
        <w:suppressLineNumbers/>
      </w:pPr>
      <w:r>
        <w:rPr>
          <w:rFonts w:eastAsia="Calibri"/>
          <w:b/>
          <w:lang w:eastAsia="en-US"/>
        </w:rPr>
        <w:t xml:space="preserve">РАСШИФРОВКА ЦЕНЫ КОНТРАКТА</w:t>
      </w:r>
      <w:r>
        <w:rPr>
          <w:rFonts w:eastAsia="Calibri"/>
          <w:b/>
          <w:lang w:eastAsia="en-US"/>
        </w:rPr>
      </w:r>
      <w:r>
        <w:rPr>
          <w:rFonts w:eastAsia="Calibri"/>
          <w:b/>
          <w:lang w:eastAsia="en-US"/>
        </w:rPr>
      </w:r>
    </w:p>
    <w:p>
      <w:pPr>
        <w:jc w:val="center"/>
        <w:spacing w:after="0"/>
        <w:rPr>
          <w:b/>
        </w:rPr>
      </w:pPr>
      <w:r>
        <w:rPr>
          <w:b/>
        </w:rPr>
        <w:t xml:space="preserve">на оказание услуг по передаче сертификата на адаптацию и сопровождение </w:t>
      </w:r>
      <w:r>
        <w:rPr>
          <w:b/>
          <w:bCs/>
        </w:rPr>
        <w:t xml:space="preserve">экземпляров Систем </w:t>
      </w:r>
      <w:r>
        <w:rPr>
          <w:b/>
          <w:bCs/>
        </w:rPr>
        <w:t xml:space="preserve">КонсультантПлюс</w:t>
      </w:r>
      <w:r>
        <w:rPr>
          <w:b/>
        </w:rPr>
        <w:t xml:space="preserve"> </w:t>
      </w:r>
      <w:r>
        <w:rPr>
          <w:b/>
        </w:rPr>
      </w:r>
      <w:r>
        <w:rPr>
          <w:b/>
        </w:rPr>
      </w:r>
    </w:p>
    <w:p>
      <w:pPr>
        <w:jc w:val="center"/>
        <w:spacing w:after="0"/>
        <w:rPr>
          <w:b/>
          <w:bCs/>
        </w:rPr>
      </w:pPr>
      <w:r>
        <w:rPr>
          <w:b/>
          <w:bCs/>
        </w:rPr>
      </w:r>
      <w:r>
        <w:rPr>
          <w:b/>
          <w:bCs/>
        </w:rPr>
      </w:r>
      <w:r>
        <w:rPr>
          <w:b/>
          <w:bCs/>
        </w:rPr>
      </w:r>
    </w:p>
    <w:tbl>
      <w:tblPr>
        <w:tblW w:w="1027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0A0" w:firstRow="1" w:lastRow="0" w:firstColumn="1" w:lastColumn="0" w:noHBand="0" w:noVBand="0"/>
      </w:tblPr>
      <w:tblGrid>
        <w:gridCol w:w="517"/>
        <w:gridCol w:w="5994"/>
        <w:gridCol w:w="567"/>
        <w:gridCol w:w="796"/>
        <w:gridCol w:w="1188"/>
        <w:gridCol w:w="1213"/>
      </w:tblGrid>
      <w:tr>
        <w:tblPrEx/>
        <w:trPr/>
        <w:tc>
          <w:tcPr>
            <w:tcW w:w="517" w:type="dxa"/>
            <w:textDirection w:val="lrTb"/>
            <w:noWrap w:val="false"/>
          </w:tcPr>
          <w:p>
            <w:pPr>
              <w:jc w:val="center"/>
              <w:spacing w:after="0"/>
              <w:rPr>
                <w:bCs/>
                <w:sz w:val="20"/>
                <w:szCs w:val="20"/>
              </w:rPr>
            </w:pPr>
            <w:r>
              <w:rPr>
                <w:b/>
                <w:bCs/>
                <w:sz w:val="20"/>
                <w:szCs w:val="20"/>
              </w:rPr>
              <w:t xml:space="preserve">№</w:t>
            </w:r>
            <w:r>
              <w:rPr>
                <w:bCs/>
                <w:sz w:val="20"/>
                <w:szCs w:val="20"/>
              </w:rPr>
            </w:r>
            <w:r>
              <w:rPr>
                <w:bCs/>
                <w:sz w:val="20"/>
                <w:szCs w:val="20"/>
              </w:rPr>
            </w:r>
          </w:p>
          <w:p>
            <w:pPr>
              <w:jc w:val="center"/>
              <w:spacing w:after="0"/>
              <w:rPr>
                <w:bCs/>
                <w:sz w:val="20"/>
                <w:szCs w:val="20"/>
              </w:rPr>
            </w:pPr>
            <w:r>
              <w:rPr>
                <w:b/>
                <w:bCs/>
                <w:sz w:val="20"/>
                <w:szCs w:val="20"/>
              </w:rPr>
              <w:t xml:space="preserve">п/п</w:t>
            </w:r>
            <w:r>
              <w:rPr>
                <w:bCs/>
                <w:sz w:val="20"/>
                <w:szCs w:val="20"/>
              </w:rPr>
            </w:r>
            <w:r>
              <w:rPr>
                <w:bCs/>
                <w:sz w:val="20"/>
                <w:szCs w:val="20"/>
              </w:rPr>
            </w:r>
          </w:p>
        </w:tc>
        <w:tc>
          <w:tcPr>
            <w:tcW w:w="5994" w:type="dxa"/>
            <w:textDirection w:val="lrTb"/>
            <w:noWrap/>
          </w:tcPr>
          <w:p>
            <w:pPr>
              <w:ind w:left="127"/>
              <w:jc w:val="center"/>
              <w:spacing w:after="0"/>
              <w:rPr>
                <w:bCs/>
                <w:sz w:val="20"/>
                <w:szCs w:val="20"/>
              </w:rPr>
            </w:pPr>
            <w:r>
              <w:rPr>
                <w:b/>
                <w:bCs/>
                <w:sz w:val="20"/>
                <w:szCs w:val="20"/>
              </w:rPr>
              <w:t xml:space="preserve">Наименование</w:t>
            </w:r>
            <w:r>
              <w:rPr>
                <w:bCs/>
                <w:sz w:val="20"/>
                <w:szCs w:val="20"/>
              </w:rPr>
            </w:r>
            <w:r>
              <w:rPr>
                <w:bCs/>
                <w:sz w:val="20"/>
                <w:szCs w:val="20"/>
              </w:rPr>
            </w:r>
          </w:p>
        </w:tc>
        <w:tc>
          <w:tcPr>
            <w:tcW w:w="567" w:type="dxa"/>
            <w:textDirection w:val="lrTb"/>
            <w:noWrap w:val="false"/>
          </w:tcPr>
          <w:p>
            <w:pPr>
              <w:ind w:left="1"/>
              <w:jc w:val="center"/>
              <w:spacing w:after="0"/>
              <w:rPr>
                <w:bCs/>
                <w:sz w:val="20"/>
                <w:szCs w:val="20"/>
              </w:rPr>
            </w:pPr>
            <w:r>
              <w:rPr>
                <w:b/>
                <w:bCs/>
                <w:sz w:val="20"/>
                <w:szCs w:val="20"/>
              </w:rPr>
              <w:t xml:space="preserve">Кол-во</w:t>
            </w:r>
            <w:r>
              <w:rPr>
                <w:bCs/>
                <w:sz w:val="20"/>
                <w:szCs w:val="20"/>
              </w:rPr>
            </w:r>
            <w:r>
              <w:rPr>
                <w:bCs/>
                <w:sz w:val="20"/>
                <w:szCs w:val="20"/>
              </w:rPr>
            </w:r>
          </w:p>
        </w:tc>
        <w:tc>
          <w:tcPr>
            <w:tcW w:w="796" w:type="dxa"/>
            <w:textDirection w:val="lrTb"/>
            <w:noWrap w:val="false"/>
          </w:tcPr>
          <w:p>
            <w:pPr>
              <w:ind w:left="127"/>
              <w:jc w:val="center"/>
              <w:spacing w:after="0"/>
              <w:rPr>
                <w:bCs/>
                <w:sz w:val="20"/>
                <w:szCs w:val="20"/>
              </w:rPr>
            </w:pPr>
            <w:r>
              <w:rPr>
                <w:b/>
                <w:bCs/>
                <w:sz w:val="20"/>
                <w:szCs w:val="20"/>
              </w:rPr>
              <w:t xml:space="preserve">Ед. изм.</w:t>
            </w:r>
            <w:r>
              <w:rPr>
                <w:bCs/>
                <w:sz w:val="20"/>
                <w:szCs w:val="20"/>
              </w:rPr>
            </w:r>
            <w:r>
              <w:rPr>
                <w:bCs/>
                <w:sz w:val="20"/>
                <w:szCs w:val="20"/>
              </w:rPr>
            </w:r>
          </w:p>
        </w:tc>
        <w:tc>
          <w:tcPr>
            <w:tcW w:w="1188" w:type="dxa"/>
            <w:textDirection w:val="lrTb"/>
            <w:noWrap w:val="false"/>
          </w:tcPr>
          <w:p>
            <w:pPr>
              <w:jc w:val="center"/>
              <w:rPr>
                <w:b/>
                <w:bCs/>
                <w:sz w:val="20"/>
                <w:szCs w:val="20"/>
              </w:rPr>
            </w:pPr>
            <w:r>
              <w:rPr>
                <w:b/>
                <w:bCs/>
                <w:sz w:val="20"/>
                <w:szCs w:val="20"/>
              </w:rPr>
              <w:t xml:space="preserve">Цена</w:t>
            </w:r>
            <w:r>
              <w:rPr>
                <w:b/>
                <w:bCs/>
                <w:sz w:val="20"/>
                <w:szCs w:val="20"/>
              </w:rPr>
            </w:r>
            <w:r>
              <w:rPr>
                <w:b/>
                <w:bCs/>
                <w:sz w:val="20"/>
                <w:szCs w:val="20"/>
              </w:rPr>
            </w:r>
          </w:p>
        </w:tc>
        <w:tc>
          <w:tcPr>
            <w:tcW w:w="1213" w:type="dxa"/>
            <w:textDirection w:val="lrTb"/>
            <w:noWrap w:val="false"/>
          </w:tcPr>
          <w:p>
            <w:pPr>
              <w:jc w:val="center"/>
              <w:rPr>
                <w:b/>
                <w:bCs/>
                <w:sz w:val="20"/>
                <w:szCs w:val="20"/>
              </w:rPr>
            </w:pPr>
            <w:r>
              <w:rPr>
                <w:b/>
                <w:bCs/>
                <w:sz w:val="20"/>
                <w:szCs w:val="20"/>
              </w:rPr>
              <w:t xml:space="preserve">Сумма</w:t>
            </w:r>
            <w:r>
              <w:rPr>
                <w:b/>
                <w:bCs/>
                <w:sz w:val="20"/>
                <w:szCs w:val="20"/>
              </w:rPr>
            </w:r>
            <w:r>
              <w:rPr>
                <w:b/>
                <w:bCs/>
                <w:sz w:val="20"/>
                <w:szCs w:val="20"/>
              </w:rPr>
            </w:r>
          </w:p>
        </w:tc>
      </w:tr>
      <w:tr>
        <w:tblPrEx/>
        <w:trPr/>
        <w:tc>
          <w:tcPr>
            <w:tcW w:w="517" w:type="dxa"/>
            <w:textDirection w:val="lrTb"/>
            <w:noWrap w:val="false"/>
          </w:tcPr>
          <w:p>
            <w:pPr>
              <w:jc w:val="center"/>
              <w:spacing w:after="0"/>
              <w:rPr>
                <w:rFonts w:eastAsia="Arial Unicode MS"/>
                <w:bCs/>
                <w:sz w:val="20"/>
                <w:szCs w:val="20"/>
              </w:rPr>
            </w:pPr>
            <w:r>
              <w:rPr>
                <w:rFonts w:eastAsia="Arial Unicode MS"/>
                <w:bCs/>
                <w:sz w:val="20"/>
                <w:szCs w:val="20"/>
              </w:rPr>
              <w:t xml:space="preserve">1</w:t>
            </w:r>
            <w:r>
              <w:rPr>
                <w:rFonts w:eastAsia="Arial Unicode MS"/>
                <w:bCs/>
                <w:sz w:val="20"/>
                <w:szCs w:val="20"/>
              </w:rPr>
            </w:r>
            <w:r>
              <w:rPr>
                <w:rFonts w:eastAsia="Arial Unicode MS"/>
                <w:bCs/>
                <w:sz w:val="20"/>
                <w:szCs w:val="20"/>
              </w:rPr>
            </w:r>
          </w:p>
        </w:tc>
        <w:tc>
          <w:tcPr>
            <w:tcW w:w="5994" w:type="dxa"/>
            <w:textDirection w:val="lrTb"/>
            <w:noWrap/>
          </w:tcPr>
          <w:p>
            <w:pPr>
              <w:ind w:right="75"/>
              <w:jc w:val="left"/>
              <w:spacing w:after="0"/>
            </w:pPr>
            <w:r>
              <w:rPr>
                <w:sz w:val="20"/>
                <w:szCs w:val="20"/>
              </w:rPr>
              <w:t xml:space="preserve">Услуги по передаче сертификата на адаптацию и сопровождение экземпляров Систем КонсультантПлюс на 12 месяцев (с 01.10.2026 по 30.09.2027 (включительно)) (10 одновременных доступов):</w:t>
            </w:r>
            <w:r>
              <w:rPr>
                <w:sz w:val="20"/>
                <w:szCs w:val="20"/>
              </w:rPr>
            </w:r>
            <w:r/>
          </w:p>
          <w:p>
            <w:pPr>
              <w:ind w:right="75"/>
              <w:jc w:val="left"/>
              <w:spacing w:after="0"/>
            </w:pPr>
            <w:r>
              <w:rPr>
                <w:sz w:val="20"/>
                <w:szCs w:val="20"/>
              </w:rPr>
              <w:t xml:space="preserve">СС КонсультантПлюс: Консультации для бюджетных организаций (ОД10);</w:t>
            </w:r>
            <w:r>
              <w:rPr>
                <w:sz w:val="20"/>
                <w:szCs w:val="20"/>
              </w:rPr>
            </w:r>
            <w:r/>
          </w:p>
          <w:p>
            <w:pPr>
              <w:ind w:right="75"/>
              <w:jc w:val="left"/>
              <w:spacing w:after="0"/>
            </w:pPr>
            <w:r>
              <w:rPr>
                <w:sz w:val="20"/>
                <w:szCs w:val="20"/>
              </w:rPr>
              <w:t xml:space="preserve">СС КонсультантАрбитраж: Арбитражные суды всех округов (ОД10);</w:t>
            </w:r>
            <w:r>
              <w:rPr>
                <w:sz w:val="20"/>
                <w:szCs w:val="20"/>
              </w:rPr>
            </w:r>
            <w:r/>
          </w:p>
          <w:p>
            <w:pPr>
              <w:ind w:right="75"/>
              <w:jc w:val="left"/>
              <w:spacing w:after="0"/>
            </w:pPr>
            <w:r>
              <w:rPr>
                <w:sz w:val="20"/>
                <w:szCs w:val="20"/>
              </w:rPr>
              <w:t xml:space="preserve">СПС КонсультантПлюс: Московский выпуск (ОД10);</w:t>
            </w:r>
            <w:r>
              <w:rPr>
                <w:sz w:val="20"/>
                <w:szCs w:val="20"/>
              </w:rPr>
            </w:r>
            <w:r/>
          </w:p>
          <w:p>
            <w:pPr>
              <w:ind w:right="75"/>
              <w:jc w:val="left"/>
              <w:spacing w:after="0"/>
            </w:pPr>
            <w:r>
              <w:rPr>
                <w:sz w:val="20"/>
                <w:szCs w:val="20"/>
              </w:rPr>
              <w:t xml:space="preserve">СПС Консультант Юрист: Версия Проф (ОД10);</w:t>
            </w:r>
            <w:r>
              <w:rPr>
                <w:sz w:val="20"/>
                <w:szCs w:val="20"/>
              </w:rPr>
            </w:r>
            <w:r/>
          </w:p>
          <w:p>
            <w:pPr>
              <w:ind w:right="75"/>
              <w:jc w:val="left"/>
              <w:spacing w:after="0"/>
            </w:pPr>
            <w:r>
              <w:rPr>
                <w:sz w:val="20"/>
                <w:szCs w:val="20"/>
              </w:rPr>
              <w:t xml:space="preserve">СС КонсультантАрбитраж: Все апелляционные суды (ОД10);</w:t>
            </w:r>
            <w:r>
              <w:rPr>
                <w:sz w:val="20"/>
                <w:szCs w:val="20"/>
              </w:rPr>
            </w:r>
            <w:r/>
          </w:p>
          <w:p>
            <w:pPr>
              <w:ind w:right="75"/>
              <w:jc w:val="left"/>
              <w:spacing w:after="0"/>
            </w:pPr>
            <w:r>
              <w:rPr>
                <w:sz w:val="20"/>
                <w:szCs w:val="20"/>
              </w:rPr>
              <w:t xml:space="preserve">СС КонсультантПлюс: Технические нормы (ОД10);</w:t>
            </w:r>
            <w:r>
              <w:rPr>
                <w:sz w:val="20"/>
                <w:szCs w:val="20"/>
              </w:rPr>
            </w:r>
            <w:r/>
          </w:p>
          <w:p>
            <w:pPr>
              <w:ind w:right="75"/>
              <w:jc w:val="left"/>
              <w:spacing w:after="0"/>
            </w:pPr>
            <w:r>
              <w:rPr>
                <w:sz w:val="20"/>
                <w:szCs w:val="20"/>
              </w:rPr>
              <w:t xml:space="preserve">СС Изменения в регулировании госзакупок (ОД10);</w:t>
            </w:r>
            <w:r>
              <w:rPr>
                <w:sz w:val="20"/>
                <w:szCs w:val="20"/>
              </w:rPr>
            </w:r>
            <w:r/>
          </w:p>
          <w:p>
            <w:pPr>
              <w:ind w:right="75"/>
              <w:jc w:val="left"/>
              <w:spacing w:after="0"/>
            </w:pPr>
            <w:r>
              <w:rPr>
                <w:sz w:val="20"/>
                <w:szCs w:val="20"/>
              </w:rPr>
              <w:t xml:space="preserve">СС Позиции судов по спорным вопросам. Арбитражный процесс (ОД10);</w:t>
            </w:r>
            <w:r>
              <w:rPr>
                <w:sz w:val="20"/>
                <w:szCs w:val="20"/>
              </w:rPr>
            </w:r>
            <w:r/>
          </w:p>
          <w:p>
            <w:pPr>
              <w:ind w:right="75"/>
              <w:jc w:val="left"/>
              <w:spacing w:after="0"/>
            </w:pPr>
            <w:r>
              <w:rPr>
                <w:sz w:val="20"/>
                <w:szCs w:val="20"/>
              </w:rPr>
              <w:t xml:space="preserve">СС Позиции судов по спорным вопросам. Бюджетные организации (ОД10).</w:t>
            </w:r>
            <w:r>
              <w:rPr>
                <w:sz w:val="20"/>
                <w:szCs w:val="20"/>
              </w:rPr>
            </w:r>
            <w:r/>
          </w:p>
          <w:p>
            <w:pPr>
              <w:ind w:right="75"/>
              <w:jc w:val="left"/>
              <w:spacing w:after="0"/>
              <w:rPr>
                <w:sz w:val="20"/>
                <w:szCs w:val="20"/>
              </w:rPr>
            </w:pPr>
            <w:r>
              <w:rPr>
                <w:sz w:val="20"/>
                <w:szCs w:val="20"/>
              </w:rPr>
              <w:t xml:space="preserve">ОКПД2: 62.02.30.000 - Услуги по технической поддержке информационных технологий.</w:t>
            </w:r>
            <w:r>
              <w:rPr>
                <w:sz w:val="20"/>
                <w:szCs w:val="20"/>
              </w:rPr>
            </w:r>
            <w:r>
              <w:rPr>
                <w:sz w:val="20"/>
                <w:szCs w:val="20"/>
              </w:rPr>
            </w:r>
          </w:p>
        </w:tc>
        <w:tc>
          <w:tcPr>
            <w:tcW w:w="567" w:type="dxa"/>
            <w:textDirection w:val="lrTb"/>
            <w:noWrap w:val="false"/>
          </w:tcPr>
          <w:p>
            <w:pPr>
              <w:jc w:val="center"/>
              <w:spacing w:after="0"/>
              <w:rPr>
                <w:rFonts w:eastAsia="Arial Unicode MS"/>
                <w:bCs/>
                <w:sz w:val="20"/>
                <w:szCs w:val="20"/>
              </w:rPr>
            </w:pPr>
            <w:r>
              <w:rPr>
                <w:rFonts w:eastAsia="Arial Unicode MS"/>
                <w:bCs/>
                <w:sz w:val="20"/>
                <w:szCs w:val="20"/>
              </w:rPr>
              <w:t xml:space="preserve">1</w:t>
            </w:r>
            <w:r>
              <w:rPr>
                <w:rFonts w:eastAsia="Arial Unicode MS"/>
                <w:bCs/>
                <w:sz w:val="20"/>
                <w:szCs w:val="20"/>
              </w:rPr>
            </w:r>
            <w:r>
              <w:rPr>
                <w:rFonts w:eastAsia="Arial Unicode MS"/>
                <w:bCs/>
                <w:sz w:val="20"/>
                <w:szCs w:val="20"/>
              </w:rPr>
            </w:r>
          </w:p>
        </w:tc>
        <w:tc>
          <w:tcPr>
            <w:tcW w:w="796" w:type="dxa"/>
            <w:textDirection w:val="lrTb"/>
            <w:noWrap w:val="false"/>
          </w:tcPr>
          <w:p>
            <w:pPr>
              <w:jc w:val="center"/>
              <w:spacing w:after="0"/>
              <w:rPr>
                <w:rFonts w:eastAsia="Arial Unicode MS"/>
                <w:bCs/>
                <w:sz w:val="20"/>
                <w:szCs w:val="20"/>
              </w:rPr>
            </w:pPr>
            <w:r>
              <w:rPr>
                <w:rFonts w:eastAsia="Arial Unicode MS"/>
                <w:bCs/>
                <w:sz w:val="20"/>
                <w:szCs w:val="20"/>
              </w:rPr>
              <w:t xml:space="preserve">шт</w:t>
            </w:r>
            <w:r>
              <w:rPr>
                <w:rFonts w:eastAsia="Arial Unicode MS"/>
                <w:bCs/>
                <w:sz w:val="20"/>
                <w:szCs w:val="20"/>
              </w:rPr>
              <w:t xml:space="preserve">.</w:t>
            </w:r>
            <w:r>
              <w:rPr>
                <w:rFonts w:eastAsia="Arial Unicode MS"/>
                <w:bCs/>
                <w:sz w:val="20"/>
                <w:szCs w:val="20"/>
              </w:rPr>
            </w:r>
            <w:r>
              <w:rPr>
                <w:rFonts w:eastAsia="Arial Unicode MS"/>
                <w:bCs/>
                <w:sz w:val="20"/>
                <w:szCs w:val="20"/>
              </w:rPr>
            </w:r>
          </w:p>
        </w:tc>
        <w:tc>
          <w:tcPr>
            <w:tcW w:w="1188" w:type="dxa"/>
            <w:textDirection w:val="lrTb"/>
            <w:noWrap w:val="false"/>
          </w:tcPr>
          <w:p>
            <w:pPr>
              <w:jc w:val="center"/>
              <w:rPr>
                <w:sz w:val="20"/>
                <w:szCs w:val="20"/>
              </w:rPr>
            </w:pPr>
            <w:r>
              <w:rPr>
                <w:sz w:val="20"/>
                <w:szCs w:val="20"/>
              </w:rPr>
            </w:r>
            <w:r>
              <w:rPr>
                <w:sz w:val="20"/>
                <w:szCs w:val="20"/>
              </w:rPr>
            </w:r>
            <w:r>
              <w:rPr>
                <w:sz w:val="20"/>
                <w:szCs w:val="20"/>
              </w:rPr>
            </w:r>
          </w:p>
        </w:tc>
        <w:tc>
          <w:tcPr>
            <w:tcW w:w="1213" w:type="dxa"/>
            <w:textDirection w:val="lrTb"/>
            <w:noWrap w:val="false"/>
          </w:tcPr>
          <w:p>
            <w:pPr>
              <w:jc w:val="center"/>
              <w:rPr>
                <w:sz w:val="20"/>
                <w:szCs w:val="20"/>
              </w:rPr>
            </w:pPr>
            <w:r>
              <w:rPr>
                <w:sz w:val="20"/>
                <w:szCs w:val="20"/>
              </w:rPr>
            </w:r>
            <w:r>
              <w:rPr>
                <w:sz w:val="20"/>
                <w:szCs w:val="20"/>
              </w:rPr>
            </w:r>
            <w:r>
              <w:rPr>
                <w:sz w:val="20"/>
                <w:szCs w:val="20"/>
              </w:rPr>
            </w:r>
          </w:p>
        </w:tc>
      </w:tr>
      <w:tr>
        <w:tblPrEx/>
        <w:trPr>
          <w:trHeight w:val="336"/>
        </w:trPr>
        <w:tc>
          <w:tcPr>
            <w:gridSpan w:val="5"/>
            <w:tcW w:w="9062" w:type="dxa"/>
            <w:textDirection w:val="lrTb"/>
            <w:noWrap w:val="false"/>
          </w:tcPr>
          <w:p>
            <w:pPr>
              <w:jc w:val="right"/>
              <w:rPr>
                <w:b/>
                <w:bCs/>
                <w:sz w:val="20"/>
                <w:szCs w:val="20"/>
              </w:rPr>
            </w:pPr>
            <w:r>
              <w:rPr>
                <w:b/>
                <w:bCs/>
                <w:sz w:val="20"/>
                <w:szCs w:val="20"/>
              </w:rPr>
              <w:t xml:space="preserve">ИТОГО:</w:t>
            </w:r>
            <w:r>
              <w:rPr>
                <w:b/>
                <w:bCs/>
                <w:sz w:val="20"/>
                <w:szCs w:val="20"/>
              </w:rPr>
            </w:r>
            <w:r>
              <w:rPr>
                <w:b/>
                <w:bCs/>
                <w:sz w:val="20"/>
                <w:szCs w:val="20"/>
              </w:rPr>
            </w:r>
          </w:p>
        </w:tc>
        <w:tc>
          <w:tcPr>
            <w:tcW w:w="1213" w:type="dxa"/>
            <w:textDirection w:val="lrTb"/>
            <w:noWrap w:val="false"/>
          </w:tcPr>
          <w:p>
            <w:pPr>
              <w:jc w:val="center"/>
              <w:rPr>
                <w:b/>
                <w:bCs/>
                <w:sz w:val="20"/>
                <w:szCs w:val="20"/>
              </w:rPr>
            </w:pPr>
            <w:r>
              <w:rPr>
                <w:b/>
                <w:bCs/>
                <w:sz w:val="20"/>
                <w:szCs w:val="20"/>
              </w:rPr>
            </w:r>
            <w:r>
              <w:rPr>
                <w:b/>
                <w:bCs/>
                <w:sz w:val="20"/>
                <w:szCs w:val="20"/>
              </w:rPr>
            </w:r>
            <w:r>
              <w:rPr>
                <w:b/>
                <w:bCs/>
                <w:sz w:val="20"/>
                <w:szCs w:val="20"/>
              </w:rPr>
            </w:r>
          </w:p>
        </w:tc>
      </w:tr>
    </w:tbl>
    <w:p>
      <w:pPr>
        <w:jc w:val="center"/>
        <w:spacing w:after="0"/>
        <w:rPr>
          <w:b/>
          <w:bCs/>
        </w:rPr>
      </w:pPr>
      <w:r>
        <w:rPr>
          <w:b/>
          <w:bCs/>
        </w:rPr>
      </w:r>
      <w:r>
        <w:rPr>
          <w:b/>
          <w:bCs/>
        </w:rPr>
      </w:r>
      <w:r>
        <w:rPr>
          <w:b/>
          <w:bCs/>
        </w:rPr>
      </w:r>
    </w:p>
    <w:p>
      <w:pPr>
        <w:ind w:left="0" w:firstLine="0"/>
        <w:spacing w:after="0"/>
        <w:tabs>
          <w:tab w:val="left" w:pos="993" w:leader="none"/>
        </w:tabs>
        <w:rPr>
          <w:iCs/>
          <w:color w:val="000000"/>
          <w:shd w:val="clear" w:color="auto" w:fill="ffffff"/>
        </w:rPr>
      </w:pPr>
      <w:r>
        <w:rPr>
          <w:shd w:val="clear" w:color="auto" w:fill="ffffff"/>
        </w:rPr>
        <w:t xml:space="preserve">Цена Контракта составляет</w:t>
      </w:r>
      <w:r>
        <w:rPr>
          <w:shd w:val="clear" w:color="auto" w:fill="ffffff"/>
        </w:rPr>
        <w:t xml:space="preserve"> </w:t>
      </w:r>
      <w:r>
        <w:t xml:space="preserve">__________ (____________) рублей _________ копеек, в том числе НДС ______________ </w:t>
      </w:r>
      <w:r>
        <w:rPr>
          <w:i/>
        </w:rPr>
        <w:t xml:space="preserve">(в случае, если услуги, оказываемые по Контракту, в соответствии 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Pr>
          <w:shd w:val="clear" w:color="auto" w:fill="ffffff"/>
        </w:rPr>
        <w:t xml:space="preserve">.</w:t>
      </w:r>
      <w:r>
        <w:rPr>
          <w:iCs/>
          <w:color w:val="000000"/>
          <w:shd w:val="clear" w:color="auto" w:fill="ffffff"/>
        </w:rPr>
      </w:r>
      <w:r>
        <w:rPr>
          <w:iCs/>
          <w:color w:val="000000"/>
          <w:shd w:val="clear" w:color="auto" w:fill="ffffff"/>
        </w:rPr>
      </w:r>
    </w:p>
    <w:p>
      <w:pPr>
        <w:ind w:firstLine="1134"/>
        <w:spacing w:after="0"/>
        <w:rPr>
          <w:color w:val="0d0d0d"/>
        </w:rPr>
        <w:suppressLineNumbers/>
      </w:pPr>
      <w:r>
        <w:rPr>
          <w:rFonts w:eastAsia="Calibri"/>
          <w:lang w:eastAsia="en-US"/>
        </w:rPr>
      </w:r>
      <w:r>
        <w:rPr>
          <w:color w:val="0d0d0d"/>
        </w:rPr>
      </w:r>
      <w:r>
        <w:rPr>
          <w:color w:val="0d0d0d"/>
        </w:rPr>
      </w:r>
    </w:p>
    <w:p>
      <w:pPr>
        <w:ind w:firstLine="1134"/>
        <w:spacing w:after="0"/>
        <w:rPr>
          <w:rFonts w:eastAsia="Calibri"/>
          <w:lang w:eastAsia="en-US"/>
        </w:rPr>
        <w:suppressLineNumbers/>
      </w:pPr>
      <w:r>
        <w:rPr>
          <w:rFonts w:eastAsia="Calibri"/>
          <w:lang w:eastAsia="en-US"/>
        </w:rPr>
      </w:r>
      <w:r>
        <w:rPr>
          <w:rFonts w:eastAsia="Calibri"/>
          <w:lang w:eastAsia="en-US"/>
        </w:rPr>
      </w:r>
      <w:r>
        <w:rPr>
          <w:rFonts w:eastAsia="Calibri"/>
          <w:lang w:eastAsia="en-US"/>
        </w:rPr>
      </w:r>
    </w:p>
    <w:p>
      <w:pPr>
        <w:ind w:firstLine="1134"/>
        <w:spacing w:after="0"/>
        <w:rPr>
          <w:rFonts w:eastAsia="Calibri"/>
          <w:lang w:eastAsia="en-US"/>
        </w:rPr>
        <w:suppressLineNumbers/>
      </w:pPr>
      <w:r>
        <w:rPr>
          <w:rFonts w:eastAsia="Calibri"/>
          <w:lang w:eastAsia="en-US"/>
        </w:rPr>
      </w:r>
      <w:r>
        <w:rPr>
          <w:rFonts w:eastAsia="Calibri"/>
          <w:lang w:eastAsia="en-US"/>
        </w:rPr>
      </w:r>
      <w:r>
        <w:rPr>
          <w:rFonts w:eastAsia="Calibri"/>
          <w:lang w:eastAsia="en-US"/>
        </w:rPr>
      </w:r>
    </w:p>
    <w:p>
      <w:pPr>
        <w:ind w:firstLine="284"/>
        <w:spacing w:after="0"/>
        <w:tabs>
          <w:tab w:val="left" w:pos="1080" w:leader="none"/>
        </w:tabs>
        <w:rPr>
          <w:sz w:val="22"/>
          <w:szCs w:val="22"/>
          <w:lang w:eastAsia="en-US"/>
        </w:rPr>
      </w:pPr>
      <w:r>
        <w:rPr>
          <w:sz w:val="22"/>
          <w:szCs w:val="22"/>
          <w:lang w:eastAsia="en-US"/>
        </w:rPr>
      </w:r>
      <w:r>
        <w:rPr>
          <w:sz w:val="22"/>
          <w:szCs w:val="22"/>
          <w:lang w:eastAsia="en-US"/>
        </w:rPr>
      </w:r>
      <w:r>
        <w:rPr>
          <w:sz w:val="22"/>
          <w:szCs w:val="22"/>
          <w:lang w:eastAsia="en-US"/>
        </w:rPr>
      </w:r>
    </w:p>
    <w:tbl>
      <w:tblPr>
        <w:tblW w:w="10578" w:type="dxa"/>
        <w:tblInd w:w="-108" w:type="dxa"/>
        <w:tblLayout w:type="fixed"/>
        <w:tblLook w:val="04A0" w:firstRow="1" w:lastRow="0" w:firstColumn="1" w:lastColumn="0" w:noHBand="0" w:noVBand="1"/>
      </w:tblPr>
      <w:tblGrid>
        <w:gridCol w:w="4752"/>
        <w:gridCol w:w="817"/>
        <w:gridCol w:w="5009"/>
      </w:tblGrid>
      <w:tr>
        <w:tblPrEx/>
        <w:trPr/>
        <w:tc>
          <w:tcPr>
            <w:tcW w:w="4752" w:type="dxa"/>
            <w:textDirection w:val="lrTb"/>
            <w:noWrap w:val="false"/>
          </w:tcPr>
          <w:p>
            <w:pPr>
              <w:jc w:val="left"/>
              <w:spacing w:after="0"/>
              <w:rPr>
                <w:b/>
                <w:color w:val="0d0d0d"/>
              </w:rPr>
            </w:pPr>
            <w:r>
              <w:rPr>
                <w:b/>
                <w:color w:val="0d0d0d"/>
              </w:rPr>
              <w:t xml:space="preserve">ЗАКАЗЧИК:</w:t>
            </w:r>
            <w:r>
              <w:rPr>
                <w:b/>
                <w:color w:val="0d0d0d"/>
              </w:rPr>
            </w:r>
            <w:r>
              <w:rPr>
                <w:b/>
                <w:color w:val="0d0d0d"/>
              </w:rPr>
            </w:r>
          </w:p>
          <w:p>
            <w:pPr>
              <w:jc w:val="left"/>
              <w:spacing w:after="0"/>
              <w:rPr>
                <w:color w:val="0d0d0d"/>
              </w:rPr>
            </w:pPr>
            <w:r>
              <w:rPr>
                <w:color w:val="0d0d0d"/>
              </w:rPr>
              <w:t xml:space="preserve">Директор</w:t>
            </w:r>
            <w:r>
              <w:rPr>
                <w:color w:val="0d0d0d"/>
              </w:rPr>
            </w:r>
            <w:r>
              <w:rPr>
                <w:color w:val="0d0d0d"/>
              </w:rPr>
            </w:r>
          </w:p>
          <w:p>
            <w:pPr>
              <w:jc w:val="left"/>
              <w:spacing w:after="0"/>
              <w:rPr>
                <w:color w:val="0d0d0d"/>
              </w:rPr>
            </w:pPr>
            <w:r>
              <w:rPr>
                <w:color w:val="0d0d0d"/>
              </w:rPr>
            </w:r>
            <w:r>
              <w:rPr>
                <w:color w:val="0d0d0d"/>
              </w:rPr>
            </w:r>
            <w:r>
              <w:rPr>
                <w:color w:val="0d0d0d"/>
              </w:rPr>
            </w:r>
          </w:p>
          <w:p>
            <w:pPr>
              <w:jc w:val="left"/>
              <w:spacing w:after="0"/>
              <w:rPr>
                <w:color w:val="0d0d0d"/>
              </w:rPr>
            </w:pPr>
            <w:r>
              <w:rPr>
                <w:color w:val="0d0d0d"/>
              </w:rPr>
            </w:r>
            <w:r>
              <w:rPr>
                <w:color w:val="0d0d0d"/>
              </w:rPr>
            </w:r>
            <w:r>
              <w:rPr>
                <w:color w:val="0d0d0d"/>
              </w:rPr>
            </w:r>
          </w:p>
          <w:p>
            <w:pPr>
              <w:jc w:val="left"/>
              <w:spacing w:after="0"/>
              <w:rPr>
                <w:color w:val="0d0d0d"/>
              </w:rPr>
            </w:pPr>
            <w:r>
              <w:rPr>
                <w:color w:val="0d0d0d"/>
              </w:rPr>
              <w:t xml:space="preserve">________________/</w:t>
            </w:r>
            <w:r>
              <w:rPr>
                <w:color w:val="000000"/>
              </w:rPr>
              <w:t xml:space="preserve"> А.В. Кисляков</w:t>
            </w:r>
            <w:r>
              <w:rPr>
                <w:color w:val="0d0d0d"/>
              </w:rPr>
              <w:t xml:space="preserve"> /</w:t>
            </w:r>
            <w:r>
              <w:rPr>
                <w:color w:val="0d0d0d"/>
              </w:rPr>
            </w:r>
            <w:r>
              <w:rPr>
                <w:color w:val="0d0d0d"/>
              </w:rPr>
            </w:r>
          </w:p>
          <w:p>
            <w:pPr>
              <w:jc w:val="left"/>
              <w:spacing w:after="0"/>
              <w:rPr>
                <w:color w:val="0d0d0d"/>
              </w:rPr>
            </w:pPr>
            <w:r>
              <w:rPr>
                <w:lang w:val="en-US"/>
              </w:rPr>
              <w:t xml:space="preserve">ЭЦП</w:t>
            </w:r>
            <w:r>
              <w:rPr>
                <w:color w:val="0d0d0d"/>
              </w:rPr>
            </w:r>
            <w:r>
              <w:rPr>
                <w:color w:val="0d0d0d"/>
              </w:rPr>
            </w:r>
          </w:p>
        </w:tc>
        <w:tc>
          <w:tcPr>
            <w:tcBorders>
              <w:left w:val="none" w:color="000000" w:sz="4" w:space="0"/>
            </w:tcBorders>
            <w:tcW w:w="817" w:type="dxa"/>
            <w:textDirection w:val="lrTb"/>
            <w:noWrap w:val="false"/>
          </w:tcPr>
          <w:p>
            <w:pPr>
              <w:jc w:val="left"/>
              <w:spacing w:after="0"/>
              <w:rPr>
                <w:color w:val="0d0d0d"/>
              </w:rPr>
            </w:pPr>
            <w:r>
              <w:rPr>
                <w:color w:val="0d0d0d"/>
              </w:rPr>
            </w:r>
            <w:r>
              <w:rPr>
                <w:color w:val="0d0d0d"/>
              </w:rPr>
            </w:r>
            <w:r>
              <w:rPr>
                <w:color w:val="0d0d0d"/>
              </w:rPr>
            </w:r>
          </w:p>
        </w:tc>
        <w:tc>
          <w:tcPr>
            <w:tcW w:w="5009" w:type="dxa"/>
            <w:textDirection w:val="lrTb"/>
            <w:noWrap w:val="false"/>
          </w:tcPr>
          <w:p>
            <w:pPr>
              <w:jc w:val="left"/>
              <w:spacing w:after="0"/>
              <w:rPr>
                <w:b/>
                <w:color w:val="0d0d0d"/>
              </w:rPr>
            </w:pPr>
            <w:r>
              <w:rPr>
                <w:b/>
                <w:color w:val="0d0d0d"/>
              </w:rPr>
              <w:t xml:space="preserve">ИСПОЛНИТЕЛЬ:</w:t>
            </w:r>
            <w:r>
              <w:rPr>
                <w:b/>
                <w:color w:val="0d0d0d"/>
              </w:rPr>
            </w:r>
            <w:r>
              <w:rPr>
                <w:b/>
                <w:color w:val="0d0d0d"/>
              </w:rPr>
            </w:r>
          </w:p>
          <w:p>
            <w:pPr>
              <w:jc w:val="left"/>
              <w:spacing w:after="0"/>
              <w:rPr>
                <w:color w:val="0d0d0d"/>
              </w:rPr>
            </w:pPr>
            <w:r>
              <w:rPr>
                <w:color w:val="0d0d0d"/>
              </w:rPr>
            </w:r>
            <w:r>
              <w:rPr>
                <w:color w:val="0d0d0d"/>
              </w:rPr>
            </w:r>
            <w:r>
              <w:rPr>
                <w:color w:val="0d0d0d"/>
              </w:rPr>
            </w:r>
          </w:p>
          <w:p>
            <w:pPr>
              <w:jc w:val="left"/>
              <w:spacing w:after="0"/>
              <w:rPr>
                <w:color w:val="0d0d0d"/>
              </w:rPr>
            </w:pPr>
            <w:r>
              <w:rPr>
                <w:color w:val="0d0d0d"/>
              </w:rPr>
            </w:r>
            <w:r>
              <w:rPr>
                <w:color w:val="0d0d0d"/>
              </w:rPr>
            </w:r>
            <w:r>
              <w:rPr>
                <w:color w:val="0d0d0d"/>
              </w:rPr>
            </w:r>
          </w:p>
          <w:p>
            <w:pPr>
              <w:jc w:val="left"/>
              <w:spacing w:after="0"/>
              <w:rPr>
                <w:color w:val="0d0d0d"/>
              </w:rPr>
            </w:pPr>
            <w:r>
              <w:rPr>
                <w:color w:val="0d0d0d"/>
              </w:rPr>
            </w:r>
            <w:r>
              <w:rPr>
                <w:color w:val="0d0d0d"/>
              </w:rPr>
            </w:r>
            <w:r>
              <w:rPr>
                <w:color w:val="0d0d0d"/>
              </w:rPr>
            </w:r>
          </w:p>
          <w:p>
            <w:pPr>
              <w:jc w:val="left"/>
              <w:spacing w:after="0"/>
              <w:rPr>
                <w:color w:val="0d0d0d"/>
              </w:rPr>
            </w:pPr>
            <w:r>
              <w:rPr>
                <w:color w:val="0d0d0d"/>
              </w:rPr>
              <w:t xml:space="preserve">__________________/_______________/</w:t>
            </w:r>
            <w:r>
              <w:rPr>
                <w:color w:val="0d0d0d"/>
              </w:rPr>
            </w:r>
            <w:r>
              <w:rPr>
                <w:color w:val="0d0d0d"/>
              </w:rPr>
            </w:r>
          </w:p>
          <w:p>
            <w:pPr>
              <w:jc w:val="left"/>
              <w:spacing w:after="0"/>
              <w:rPr>
                <w:color w:val="0d0d0d"/>
              </w:rPr>
            </w:pPr>
            <w:r>
              <w:rPr>
                <w:lang w:val="en-US"/>
              </w:rPr>
              <w:t xml:space="preserve">ЭЦП</w:t>
            </w:r>
            <w:r>
              <w:rPr>
                <w:color w:val="0d0d0d"/>
              </w:rPr>
            </w:r>
            <w:r>
              <w:rPr>
                <w:color w:val="0d0d0d"/>
              </w:rPr>
            </w:r>
          </w:p>
        </w:tc>
      </w:tr>
    </w:tbl>
    <w:p>
      <w:r/>
      <w:r/>
    </w:p>
    <w:p>
      <w:r/>
      <w:r/>
    </w:p>
    <w:p>
      <w:r/>
      <w:r/>
    </w:p>
    <w:p>
      <w:pPr>
        <w:ind w:left="6379"/>
        <w:jc w:val="right"/>
        <w:pageBreakBefore/>
        <w:spacing w:after="0"/>
        <w:rPr>
          <w:caps/>
          <w:color w:val="0d0d0d"/>
        </w:rPr>
      </w:pPr>
      <w:r>
        <w:rPr>
          <w:caps/>
          <w:color w:val="0d0d0d"/>
        </w:rPr>
        <w:t xml:space="preserve">П</w:t>
      </w:r>
      <w:r>
        <w:rPr>
          <w:color w:val="0d0d0d"/>
        </w:rPr>
        <w:t xml:space="preserve">риложение</w:t>
      </w:r>
      <w:r>
        <w:rPr>
          <w:caps/>
          <w:color w:val="0d0d0d"/>
        </w:rPr>
        <w:t xml:space="preserve"> № 3</w:t>
      </w:r>
      <w:r>
        <w:rPr>
          <w:caps/>
          <w:color w:val="0d0d0d"/>
        </w:rPr>
      </w:r>
      <w:r>
        <w:rPr>
          <w:caps/>
          <w:color w:val="0d0d0d"/>
        </w:rPr>
      </w:r>
    </w:p>
    <w:p>
      <w:pPr>
        <w:ind w:left="6379"/>
        <w:jc w:val="right"/>
        <w:spacing w:after="0"/>
        <w:rPr>
          <w:color w:val="0d0d0d"/>
        </w:rPr>
      </w:pPr>
      <w:r>
        <w:rPr>
          <w:color w:val="0d0d0d"/>
        </w:rPr>
        <w:t xml:space="preserve">к Контракту № ЕП/26_</w:t>
      </w:r>
      <w:r>
        <w:rPr>
          <w:color w:val="0d0d0d"/>
        </w:rPr>
      </w:r>
      <w:r>
        <w:rPr>
          <w:color w:val="0d0d0d"/>
        </w:rPr>
      </w:r>
    </w:p>
    <w:p>
      <w:pPr>
        <w:ind w:firstLine="567"/>
        <w:jc w:val="right"/>
        <w:spacing w:after="0"/>
        <w:tabs>
          <w:tab w:val="left" w:pos="851" w:leader="none"/>
          <w:tab w:val="left" w:pos="993" w:leader="none"/>
        </w:tabs>
        <w:rPr>
          <w:color w:val="0d0d0d"/>
          <w:lang w:eastAsia="ar-SA"/>
        </w:rPr>
      </w:pPr>
      <w:r>
        <w:rPr>
          <w:color w:val="0d0d0d"/>
        </w:rPr>
        <w:t xml:space="preserve">от </w:t>
      </w:r>
      <w:r>
        <w:rPr>
          <w:color w:val="0d0d0d"/>
        </w:rPr>
        <w:t xml:space="preserve">«  </w:t>
      </w:r>
      <w:r>
        <w:rPr>
          <w:color w:val="0d0d0d"/>
        </w:rPr>
        <w:t xml:space="preserve">  » __________ 2026 г.</w:t>
      </w:r>
      <w:r>
        <w:rPr>
          <w:color w:val="0d0d0d"/>
          <w:lang w:eastAsia="ar-SA"/>
        </w:rPr>
      </w:r>
      <w:r>
        <w:rPr>
          <w:color w:val="0d0d0d"/>
          <w:lang w:eastAsia="ar-SA"/>
        </w:rPr>
      </w:r>
    </w:p>
    <w:p>
      <w:pPr>
        <w:jc w:val="center"/>
        <w:spacing w:after="0"/>
        <w:rPr>
          <w:color w:val="0d0d0d"/>
          <w:lang w:eastAsia="ar-SA"/>
        </w:rPr>
      </w:pPr>
      <w:r>
        <w:rPr>
          <w:color w:val="0d0d0d"/>
          <w:lang w:eastAsia="ar-SA"/>
        </w:rPr>
      </w:r>
      <w:r>
        <w:rPr>
          <w:color w:val="0d0d0d"/>
          <w:lang w:eastAsia="ar-SA"/>
        </w:rPr>
      </w:r>
      <w:r>
        <w:rPr>
          <w:color w:val="0d0d0d"/>
          <w:lang w:eastAsia="ar-SA"/>
        </w:rPr>
      </w:r>
    </w:p>
    <w:p>
      <w:pPr>
        <w:jc w:val="center"/>
        <w:spacing w:after="0"/>
        <w:rPr>
          <w:color w:val="0d0d0d"/>
          <w:lang w:eastAsia="ar-SA"/>
        </w:rPr>
      </w:pPr>
      <w:r>
        <w:rPr>
          <w:color w:val="0d0d0d"/>
          <w:lang w:eastAsia="ar-SA"/>
        </w:rPr>
        <w:t xml:space="preserve">Форма  АКТА</w:t>
      </w:r>
      <w:r>
        <w:rPr>
          <w:color w:val="0d0d0d"/>
          <w:lang w:eastAsia="ar-SA"/>
        </w:rPr>
        <w:t xml:space="preserve"> ОКАЗАННЫХ УСЛУГ</w:t>
      </w:r>
      <w:r>
        <w:rPr>
          <w:color w:val="0d0d0d"/>
          <w:lang w:eastAsia="ar-SA"/>
        </w:rPr>
      </w:r>
      <w:r>
        <w:rPr>
          <w:color w:val="0d0d0d"/>
          <w:lang w:eastAsia="ar-SA"/>
        </w:rPr>
      </w:r>
    </w:p>
    <w:p>
      <w:pPr>
        <w:jc w:val="center"/>
        <w:spacing w:after="0"/>
        <w:rPr>
          <w:color w:val="0d0d0d"/>
          <w:lang w:eastAsia="ar-SA"/>
        </w:rPr>
      </w:pPr>
      <w:r>
        <w:rPr>
          <w:color w:val="0d0d0d"/>
          <w:lang w:eastAsia="ar-SA"/>
        </w:rPr>
        <w:t xml:space="preserve">Акт №__</w:t>
      </w:r>
      <w:r>
        <w:rPr>
          <w:color w:val="0d0d0d"/>
          <w:lang w:eastAsia="ar-SA"/>
        </w:rPr>
      </w:r>
      <w:r>
        <w:rPr>
          <w:color w:val="0d0d0d"/>
          <w:lang w:eastAsia="ar-SA"/>
        </w:rPr>
      </w:r>
    </w:p>
    <w:p>
      <w:pPr>
        <w:jc w:val="center"/>
        <w:spacing w:after="0"/>
        <w:rPr>
          <w:color w:val="0d0d0d"/>
          <w:lang w:eastAsia="ar-SA"/>
        </w:rPr>
      </w:pPr>
      <w:r>
        <w:rPr>
          <w:color w:val="0d0d0d"/>
          <w:lang w:eastAsia="ar-SA"/>
        </w:rPr>
        <w:t xml:space="preserve">г. Москва</w:t>
      </w:r>
      <w:r>
        <w:rPr>
          <w:color w:val="0d0d0d"/>
          <w:lang w:eastAsia="ar-SA"/>
        </w:rPr>
        <w:tab/>
        <w:t xml:space="preserve">                                                                                       </w:t>
      </w:r>
      <w:r>
        <w:rPr>
          <w:color w:val="0d0d0d"/>
          <w:lang w:eastAsia="ar-SA"/>
        </w:rPr>
        <w:t xml:space="preserve">   «</w:t>
      </w:r>
      <w:r>
        <w:rPr>
          <w:color w:val="0d0d0d"/>
          <w:lang w:eastAsia="ar-SA"/>
        </w:rPr>
        <w:t xml:space="preserve">___»   _________ 2026 г.</w:t>
      </w:r>
      <w:r>
        <w:rPr>
          <w:color w:val="0d0d0d"/>
          <w:lang w:eastAsia="ar-SA"/>
        </w:rPr>
      </w:r>
      <w:r>
        <w:rPr>
          <w:color w:val="0d0d0d"/>
          <w:lang w:eastAsia="ar-SA"/>
        </w:rPr>
      </w:r>
    </w:p>
    <w:p>
      <w:pPr>
        <w:jc w:val="center"/>
        <w:spacing w:after="0"/>
        <w:rPr>
          <w:color w:val="0d0d0d"/>
          <w:lang w:eastAsia="ar-SA"/>
        </w:rPr>
      </w:pPr>
      <w:r>
        <w:rPr>
          <w:color w:val="0d0d0d"/>
          <w:lang w:eastAsia="ar-SA"/>
        </w:rPr>
      </w:r>
      <w:r>
        <w:rPr>
          <w:color w:val="0d0d0d"/>
          <w:lang w:eastAsia="ar-SA"/>
        </w:rPr>
      </w:r>
      <w:r>
        <w:rPr>
          <w:color w:val="0d0d0d"/>
          <w:lang w:eastAsia="ar-SA"/>
        </w:rPr>
      </w:r>
    </w:p>
    <w:p>
      <w:pPr>
        <w:ind w:firstLine="709"/>
        <w:spacing w:after="0"/>
        <w:rPr>
          <w:color w:val="0d0d0d"/>
          <w:lang w:eastAsia="ar-SA"/>
        </w:rPr>
      </w:pPr>
      <w:r>
        <w:t xml:space="preserve">Федеральное государственное бюджетное учреждение «Ситуационно-информационный центр Министерства транспорта Российской Федерации» (ФГБУ «СИЦ Минтранса России»)</w:t>
      </w:r>
      <w:r>
        <w:rPr>
          <w:color w:val="000000"/>
        </w:rPr>
        <w:t xml:space="preserve">, именуемое в дальнейшем «Заказчик», в лице директора Кислякова Александра Валерьевича, действующего на основании Устава, с одной стороны, и ________________________</w:t>
      </w:r>
      <w:r>
        <w:rPr>
          <w:rFonts w:eastAsia="TimesET;Times New Roman"/>
          <w:lang w:eastAsia="ar-SA"/>
        </w:rPr>
        <w:t xml:space="preserve">, именуемое в дальнейшем «Исполнитель», в лице __________________, действующего на основании ________</w:t>
      </w:r>
      <w:r>
        <w:rPr>
          <w:color w:val="000000"/>
        </w:rPr>
        <w:t xml:space="preserve">, с другой стороны</w:t>
      </w:r>
      <w:r>
        <w:rPr>
          <w:color w:val="0d0d0d"/>
          <w:lang w:eastAsia="ar-SA"/>
        </w:rPr>
        <w:t xml:space="preserve">, далее совместно именуемые «Стороны»,  а по отдельности «Сторона», в связи с исполнением Контракта от ________  № __________ (далее – Контракт) подписали настоящий Акт оказанных услуг (далее – Акт) о  нижеследующем:</w:t>
      </w:r>
      <w:r>
        <w:rPr>
          <w:color w:val="0d0d0d"/>
          <w:lang w:eastAsia="ar-SA"/>
        </w:rPr>
      </w:r>
      <w:r>
        <w:rPr>
          <w:color w:val="0d0d0d"/>
          <w:lang w:eastAsia="ar-SA"/>
        </w:rPr>
      </w:r>
    </w:p>
    <w:p>
      <w:pPr>
        <w:numPr>
          <w:ilvl w:val="0"/>
          <w:numId w:val="7"/>
        </w:numPr>
        <w:spacing w:after="0"/>
        <w:rPr>
          <w:color w:val="0d0d0d"/>
          <w:lang w:eastAsia="ar-SA"/>
        </w:rPr>
      </w:pPr>
      <w:r>
        <w:rPr>
          <w:color w:val="0d0d0d"/>
          <w:lang w:eastAsia="ar-SA"/>
        </w:rPr>
        <w:t xml:space="preserve">В соответствии с условиями Контракта ______ Исполнитель оказал, а Заказчик принял Услуги:</w:t>
      </w:r>
      <w:r>
        <w:rPr>
          <w:color w:val="0d0d0d"/>
          <w:lang w:eastAsia="ar-SA"/>
        </w:rPr>
      </w:r>
      <w:r>
        <w:rPr>
          <w:color w:val="0d0d0d"/>
          <w:lang w:eastAsia="ar-SA"/>
        </w:rPr>
      </w:r>
    </w:p>
    <w:tbl>
      <w:tblPr>
        <w:tblW w:w="10170" w:type="dxa"/>
        <w:tblLayout w:type="fixed"/>
        <w:tblCellMar>
          <w:left w:w="10" w:type="dxa"/>
          <w:right w:w="10" w:type="dxa"/>
        </w:tblCellMar>
        <w:tblLook w:val="04A0" w:firstRow="1" w:lastRow="0" w:firstColumn="1" w:lastColumn="0" w:noHBand="0" w:noVBand="1"/>
      </w:tblPr>
      <w:tblGrid>
        <w:gridCol w:w="421"/>
        <w:gridCol w:w="6520"/>
        <w:gridCol w:w="451"/>
        <w:gridCol w:w="426"/>
        <w:gridCol w:w="1108"/>
        <w:gridCol w:w="1237"/>
        <w:gridCol w:w="7"/>
      </w:tblGrid>
      <w:tr>
        <w:tblPrEx/>
        <w:trPr/>
        <w:tc>
          <w:tcPr>
            <w:shd w:val="clear" w:color="auto" w:fill="auto"/>
            <w:tcBorders>
              <w:top w:val="single" w:color="auto" w:sz="4" w:space="0"/>
              <w:left w:val="single" w:color="auto" w:sz="4" w:space="0"/>
            </w:tcBorders>
            <w:tcW w:w="421" w:type="dxa"/>
            <w:textDirection w:val="lrTb"/>
            <w:noWrap w:val="false"/>
          </w:tcPr>
          <w:p>
            <w:pPr>
              <w:jc w:val="center"/>
              <w:spacing w:after="0"/>
              <w:rPr>
                <w:color w:val="0d0d0d"/>
                <w:sz w:val="20"/>
                <w:szCs w:val="20"/>
                <w:lang w:eastAsia="ar-SA"/>
              </w:rPr>
            </w:pPr>
            <w:r>
              <w:rPr>
                <w:color w:val="0d0d0d"/>
                <w:sz w:val="20"/>
                <w:szCs w:val="20"/>
                <w:lang w:eastAsia="ar-SA"/>
              </w:rPr>
              <w:t xml:space="preserve">№ п/п</w:t>
            </w:r>
            <w:r>
              <w:rPr>
                <w:color w:val="0d0d0d"/>
                <w:sz w:val="20"/>
                <w:szCs w:val="20"/>
                <w:lang w:eastAsia="ar-SA"/>
              </w:rPr>
            </w:r>
            <w:r>
              <w:rPr>
                <w:color w:val="0d0d0d"/>
                <w:sz w:val="20"/>
                <w:szCs w:val="20"/>
                <w:lang w:eastAsia="ar-SA"/>
              </w:rPr>
            </w:r>
          </w:p>
        </w:tc>
        <w:tc>
          <w:tcPr>
            <w:shd w:val="clear" w:color="auto" w:fill="auto"/>
            <w:tcBorders>
              <w:top w:val="single" w:color="auto" w:sz="4" w:space="0"/>
              <w:left w:val="single" w:color="auto" w:sz="4" w:space="0"/>
              <w:right w:val="single" w:color="auto" w:sz="4" w:space="0"/>
            </w:tcBorders>
            <w:tcW w:w="6520" w:type="dxa"/>
            <w:textDirection w:val="lrTb"/>
            <w:noWrap w:val="false"/>
          </w:tcPr>
          <w:p>
            <w:pPr>
              <w:jc w:val="center"/>
              <w:spacing w:after="0"/>
              <w:rPr>
                <w:color w:val="0d0d0d"/>
                <w:sz w:val="20"/>
                <w:szCs w:val="20"/>
                <w:lang w:eastAsia="ar-SA"/>
              </w:rPr>
            </w:pPr>
            <w:r>
              <w:rPr>
                <w:color w:val="0d0d0d"/>
                <w:sz w:val="20"/>
                <w:szCs w:val="20"/>
                <w:lang w:eastAsia="ar-SA"/>
              </w:rPr>
              <w:t xml:space="preserve">Наименование Услуг</w:t>
            </w:r>
            <w:r>
              <w:rPr>
                <w:color w:val="0d0d0d"/>
                <w:sz w:val="20"/>
                <w:szCs w:val="20"/>
                <w:lang w:eastAsia="ar-SA"/>
              </w:rPr>
            </w:r>
            <w:r>
              <w:rPr>
                <w:color w:val="0d0d0d"/>
                <w:sz w:val="20"/>
                <w:szCs w:val="20"/>
                <w:lang w:eastAsia="ar-SA"/>
              </w:rPr>
            </w:r>
          </w:p>
        </w:tc>
        <w:tc>
          <w:tcPr>
            <w:shd w:val="clear" w:color="auto" w:fill="auto"/>
            <w:tcBorders>
              <w:top w:val="single" w:color="auto" w:sz="4" w:space="0"/>
              <w:left w:val="single" w:color="auto" w:sz="4" w:space="0"/>
            </w:tcBorders>
            <w:tcW w:w="451" w:type="dxa"/>
            <w:textDirection w:val="lrTb"/>
            <w:noWrap w:val="false"/>
          </w:tcPr>
          <w:p>
            <w:pPr>
              <w:jc w:val="center"/>
              <w:spacing w:after="0"/>
              <w:rPr>
                <w:color w:val="0d0d0d"/>
                <w:sz w:val="20"/>
                <w:szCs w:val="20"/>
                <w:lang w:eastAsia="ar-SA"/>
              </w:rPr>
            </w:pPr>
            <w:r>
              <w:rPr>
                <w:color w:val="0d0d0d"/>
                <w:sz w:val="20"/>
                <w:szCs w:val="20"/>
                <w:lang w:eastAsia="ar-SA"/>
              </w:rPr>
              <w:t xml:space="preserve">Кол-во</w:t>
            </w:r>
            <w:r>
              <w:rPr>
                <w:color w:val="0d0d0d"/>
                <w:sz w:val="20"/>
                <w:szCs w:val="20"/>
                <w:lang w:eastAsia="ar-SA"/>
              </w:rPr>
            </w:r>
            <w:r>
              <w:rPr>
                <w:color w:val="0d0d0d"/>
                <w:sz w:val="20"/>
                <w:szCs w:val="20"/>
                <w:lang w:eastAsia="ar-SA"/>
              </w:rPr>
            </w:r>
          </w:p>
        </w:tc>
        <w:tc>
          <w:tcPr>
            <w:shd w:val="clear" w:color="ffffff" w:fill="ffffff"/>
            <w:tcBorders>
              <w:top w:val="single" w:color="000000" w:sz="4" w:space="0"/>
              <w:left w:val="single" w:color="000000" w:sz="4" w:space="0"/>
            </w:tcBorders>
            <w:tcW w:w="426" w:type="dxa"/>
            <w:textDirection w:val="lrTb"/>
            <w:noWrap w:val="false"/>
          </w:tcPr>
          <w:p>
            <w:pPr>
              <w:jc w:val="center"/>
              <w:rPr>
                <w:color w:val="0d0d0d"/>
                <w:sz w:val="20"/>
                <w:szCs w:val="20"/>
                <w:lang w:eastAsia="ar-SA"/>
              </w:rPr>
            </w:pPr>
            <w:r>
              <w:rPr>
                <w:color w:val="0d0d0d"/>
                <w:sz w:val="20"/>
                <w:szCs w:val="20"/>
                <w:lang w:eastAsia="ar-SA"/>
              </w:rPr>
              <w:t xml:space="preserve">Ед. изм.</w:t>
            </w:r>
            <w:r>
              <w:rPr>
                <w:color w:val="0d0d0d"/>
                <w:sz w:val="20"/>
                <w:szCs w:val="20"/>
                <w:lang w:eastAsia="ar-SA"/>
              </w:rPr>
            </w:r>
            <w:r>
              <w:rPr>
                <w:color w:val="0d0d0d"/>
                <w:sz w:val="20"/>
                <w:szCs w:val="20"/>
                <w:lang w:eastAsia="ar-SA"/>
              </w:rPr>
            </w:r>
          </w:p>
        </w:tc>
        <w:tc>
          <w:tcPr>
            <w:shd w:val="clear" w:color="auto" w:fill="auto"/>
            <w:tcBorders>
              <w:top w:val="single" w:color="auto" w:sz="4" w:space="0"/>
              <w:left w:val="single" w:color="auto" w:sz="4" w:space="0"/>
            </w:tcBorders>
            <w:tcW w:w="1108" w:type="dxa"/>
            <w:textDirection w:val="lrTb"/>
            <w:noWrap w:val="false"/>
          </w:tcPr>
          <w:p>
            <w:pPr>
              <w:jc w:val="center"/>
              <w:spacing w:after="0"/>
              <w:rPr>
                <w:color w:val="0d0d0d"/>
                <w:sz w:val="20"/>
                <w:szCs w:val="20"/>
                <w:lang w:eastAsia="ar-SA"/>
              </w:rPr>
            </w:pPr>
            <w:r>
              <w:rPr>
                <w:color w:val="0d0d0d"/>
                <w:sz w:val="20"/>
                <w:szCs w:val="20"/>
                <w:lang w:eastAsia="ar-SA"/>
              </w:rPr>
              <w:t xml:space="preserve">Цена </w:t>
            </w:r>
            <w:r>
              <w:rPr>
                <w:color w:val="0d0d0d"/>
                <w:sz w:val="20"/>
                <w:szCs w:val="20"/>
                <w:lang w:eastAsia="ar-SA"/>
              </w:rPr>
              <w:t xml:space="preserve">с НДС/</w:t>
            </w:r>
            <w:r>
              <w:rPr>
                <w:color w:val="0d0d0d"/>
                <w:sz w:val="20"/>
                <w:szCs w:val="20"/>
                <w:lang w:eastAsia="ar-SA"/>
              </w:rPr>
              <w:t xml:space="preserve">без НДС, руб.</w:t>
            </w:r>
            <w:r>
              <w:rPr>
                <w:color w:val="0d0d0d"/>
                <w:sz w:val="20"/>
                <w:szCs w:val="20"/>
                <w:lang w:eastAsia="ar-SA"/>
              </w:rPr>
            </w:r>
            <w:r>
              <w:rPr>
                <w:color w:val="0d0d0d"/>
                <w:sz w:val="20"/>
                <w:szCs w:val="20"/>
                <w:lang w:eastAsia="ar-SA"/>
              </w:rPr>
            </w:r>
          </w:p>
        </w:tc>
        <w:tc>
          <w:tcPr>
            <w:gridSpan w:val="2"/>
            <w:shd w:val="clear" w:color="auto" w:fill="auto"/>
            <w:tcBorders>
              <w:top w:val="single" w:color="auto" w:sz="4" w:space="0"/>
              <w:left w:val="single" w:color="auto" w:sz="4" w:space="0"/>
              <w:right w:val="single" w:color="auto" w:sz="4" w:space="0"/>
            </w:tcBorders>
            <w:tcW w:w="1244" w:type="dxa"/>
            <w:textDirection w:val="lrTb"/>
            <w:noWrap w:val="false"/>
          </w:tcPr>
          <w:p>
            <w:pPr>
              <w:jc w:val="center"/>
              <w:spacing w:after="0"/>
              <w:rPr>
                <w:color w:val="0d0d0d"/>
                <w:sz w:val="20"/>
                <w:szCs w:val="20"/>
                <w:lang w:eastAsia="ar-SA"/>
              </w:rPr>
            </w:pPr>
            <w:r>
              <w:rPr>
                <w:color w:val="0d0d0d"/>
                <w:sz w:val="20"/>
                <w:szCs w:val="20"/>
                <w:lang w:eastAsia="ar-SA"/>
              </w:rPr>
              <w:t xml:space="preserve">Сумма </w:t>
            </w:r>
            <w:r>
              <w:rPr>
                <w:color w:val="0d0d0d"/>
                <w:sz w:val="20"/>
                <w:szCs w:val="20"/>
                <w:lang w:eastAsia="ar-SA"/>
              </w:rPr>
            </w:r>
            <w:r>
              <w:rPr>
                <w:color w:val="0d0d0d"/>
                <w:sz w:val="20"/>
                <w:szCs w:val="20"/>
                <w:lang w:eastAsia="ar-SA"/>
              </w:rPr>
            </w:r>
          </w:p>
          <w:p>
            <w:pPr>
              <w:jc w:val="center"/>
              <w:spacing w:after="0"/>
              <w:rPr>
                <w:color w:val="0d0d0d"/>
                <w:sz w:val="20"/>
                <w:szCs w:val="20"/>
                <w:lang w:eastAsia="ar-SA"/>
              </w:rPr>
            </w:pPr>
            <w:r>
              <w:rPr>
                <w:color w:val="0d0d0d"/>
                <w:sz w:val="20"/>
                <w:szCs w:val="20"/>
                <w:lang w:eastAsia="ar-SA"/>
              </w:rPr>
              <w:t xml:space="preserve">с НДС/без НДС, руб.</w:t>
            </w:r>
            <w:r>
              <w:rPr>
                <w:color w:val="0d0d0d"/>
                <w:sz w:val="20"/>
                <w:szCs w:val="20"/>
                <w:lang w:eastAsia="ar-SA"/>
              </w:rPr>
            </w:r>
            <w:r>
              <w:rPr>
                <w:color w:val="0d0d0d"/>
                <w:sz w:val="20"/>
                <w:szCs w:val="20"/>
                <w:lang w:eastAsia="ar-SA"/>
              </w:rPr>
            </w:r>
          </w:p>
        </w:tc>
      </w:tr>
      <w:tr>
        <w:tblPrEx/>
        <w:trPr/>
        <w:tc>
          <w:tcPr>
            <w:shd w:val="clear" w:color="auto" w:fill="auto"/>
            <w:tcBorders>
              <w:top w:val="single" w:color="auto" w:sz="4" w:space="0"/>
              <w:left w:val="single" w:color="auto" w:sz="4" w:space="0"/>
            </w:tcBorders>
            <w:tcW w:w="421" w:type="dxa"/>
            <w:textDirection w:val="lrTb"/>
            <w:noWrap w:val="false"/>
          </w:tcPr>
          <w:p>
            <w:pPr>
              <w:jc w:val="center"/>
              <w:spacing w:after="0"/>
              <w:rPr>
                <w:color w:val="0d0d0d"/>
                <w:sz w:val="20"/>
                <w:szCs w:val="20"/>
                <w:lang w:eastAsia="ar-SA"/>
              </w:rPr>
            </w:pPr>
            <w:r>
              <w:rPr>
                <w:color w:val="0d0d0d"/>
                <w:sz w:val="20"/>
                <w:szCs w:val="20"/>
                <w:lang w:eastAsia="ar-SA"/>
              </w:rPr>
              <w:t xml:space="preserve">1</w:t>
            </w:r>
            <w:r>
              <w:rPr>
                <w:color w:val="0d0d0d"/>
                <w:sz w:val="20"/>
                <w:szCs w:val="20"/>
                <w:lang w:eastAsia="ar-SA"/>
              </w:rPr>
            </w:r>
            <w:r>
              <w:rPr>
                <w:color w:val="0d0d0d"/>
                <w:sz w:val="20"/>
                <w:szCs w:val="20"/>
                <w:lang w:eastAsia="ar-SA"/>
              </w:rPr>
            </w:r>
          </w:p>
        </w:tc>
        <w:tc>
          <w:tcPr>
            <w:shd w:val="clear" w:color="auto" w:fill="auto"/>
            <w:tcBorders>
              <w:top w:val="single" w:color="auto" w:sz="4" w:space="0"/>
              <w:left w:val="single" w:color="auto" w:sz="4" w:space="0"/>
              <w:right w:val="single" w:color="auto" w:sz="4" w:space="0"/>
            </w:tcBorders>
            <w:tcW w:w="6520" w:type="dxa"/>
            <w:textDirection w:val="lrTb"/>
            <w:noWrap w:val="false"/>
          </w:tcPr>
          <w:p>
            <w:pPr>
              <w:ind w:right="75"/>
              <w:jc w:val="left"/>
              <w:spacing w:after="0"/>
              <w:rPr>
                <w:sz w:val="20"/>
                <w:szCs w:val="20"/>
              </w:rPr>
            </w:pPr>
            <w:r>
              <w:rPr>
                <w:sz w:val="20"/>
                <w:szCs w:val="20"/>
              </w:rPr>
              <w:t xml:space="preserve">Услуги по передаче сертификата на адаптацию и сопровождение экземпляров Систем КонсультантПлюс на 12 месяцев (с 01.10.2026 по 30.09.2027 (включительно)) (10 одновременных доступов):</w:t>
            </w:r>
            <w:r>
              <w:rPr>
                <w:sz w:val="20"/>
                <w:szCs w:val="20"/>
              </w:rPr>
            </w:r>
            <w:r>
              <w:rPr>
                <w:sz w:val="20"/>
                <w:szCs w:val="20"/>
              </w:rPr>
            </w:r>
          </w:p>
          <w:p>
            <w:pPr>
              <w:ind w:right="75"/>
              <w:jc w:val="left"/>
              <w:spacing w:after="0"/>
              <w:rPr>
                <w:sz w:val="20"/>
                <w:szCs w:val="20"/>
              </w:rPr>
            </w:pPr>
            <w:r>
              <w:rPr>
                <w:sz w:val="20"/>
                <w:szCs w:val="20"/>
              </w:rPr>
              <w:t xml:space="preserve">СС КонсультантПлюс: Консультации для бюджетных организаций (ОД10);</w:t>
            </w:r>
            <w:r>
              <w:rPr>
                <w:sz w:val="20"/>
                <w:szCs w:val="20"/>
              </w:rPr>
            </w:r>
            <w:r>
              <w:rPr>
                <w:sz w:val="20"/>
                <w:szCs w:val="20"/>
              </w:rPr>
            </w:r>
          </w:p>
          <w:p>
            <w:pPr>
              <w:ind w:right="75"/>
              <w:jc w:val="left"/>
              <w:spacing w:after="0"/>
              <w:rPr>
                <w:sz w:val="20"/>
                <w:szCs w:val="20"/>
              </w:rPr>
            </w:pPr>
            <w:r>
              <w:rPr>
                <w:sz w:val="20"/>
                <w:szCs w:val="20"/>
              </w:rPr>
              <w:t xml:space="preserve">СС КонсультантАрбитраж: Арбитражные суды всех округов (ОД10);</w:t>
            </w:r>
            <w:r>
              <w:rPr>
                <w:sz w:val="20"/>
                <w:szCs w:val="20"/>
              </w:rPr>
            </w:r>
            <w:r>
              <w:rPr>
                <w:sz w:val="20"/>
                <w:szCs w:val="20"/>
              </w:rPr>
            </w:r>
          </w:p>
          <w:p>
            <w:pPr>
              <w:ind w:right="75"/>
              <w:jc w:val="left"/>
              <w:spacing w:after="0"/>
              <w:rPr>
                <w:sz w:val="20"/>
                <w:szCs w:val="20"/>
              </w:rPr>
            </w:pPr>
            <w:r>
              <w:rPr>
                <w:sz w:val="20"/>
                <w:szCs w:val="20"/>
              </w:rPr>
              <w:t xml:space="preserve">СПС КонсультантПлюс: Московский выпуск (ОД10);</w:t>
            </w:r>
            <w:r>
              <w:rPr>
                <w:sz w:val="20"/>
                <w:szCs w:val="20"/>
              </w:rPr>
            </w:r>
            <w:r>
              <w:rPr>
                <w:sz w:val="20"/>
                <w:szCs w:val="20"/>
              </w:rPr>
            </w:r>
          </w:p>
          <w:p>
            <w:pPr>
              <w:ind w:right="75"/>
              <w:jc w:val="left"/>
              <w:spacing w:after="0"/>
              <w:rPr>
                <w:sz w:val="20"/>
                <w:szCs w:val="20"/>
              </w:rPr>
            </w:pPr>
            <w:r>
              <w:rPr>
                <w:sz w:val="20"/>
                <w:szCs w:val="20"/>
              </w:rPr>
              <w:t xml:space="preserve">СПС Консультант Юрист: Версия Проф (ОД10);</w:t>
            </w:r>
            <w:r>
              <w:rPr>
                <w:sz w:val="20"/>
                <w:szCs w:val="20"/>
              </w:rPr>
            </w:r>
            <w:r>
              <w:rPr>
                <w:sz w:val="20"/>
                <w:szCs w:val="20"/>
              </w:rPr>
            </w:r>
          </w:p>
          <w:p>
            <w:pPr>
              <w:ind w:right="75"/>
              <w:jc w:val="left"/>
              <w:spacing w:after="0"/>
              <w:rPr>
                <w:sz w:val="20"/>
                <w:szCs w:val="20"/>
              </w:rPr>
            </w:pPr>
            <w:r>
              <w:rPr>
                <w:sz w:val="20"/>
                <w:szCs w:val="20"/>
              </w:rPr>
              <w:t xml:space="preserve">СС КонсультантАрбитраж: Все апелляционные суды (ОД10);</w:t>
            </w:r>
            <w:r>
              <w:rPr>
                <w:sz w:val="20"/>
                <w:szCs w:val="20"/>
              </w:rPr>
            </w:r>
            <w:r>
              <w:rPr>
                <w:sz w:val="20"/>
                <w:szCs w:val="20"/>
              </w:rPr>
            </w:r>
          </w:p>
          <w:p>
            <w:pPr>
              <w:ind w:right="75"/>
              <w:jc w:val="left"/>
              <w:spacing w:after="0"/>
              <w:rPr>
                <w:sz w:val="20"/>
                <w:szCs w:val="20"/>
              </w:rPr>
            </w:pPr>
            <w:r>
              <w:rPr>
                <w:sz w:val="20"/>
                <w:szCs w:val="20"/>
              </w:rPr>
              <w:t xml:space="preserve">СС КонсультантПлюс: Технические нормы (ОД10);</w:t>
            </w:r>
            <w:r>
              <w:rPr>
                <w:sz w:val="20"/>
                <w:szCs w:val="20"/>
              </w:rPr>
            </w:r>
            <w:r>
              <w:rPr>
                <w:sz w:val="20"/>
                <w:szCs w:val="20"/>
              </w:rPr>
            </w:r>
          </w:p>
          <w:p>
            <w:pPr>
              <w:ind w:right="75"/>
              <w:jc w:val="left"/>
              <w:spacing w:after="0"/>
              <w:rPr>
                <w:sz w:val="20"/>
                <w:szCs w:val="20"/>
              </w:rPr>
            </w:pPr>
            <w:r>
              <w:rPr>
                <w:sz w:val="20"/>
                <w:szCs w:val="20"/>
              </w:rPr>
              <w:t xml:space="preserve">СС Изменения в регулировании госзакупок (ОД10);</w:t>
            </w:r>
            <w:r>
              <w:rPr>
                <w:sz w:val="20"/>
                <w:szCs w:val="20"/>
              </w:rPr>
            </w:r>
            <w:r>
              <w:rPr>
                <w:sz w:val="20"/>
                <w:szCs w:val="20"/>
              </w:rPr>
            </w:r>
          </w:p>
          <w:p>
            <w:pPr>
              <w:ind w:right="75"/>
              <w:jc w:val="left"/>
              <w:spacing w:after="0"/>
              <w:rPr>
                <w:sz w:val="20"/>
                <w:szCs w:val="20"/>
              </w:rPr>
            </w:pPr>
            <w:r>
              <w:rPr>
                <w:sz w:val="20"/>
                <w:szCs w:val="20"/>
              </w:rPr>
              <w:t xml:space="preserve">СС Позиции судов по спорным вопросам. Арбитражный процесс (ОД10);</w:t>
            </w:r>
            <w:r>
              <w:rPr>
                <w:sz w:val="20"/>
                <w:szCs w:val="20"/>
              </w:rPr>
            </w:r>
            <w:r>
              <w:rPr>
                <w:sz w:val="20"/>
                <w:szCs w:val="20"/>
              </w:rPr>
            </w:r>
          </w:p>
          <w:p>
            <w:pPr>
              <w:ind w:right="75"/>
              <w:jc w:val="left"/>
              <w:spacing w:after="0"/>
              <w:rPr>
                <w:sz w:val="20"/>
                <w:szCs w:val="20"/>
              </w:rPr>
            </w:pPr>
            <w:r>
              <w:rPr>
                <w:sz w:val="20"/>
                <w:szCs w:val="20"/>
              </w:rPr>
              <w:t xml:space="preserve">СС Позиции судов по спорным вопросам. Бюджетные организации (ОД10).</w:t>
            </w:r>
            <w:r>
              <w:rPr>
                <w:sz w:val="20"/>
                <w:szCs w:val="20"/>
              </w:rPr>
            </w:r>
            <w:r>
              <w:rPr>
                <w:sz w:val="20"/>
                <w:szCs w:val="20"/>
              </w:rPr>
            </w:r>
          </w:p>
          <w:p>
            <w:pPr>
              <w:spacing w:after="0"/>
              <w:rPr>
                <w:color w:val="0d0d0d"/>
                <w:sz w:val="20"/>
                <w:szCs w:val="20"/>
                <w:lang w:eastAsia="ar-SA"/>
              </w:rPr>
            </w:pPr>
            <w:r>
              <w:rPr>
                <w:sz w:val="20"/>
                <w:szCs w:val="20"/>
              </w:rPr>
              <w:t xml:space="preserve">ОКПД2: 62.02.30.000 - Услуги по технической поддержке информационных технологий.</w:t>
            </w:r>
            <w:r>
              <w:rPr>
                <w:color w:val="0d0d0d"/>
                <w:sz w:val="20"/>
                <w:szCs w:val="20"/>
                <w:lang w:eastAsia="ar-SA"/>
              </w:rPr>
            </w:r>
            <w:r>
              <w:rPr>
                <w:color w:val="0d0d0d"/>
                <w:sz w:val="20"/>
                <w:szCs w:val="20"/>
                <w:lang w:eastAsia="ar-SA"/>
              </w:rPr>
            </w:r>
          </w:p>
        </w:tc>
        <w:tc>
          <w:tcPr>
            <w:shd w:val="clear" w:color="auto" w:fill="auto"/>
            <w:tcBorders>
              <w:top w:val="single" w:color="auto" w:sz="4" w:space="0"/>
              <w:left w:val="single" w:color="auto" w:sz="4" w:space="0"/>
            </w:tcBorders>
            <w:tcW w:w="451" w:type="dxa"/>
            <w:textDirection w:val="lrTb"/>
            <w:noWrap w:val="false"/>
          </w:tcPr>
          <w:p>
            <w:pPr>
              <w:jc w:val="center"/>
              <w:spacing w:after="0"/>
              <w:rPr>
                <w:color w:val="0d0d0d"/>
                <w:sz w:val="20"/>
                <w:szCs w:val="20"/>
                <w:lang w:eastAsia="ar-SA"/>
              </w:rPr>
            </w:pPr>
            <w:r>
              <w:rPr>
                <w:color w:val="0d0d0d"/>
                <w:sz w:val="20"/>
                <w:szCs w:val="20"/>
                <w:lang w:eastAsia="ar-SA"/>
              </w:rPr>
              <w:t xml:space="preserve">1 </w:t>
            </w:r>
            <w:r>
              <w:rPr>
                <w:color w:val="0d0d0d"/>
                <w:sz w:val="20"/>
                <w:szCs w:val="20"/>
                <w:lang w:eastAsia="ar-SA"/>
              </w:rPr>
            </w:r>
            <w:r>
              <w:rPr>
                <w:color w:val="0d0d0d"/>
                <w:sz w:val="20"/>
                <w:szCs w:val="20"/>
                <w:lang w:eastAsia="ar-SA"/>
              </w:rPr>
            </w:r>
          </w:p>
        </w:tc>
        <w:tc>
          <w:tcPr>
            <w:shd w:val="clear" w:color="ffffff" w:fill="ffffff"/>
            <w:tcBorders>
              <w:top w:val="single" w:color="000000" w:sz="4" w:space="0"/>
              <w:left w:val="single" w:color="000000" w:sz="4" w:space="0"/>
            </w:tcBorders>
            <w:tcW w:w="426" w:type="dxa"/>
            <w:textDirection w:val="lrTb"/>
            <w:noWrap w:val="false"/>
          </w:tcPr>
          <w:p>
            <w:pPr>
              <w:jc w:val="center"/>
              <w:rPr>
                <w:color w:val="0d0d0d"/>
                <w:sz w:val="20"/>
                <w:szCs w:val="20"/>
                <w:lang w:eastAsia="ar-SA"/>
              </w:rPr>
            </w:pPr>
            <w:r>
              <w:rPr>
                <w:color w:val="0d0d0d"/>
                <w:sz w:val="20"/>
                <w:szCs w:val="20"/>
                <w:lang w:eastAsia="ar-SA"/>
              </w:rPr>
              <w:t xml:space="preserve">шт.</w:t>
            </w:r>
            <w:r>
              <w:rPr>
                <w:color w:val="0d0d0d"/>
                <w:sz w:val="20"/>
                <w:szCs w:val="20"/>
                <w:lang w:eastAsia="ar-SA"/>
              </w:rPr>
            </w:r>
            <w:r>
              <w:rPr>
                <w:color w:val="0d0d0d"/>
                <w:sz w:val="20"/>
                <w:szCs w:val="20"/>
                <w:lang w:eastAsia="ar-SA"/>
              </w:rPr>
            </w:r>
          </w:p>
        </w:tc>
        <w:tc>
          <w:tcPr>
            <w:shd w:val="clear" w:color="auto" w:fill="auto"/>
            <w:tcBorders>
              <w:top w:val="single" w:color="auto" w:sz="4" w:space="0"/>
              <w:left w:val="single" w:color="auto" w:sz="4" w:space="0"/>
            </w:tcBorders>
            <w:tcW w:w="1108" w:type="dxa"/>
            <w:textDirection w:val="lrTb"/>
            <w:noWrap w:val="false"/>
          </w:tcPr>
          <w:p>
            <w:pPr>
              <w:jc w:val="center"/>
              <w:spacing w:after="0"/>
              <w:rPr>
                <w:color w:val="0d0d0d"/>
                <w:sz w:val="20"/>
                <w:szCs w:val="20"/>
                <w:lang w:eastAsia="ar-SA"/>
              </w:rPr>
            </w:pPr>
            <w:r>
              <w:rPr>
                <w:color w:val="0d0d0d"/>
                <w:sz w:val="20"/>
                <w:szCs w:val="20"/>
                <w:lang w:eastAsia="ar-SA"/>
              </w:rPr>
            </w:r>
            <w:r>
              <w:rPr>
                <w:color w:val="0d0d0d"/>
                <w:sz w:val="20"/>
                <w:szCs w:val="20"/>
                <w:lang w:eastAsia="ar-SA"/>
              </w:rPr>
            </w:r>
            <w:r>
              <w:rPr>
                <w:color w:val="0d0d0d"/>
                <w:sz w:val="20"/>
                <w:szCs w:val="20"/>
                <w:lang w:eastAsia="ar-SA"/>
              </w:rPr>
            </w:r>
          </w:p>
        </w:tc>
        <w:tc>
          <w:tcPr>
            <w:gridSpan w:val="2"/>
            <w:shd w:val="clear" w:color="auto" w:fill="auto"/>
            <w:tcBorders>
              <w:top w:val="single" w:color="auto" w:sz="4" w:space="0"/>
              <w:left w:val="single" w:color="auto" w:sz="4" w:space="0"/>
              <w:right w:val="single" w:color="auto" w:sz="4" w:space="0"/>
            </w:tcBorders>
            <w:tcW w:w="1244" w:type="dxa"/>
            <w:textDirection w:val="lrTb"/>
            <w:noWrap w:val="false"/>
          </w:tcPr>
          <w:p>
            <w:pPr>
              <w:jc w:val="center"/>
              <w:spacing w:after="0"/>
              <w:rPr>
                <w:color w:val="0d0d0d"/>
                <w:sz w:val="20"/>
                <w:szCs w:val="20"/>
                <w:lang w:eastAsia="ar-SA"/>
              </w:rPr>
            </w:pPr>
            <w:r>
              <w:rPr>
                <w:color w:val="0d0d0d"/>
                <w:sz w:val="20"/>
                <w:szCs w:val="20"/>
                <w:lang w:eastAsia="ar-SA"/>
              </w:rPr>
            </w:r>
            <w:r>
              <w:rPr>
                <w:color w:val="0d0d0d"/>
                <w:sz w:val="20"/>
                <w:szCs w:val="20"/>
                <w:lang w:eastAsia="ar-SA"/>
              </w:rPr>
            </w:r>
            <w:r>
              <w:rPr>
                <w:color w:val="0d0d0d"/>
                <w:sz w:val="20"/>
                <w:szCs w:val="20"/>
                <w:lang w:eastAsia="ar-SA"/>
              </w:rPr>
            </w:r>
          </w:p>
        </w:tc>
      </w:tr>
      <w:tr>
        <w:tblPrEx/>
        <w:trPr>
          <w:gridAfter w:val="1"/>
        </w:trPr>
        <w:tc>
          <w:tcPr>
            <w:gridSpan w:val="5"/>
            <w:shd w:val="clear" w:color="ffffff" w:fill="ffffff"/>
            <w:tcBorders>
              <w:top w:val="single" w:color="000000" w:sz="4" w:space="0"/>
              <w:left w:val="single" w:color="000000" w:sz="4" w:space="0"/>
              <w:bottom w:val="single" w:color="000000" w:sz="4" w:space="0"/>
            </w:tcBorders>
            <w:tcW w:w="8926" w:type="dxa"/>
            <w:textDirection w:val="lrTb"/>
            <w:noWrap w:val="false"/>
          </w:tcPr>
          <w:p>
            <w:pPr>
              <w:jc w:val="right"/>
              <w:spacing w:after="0"/>
              <w:rPr>
                <w:color w:val="0d0d0d"/>
                <w:sz w:val="20"/>
                <w:szCs w:val="20"/>
                <w:lang w:eastAsia="ar-SA"/>
              </w:rPr>
            </w:pPr>
            <w:r>
              <w:rPr>
                <w:color w:val="0d0d0d"/>
                <w:sz w:val="20"/>
                <w:szCs w:val="20"/>
                <w:lang w:eastAsia="ar-SA"/>
              </w:rPr>
              <w:t xml:space="preserve">Итого:</w:t>
            </w:r>
            <w:r>
              <w:rPr>
                <w:color w:val="0d0d0d"/>
                <w:sz w:val="20"/>
                <w:szCs w:val="20"/>
                <w:lang w:eastAsia="ar-SA"/>
              </w:rPr>
            </w:r>
            <w:r>
              <w:rPr>
                <w:color w:val="0d0d0d"/>
                <w:sz w:val="20"/>
                <w:szCs w:val="20"/>
                <w:lang w:eastAsia="ar-SA"/>
              </w:rPr>
            </w:r>
          </w:p>
        </w:tc>
        <w:tc>
          <w:tcPr>
            <w:shd w:val="clear" w:color="auto" w:fill="auto"/>
            <w:tcBorders>
              <w:top w:val="single" w:color="auto" w:sz="4" w:space="0"/>
              <w:left w:val="single" w:color="auto" w:sz="4" w:space="0"/>
              <w:bottom w:val="single" w:color="auto" w:sz="4" w:space="0"/>
              <w:right w:val="single" w:color="auto" w:sz="4" w:space="0"/>
            </w:tcBorders>
            <w:tcW w:w="1237" w:type="dxa"/>
            <w:textDirection w:val="lrTb"/>
            <w:noWrap w:val="false"/>
          </w:tcPr>
          <w:p>
            <w:pPr>
              <w:jc w:val="center"/>
              <w:spacing w:after="0"/>
              <w:rPr>
                <w:color w:val="0d0d0d"/>
                <w:sz w:val="20"/>
                <w:szCs w:val="20"/>
                <w:lang w:eastAsia="ar-SA"/>
              </w:rPr>
            </w:pPr>
            <w:r>
              <w:rPr>
                <w:color w:val="0d0d0d"/>
                <w:sz w:val="20"/>
                <w:szCs w:val="20"/>
                <w:lang w:eastAsia="ar-SA"/>
              </w:rPr>
            </w:r>
            <w:r>
              <w:rPr>
                <w:color w:val="0d0d0d"/>
                <w:sz w:val="20"/>
                <w:szCs w:val="20"/>
                <w:lang w:eastAsia="ar-SA"/>
              </w:rPr>
            </w:r>
            <w:r>
              <w:rPr>
                <w:color w:val="0d0d0d"/>
                <w:sz w:val="20"/>
                <w:szCs w:val="20"/>
                <w:lang w:eastAsia="ar-SA"/>
              </w:rPr>
            </w:r>
          </w:p>
        </w:tc>
      </w:tr>
    </w:tbl>
    <w:p>
      <w:pPr>
        <w:spacing w:after="0"/>
        <w:rPr>
          <w:color w:val="0d0d0d"/>
          <w:lang w:eastAsia="ar-SA"/>
        </w:rPr>
      </w:pPr>
      <w:r>
        <w:rPr>
          <w:color w:val="0d0d0d"/>
          <w:lang w:eastAsia="ar-SA"/>
        </w:rPr>
      </w:r>
      <w:r>
        <w:rPr>
          <w:color w:val="0d0d0d"/>
          <w:lang w:eastAsia="ar-SA"/>
        </w:rPr>
      </w:r>
      <w:r>
        <w:rPr>
          <w:color w:val="0d0d0d"/>
          <w:lang w:eastAsia="ar-SA"/>
        </w:rPr>
      </w:r>
    </w:p>
    <w:p>
      <w:pPr>
        <w:ind w:firstLine="425"/>
        <w:spacing w:after="0"/>
        <w:tabs>
          <w:tab w:val="left" w:pos="0" w:leader="none"/>
        </w:tabs>
        <w:rPr>
          <w:iCs/>
          <w:color w:val="0d0d0d"/>
          <w:lang w:eastAsia="ar-SA"/>
        </w:rPr>
      </w:pPr>
      <w:r>
        <w:rPr>
          <w:color w:val="0d0d0d"/>
          <w:lang w:eastAsia="ar-SA"/>
        </w:rPr>
        <w:t xml:space="preserve">2. Стоимость Услуги, оказанной в соответствии с условиями Контракта </w:t>
      </w:r>
      <w:r>
        <w:rPr>
          <w:shd w:val="clear" w:color="auto" w:fill="ffffff"/>
        </w:rPr>
        <w:t xml:space="preserve">составляет</w:t>
      </w:r>
      <w:r>
        <w:rPr>
          <w:shd w:val="clear" w:color="auto" w:fill="ffffff"/>
        </w:rPr>
        <w:t xml:space="preserve"> </w:t>
      </w:r>
      <w:r>
        <w:t xml:space="preserve">__________ (____________) рублей _________ копеек, в том числе НДС ______________ </w:t>
      </w:r>
      <w:r>
        <w:rPr>
          <w:i/>
        </w:rPr>
        <w:t xml:space="preserve">(в случае, если услуги, оказываемые по Контракту, в соответствии 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Pr>
          <w:color w:val="0d0d0d"/>
          <w:lang w:eastAsia="ar-SA"/>
        </w:rPr>
        <w:t xml:space="preserve">.</w:t>
      </w:r>
      <w:r>
        <w:rPr>
          <w:iCs/>
          <w:color w:val="0d0d0d"/>
          <w:lang w:eastAsia="ar-SA"/>
        </w:rPr>
      </w:r>
      <w:r>
        <w:rPr>
          <w:iCs/>
          <w:color w:val="0d0d0d"/>
          <w:lang w:eastAsia="ar-SA"/>
        </w:rPr>
      </w:r>
    </w:p>
    <w:p>
      <w:pPr>
        <w:numPr>
          <w:ilvl w:val="0"/>
          <w:numId w:val="1"/>
        </w:numPr>
        <w:ind w:left="0" w:firstLine="426"/>
        <w:spacing w:after="0"/>
        <w:rPr>
          <w:color w:val="0d0d0d"/>
          <w:lang w:eastAsia="ar-SA"/>
        </w:rPr>
      </w:pPr>
      <w:r>
        <w:rPr>
          <w:color w:val="0d0d0d"/>
          <w:lang w:eastAsia="ar-SA"/>
        </w:rPr>
        <w:t xml:space="preserve">Услуга оказана в срок, в полном объеме в соответствии с условиями Контракта. Заказчик претензий к качеству оказанной Услуги не имеет. </w:t>
      </w:r>
      <w:r>
        <w:rPr>
          <w:color w:val="0d0d0d"/>
          <w:lang w:eastAsia="ar-SA"/>
        </w:rPr>
      </w:r>
      <w:r>
        <w:rPr>
          <w:color w:val="0d0d0d"/>
          <w:lang w:eastAsia="ar-SA"/>
        </w:rPr>
      </w:r>
    </w:p>
    <w:p>
      <w:pPr>
        <w:numPr>
          <w:ilvl w:val="0"/>
          <w:numId w:val="1"/>
        </w:numPr>
        <w:ind w:left="0" w:firstLine="426"/>
        <w:spacing w:after="0"/>
        <w:rPr>
          <w:color w:val="0d0d0d"/>
          <w:lang w:eastAsia="ar-SA"/>
        </w:rPr>
      </w:pPr>
      <w:r>
        <w:rPr>
          <w:color w:val="0d0d0d"/>
          <w:lang w:eastAsia="ar-SA"/>
        </w:rPr>
        <w:t xml:space="preserve">Настоящий Акт составлен в двух экземплярах, имеющих равную юридическую силу, по одному экземпляру для каждой из Сторон.</w:t>
      </w:r>
      <w:r>
        <w:rPr>
          <w:color w:val="0d0d0d"/>
          <w:lang w:eastAsia="ar-SA"/>
        </w:rPr>
      </w:r>
      <w:r>
        <w:rPr>
          <w:color w:val="0d0d0d"/>
          <w:lang w:eastAsia="ar-SA"/>
        </w:rPr>
      </w:r>
    </w:p>
    <w:p>
      <w:pPr>
        <w:spacing w:after="0"/>
        <w:rPr>
          <w:color w:val="0d0d0d"/>
          <w:lang w:eastAsia="ar-SA"/>
        </w:rPr>
      </w:pPr>
      <w:r>
        <w:rPr>
          <w:color w:val="0d0d0d"/>
          <w:lang w:eastAsia="ar-SA"/>
        </w:rPr>
      </w:r>
      <w:r>
        <w:rPr>
          <w:color w:val="0d0d0d"/>
          <w:lang w:eastAsia="ar-SA"/>
        </w:rPr>
      </w:r>
      <w:r>
        <w:rPr>
          <w:color w:val="0d0d0d"/>
          <w:lang w:eastAsia="ar-SA"/>
        </w:rPr>
      </w:r>
    </w:p>
    <w:p>
      <w:pPr>
        <w:spacing w:after="0"/>
        <w:rPr>
          <w:color w:val="0d0d0d"/>
          <w:lang w:eastAsia="ar-SA"/>
        </w:rPr>
      </w:pPr>
      <w:r>
        <w:rPr>
          <w:color w:val="0d0d0d"/>
          <w:lang w:eastAsia="ar-SA"/>
        </w:rPr>
        <w:t xml:space="preserve">Форма акта согласована: </w:t>
      </w:r>
      <w:r>
        <w:rPr>
          <w:color w:val="0d0d0d"/>
          <w:lang w:eastAsia="ar-SA"/>
        </w:rPr>
      </w:r>
      <w:r>
        <w:rPr>
          <w:color w:val="0d0d0d"/>
          <w:lang w:eastAsia="ar-SA"/>
        </w:rPr>
      </w:r>
    </w:p>
    <w:tbl>
      <w:tblPr>
        <w:tblW w:w="10578" w:type="dxa"/>
        <w:tblInd w:w="-108" w:type="dxa"/>
        <w:tblLayout w:type="fixed"/>
        <w:tblLook w:val="04A0" w:firstRow="1" w:lastRow="0" w:firstColumn="1" w:lastColumn="0" w:noHBand="0" w:noVBand="1"/>
      </w:tblPr>
      <w:tblGrid>
        <w:gridCol w:w="4752"/>
        <w:gridCol w:w="817"/>
        <w:gridCol w:w="5009"/>
      </w:tblGrid>
      <w:tr>
        <w:tblPrEx/>
        <w:trPr/>
        <w:tc>
          <w:tcPr>
            <w:tcW w:w="4752" w:type="dxa"/>
            <w:textDirection w:val="lrTb"/>
            <w:noWrap w:val="false"/>
          </w:tcPr>
          <w:p>
            <w:pPr>
              <w:jc w:val="left"/>
              <w:spacing w:after="0"/>
              <w:rPr>
                <w:b/>
                <w:color w:val="0d0d0d"/>
              </w:rPr>
            </w:pPr>
            <w:r>
              <w:rPr>
                <w:b/>
                <w:color w:val="0d0d0d"/>
              </w:rPr>
              <w:t xml:space="preserve">ЗАКАЗЧИК:</w:t>
            </w:r>
            <w:r>
              <w:rPr>
                <w:b/>
                <w:color w:val="0d0d0d"/>
              </w:rPr>
            </w:r>
            <w:r>
              <w:rPr>
                <w:b/>
                <w:color w:val="0d0d0d"/>
              </w:rPr>
            </w:r>
          </w:p>
          <w:p>
            <w:pPr>
              <w:jc w:val="left"/>
              <w:spacing w:after="0"/>
              <w:rPr>
                <w:color w:val="0d0d0d"/>
              </w:rPr>
            </w:pPr>
            <w:r>
              <w:rPr>
                <w:color w:val="0d0d0d"/>
              </w:rPr>
              <w:t xml:space="preserve">Директор</w:t>
            </w:r>
            <w:r>
              <w:rPr>
                <w:color w:val="0d0d0d"/>
              </w:rPr>
            </w:r>
            <w:r>
              <w:rPr>
                <w:color w:val="0d0d0d"/>
              </w:rPr>
            </w:r>
          </w:p>
          <w:p>
            <w:pPr>
              <w:jc w:val="left"/>
              <w:spacing w:after="0"/>
              <w:rPr>
                <w:color w:val="0d0d0d"/>
              </w:rPr>
            </w:pPr>
            <w:r>
              <w:rPr>
                <w:color w:val="0d0d0d"/>
              </w:rPr>
            </w:r>
            <w:r>
              <w:rPr>
                <w:color w:val="0d0d0d"/>
              </w:rPr>
            </w:r>
            <w:r>
              <w:rPr>
                <w:color w:val="0d0d0d"/>
              </w:rPr>
            </w:r>
          </w:p>
          <w:p>
            <w:pPr>
              <w:jc w:val="left"/>
              <w:spacing w:after="0"/>
              <w:rPr>
                <w:color w:val="0d0d0d"/>
              </w:rPr>
            </w:pPr>
            <w:r>
              <w:rPr>
                <w:color w:val="0d0d0d"/>
              </w:rPr>
            </w:r>
            <w:r>
              <w:rPr>
                <w:color w:val="0d0d0d"/>
              </w:rPr>
            </w:r>
            <w:r>
              <w:rPr>
                <w:color w:val="0d0d0d"/>
              </w:rPr>
            </w:r>
          </w:p>
          <w:p>
            <w:pPr>
              <w:jc w:val="left"/>
              <w:spacing w:after="0"/>
              <w:rPr>
                <w:color w:val="0d0d0d"/>
              </w:rPr>
            </w:pPr>
            <w:r>
              <w:rPr>
                <w:color w:val="0d0d0d"/>
              </w:rPr>
              <w:t xml:space="preserve">________________/</w:t>
            </w:r>
            <w:r>
              <w:rPr>
                <w:color w:val="000000"/>
              </w:rPr>
              <w:t xml:space="preserve"> А.В. Кисляков</w:t>
            </w:r>
            <w:r>
              <w:rPr>
                <w:color w:val="0d0d0d"/>
              </w:rPr>
              <w:t xml:space="preserve"> /</w:t>
            </w:r>
            <w:r>
              <w:rPr>
                <w:color w:val="0d0d0d"/>
              </w:rPr>
            </w:r>
            <w:r>
              <w:rPr>
                <w:color w:val="0d0d0d"/>
              </w:rPr>
            </w:r>
          </w:p>
          <w:p>
            <w:pPr>
              <w:jc w:val="left"/>
              <w:spacing w:after="0"/>
              <w:rPr>
                <w:color w:val="0d0d0d"/>
              </w:rPr>
            </w:pPr>
            <w:r>
              <w:rPr>
                <w:lang w:val="en-US"/>
              </w:rPr>
              <w:t xml:space="preserve">ЭЦП</w:t>
            </w:r>
            <w:r>
              <w:rPr>
                <w:color w:val="0d0d0d"/>
              </w:rPr>
            </w:r>
            <w:r>
              <w:rPr>
                <w:color w:val="0d0d0d"/>
              </w:rPr>
            </w:r>
          </w:p>
        </w:tc>
        <w:tc>
          <w:tcPr>
            <w:tcBorders>
              <w:left w:val="none" w:color="000000" w:sz="4" w:space="0"/>
            </w:tcBorders>
            <w:tcW w:w="817" w:type="dxa"/>
            <w:textDirection w:val="lrTb"/>
            <w:noWrap w:val="false"/>
          </w:tcPr>
          <w:p>
            <w:pPr>
              <w:jc w:val="left"/>
              <w:spacing w:after="0"/>
              <w:rPr>
                <w:color w:val="0d0d0d"/>
              </w:rPr>
            </w:pPr>
            <w:r>
              <w:rPr>
                <w:color w:val="0d0d0d"/>
              </w:rPr>
            </w:r>
            <w:r>
              <w:rPr>
                <w:color w:val="0d0d0d"/>
              </w:rPr>
            </w:r>
            <w:r>
              <w:rPr>
                <w:color w:val="0d0d0d"/>
              </w:rPr>
            </w:r>
          </w:p>
        </w:tc>
        <w:tc>
          <w:tcPr>
            <w:tcW w:w="5009" w:type="dxa"/>
            <w:textDirection w:val="lrTb"/>
            <w:noWrap w:val="false"/>
          </w:tcPr>
          <w:p>
            <w:pPr>
              <w:jc w:val="left"/>
              <w:spacing w:after="0"/>
              <w:rPr>
                <w:b/>
                <w:color w:val="0d0d0d"/>
              </w:rPr>
            </w:pPr>
            <w:r>
              <w:rPr>
                <w:b/>
                <w:color w:val="0d0d0d"/>
              </w:rPr>
              <w:t xml:space="preserve">ИСПОЛНИТЕЛЬ:</w:t>
            </w:r>
            <w:r>
              <w:rPr>
                <w:b/>
                <w:color w:val="0d0d0d"/>
              </w:rPr>
            </w:r>
            <w:r>
              <w:rPr>
                <w:b/>
                <w:color w:val="0d0d0d"/>
              </w:rPr>
            </w:r>
          </w:p>
          <w:p>
            <w:pPr>
              <w:jc w:val="left"/>
              <w:spacing w:after="0"/>
              <w:rPr>
                <w:color w:val="0d0d0d"/>
              </w:rPr>
            </w:pPr>
            <w:r>
              <w:rPr>
                <w:color w:val="0d0d0d"/>
              </w:rPr>
            </w:r>
            <w:r>
              <w:rPr>
                <w:color w:val="0d0d0d"/>
              </w:rPr>
            </w:r>
            <w:r>
              <w:rPr>
                <w:color w:val="0d0d0d"/>
              </w:rPr>
            </w:r>
          </w:p>
          <w:p>
            <w:pPr>
              <w:jc w:val="left"/>
              <w:spacing w:after="0"/>
              <w:rPr>
                <w:color w:val="0d0d0d"/>
              </w:rPr>
            </w:pPr>
            <w:r>
              <w:rPr>
                <w:color w:val="0d0d0d"/>
              </w:rPr>
            </w:r>
            <w:r>
              <w:rPr>
                <w:color w:val="0d0d0d"/>
              </w:rPr>
            </w:r>
            <w:r>
              <w:rPr>
                <w:color w:val="0d0d0d"/>
              </w:rPr>
            </w:r>
          </w:p>
          <w:p>
            <w:pPr>
              <w:jc w:val="left"/>
              <w:spacing w:after="0"/>
              <w:rPr>
                <w:color w:val="0d0d0d"/>
              </w:rPr>
            </w:pPr>
            <w:r>
              <w:rPr>
                <w:color w:val="0d0d0d"/>
              </w:rPr>
            </w:r>
            <w:r>
              <w:rPr>
                <w:color w:val="0d0d0d"/>
              </w:rPr>
            </w:r>
            <w:r>
              <w:rPr>
                <w:color w:val="0d0d0d"/>
              </w:rPr>
            </w:r>
          </w:p>
          <w:p>
            <w:pPr>
              <w:jc w:val="left"/>
              <w:spacing w:after="0"/>
              <w:rPr>
                <w:color w:val="0d0d0d"/>
              </w:rPr>
            </w:pPr>
            <w:r>
              <w:rPr>
                <w:color w:val="0d0d0d"/>
              </w:rPr>
              <w:t xml:space="preserve">__________________/_______________/</w:t>
            </w:r>
            <w:r>
              <w:rPr>
                <w:color w:val="0d0d0d"/>
              </w:rPr>
            </w:r>
            <w:r>
              <w:rPr>
                <w:color w:val="0d0d0d"/>
              </w:rPr>
            </w:r>
          </w:p>
          <w:p>
            <w:pPr>
              <w:jc w:val="left"/>
              <w:spacing w:after="0"/>
              <w:rPr>
                <w:color w:val="0d0d0d"/>
              </w:rPr>
            </w:pPr>
            <w:r>
              <w:rPr>
                <w:lang w:val="en-US"/>
              </w:rPr>
              <w:t xml:space="preserve">ЭЦП</w:t>
            </w:r>
            <w:r>
              <w:rPr>
                <w:color w:val="0d0d0d"/>
              </w:rPr>
            </w:r>
            <w:r>
              <w:rPr>
                <w:color w:val="0d0d0d"/>
              </w:rPr>
            </w:r>
          </w:p>
        </w:tc>
      </w:tr>
    </w:tbl>
    <w:p>
      <w:pPr>
        <w:jc w:val="right"/>
        <w:spacing w:after="0"/>
        <w:rPr>
          <w:color w:val="0d0d0d"/>
        </w:rPr>
      </w:pPr>
      <w:r>
        <w:rPr>
          <w:color w:val="0d0d0d"/>
        </w:rPr>
      </w:r>
      <w:r>
        <w:rPr>
          <w:color w:val="0d0d0d"/>
        </w:rPr>
      </w:r>
      <w:r>
        <w:rPr>
          <w:color w:val="0d0d0d"/>
        </w:rPr>
      </w:r>
    </w:p>
    <w:p>
      <w:pPr>
        <w:jc w:val="left"/>
        <w:spacing w:after="160" w:line="259" w:lineRule="auto"/>
        <w:rPr>
          <w:color w:val="0d0d0d"/>
        </w:rPr>
      </w:pPr>
      <w:r>
        <w:rPr>
          <w:color w:val="0d0d0d"/>
        </w:rPr>
        <w:br w:type="page" w:clear="all"/>
      </w:r>
      <w:r>
        <w:rPr>
          <w:color w:val="0d0d0d"/>
        </w:rPr>
      </w:r>
      <w:r>
        <w:rPr>
          <w:color w:val="0d0d0d"/>
        </w:rPr>
      </w:r>
    </w:p>
    <w:p>
      <w:pPr>
        <w:jc w:val="right"/>
        <w:spacing w:after="0"/>
        <w:rPr>
          <w:color w:val="0d0d0d"/>
        </w:rPr>
      </w:pPr>
      <w:r>
        <w:rPr>
          <w:color w:val="0d0d0d"/>
        </w:rPr>
        <w:t xml:space="preserve">Приложение № 4</w:t>
      </w:r>
      <w:r>
        <w:rPr>
          <w:color w:val="0d0d0d"/>
        </w:rPr>
      </w:r>
      <w:r>
        <w:rPr>
          <w:color w:val="0d0d0d"/>
        </w:rPr>
      </w:r>
    </w:p>
    <w:p>
      <w:pPr>
        <w:jc w:val="right"/>
        <w:spacing w:after="0"/>
        <w:rPr>
          <w:color w:val="0d0d0d"/>
        </w:rPr>
      </w:pPr>
      <w:r>
        <w:rPr>
          <w:color w:val="0d0d0d"/>
        </w:rPr>
        <w:t xml:space="preserve">к Контракту № ЕП/</w:t>
      </w:r>
      <w:r>
        <w:rPr>
          <w:color w:val="0d0d0d"/>
        </w:rPr>
        <w:t xml:space="preserve">26_ </w:t>
      </w:r>
      <w:r>
        <w:rPr>
          <w:color w:val="0d0d0d"/>
        </w:rPr>
      </w:r>
      <w:r>
        <w:rPr>
          <w:color w:val="0d0d0d"/>
        </w:rPr>
      </w:r>
    </w:p>
    <w:p>
      <w:pPr>
        <w:jc w:val="right"/>
        <w:spacing w:after="0"/>
        <w:rPr>
          <w:color w:val="0d0d0d"/>
        </w:rPr>
      </w:pPr>
      <w:r>
        <w:rPr>
          <w:color w:val="0d0d0d"/>
        </w:rPr>
        <w:t xml:space="preserve">от «____» ___________ 2026 г.</w:t>
      </w:r>
      <w:r>
        <w:rPr>
          <w:color w:val="0d0d0d"/>
        </w:rPr>
      </w:r>
      <w:r>
        <w:rPr>
          <w:color w:val="0d0d0d"/>
        </w:rPr>
      </w:r>
    </w:p>
    <w:p>
      <w:pPr>
        <w:jc w:val="center"/>
        <w:tabs>
          <w:tab w:val="left" w:pos="993" w:leader="none"/>
        </w:tabs>
        <w:rPr>
          <w:b/>
          <w:bCs/>
          <w:sz w:val="20"/>
          <w:szCs w:val="20"/>
        </w:rPr>
      </w:pPr>
      <w:r>
        <w:rPr>
          <w:b/>
          <w:bCs/>
          <w:sz w:val="20"/>
          <w:szCs w:val="20"/>
        </w:rPr>
        <w:t xml:space="preserve">ДЕКЛАРАЦИЯ </w:t>
      </w:r>
      <w:r>
        <w:rPr>
          <w:b/>
          <w:bCs/>
          <w:sz w:val="20"/>
          <w:szCs w:val="20"/>
        </w:rPr>
      </w:r>
      <w:r>
        <w:rPr>
          <w:b/>
          <w:bCs/>
          <w:sz w:val="20"/>
          <w:szCs w:val="20"/>
        </w:rPr>
      </w:r>
    </w:p>
    <w:p>
      <w:pPr>
        <w:tabs>
          <w:tab w:val="left" w:pos="993" w:leader="none"/>
        </w:tabs>
        <w:rPr>
          <w:bCs/>
          <w:sz w:val="20"/>
          <w:szCs w:val="20"/>
        </w:rPr>
      </w:pPr>
      <w:r>
        <w:rPr>
          <w:bCs/>
          <w:sz w:val="20"/>
          <w:szCs w:val="20"/>
        </w:rPr>
        <w:t xml:space="preserve">Настоящим </w:t>
      </w:r>
      <w:r>
        <w:rPr>
          <w:sz w:val="20"/>
          <w:szCs w:val="20"/>
        </w:rPr>
        <w:t xml:space="preserve">___________ (далее также - участник закупки)</w:t>
      </w:r>
      <w:r>
        <w:rPr>
          <w:bCs/>
          <w:sz w:val="20"/>
          <w:szCs w:val="20"/>
        </w:rPr>
        <w:t xml:space="preserve"> подтверждает, что </w:t>
      </w:r>
      <w:r>
        <w:rPr>
          <w:b/>
          <w:bCs/>
          <w:i/>
          <w:sz w:val="20"/>
          <w:szCs w:val="20"/>
        </w:rPr>
        <w:t xml:space="preserve">соответствует</w:t>
      </w:r>
      <w:r>
        <w:rPr>
          <w:bCs/>
          <w:sz w:val="20"/>
          <w:szCs w:val="20"/>
        </w:rPr>
        <w:t xml:space="preserve"> требованиям, установл</w:t>
      </w:r>
      <w:r>
        <w:rPr>
          <w:bCs/>
          <w:sz w:val="20"/>
          <w:szCs w:val="20"/>
        </w:rPr>
        <w:t xml:space="preserve">енным в соответствии с пунктами 3- 5,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Pr>
          <w:bCs/>
          <w:sz w:val="20"/>
          <w:szCs w:val="20"/>
        </w:rPr>
      </w:r>
      <w:r>
        <w:rPr>
          <w:bCs/>
          <w:sz w:val="20"/>
          <w:szCs w:val="20"/>
        </w:rPr>
      </w:r>
    </w:p>
    <w:p>
      <w:pPr>
        <w:tabs>
          <w:tab w:val="left" w:pos="993" w:leader="none"/>
        </w:tabs>
        <w:rPr>
          <w:bCs/>
          <w:sz w:val="20"/>
          <w:szCs w:val="20"/>
        </w:rPr>
      </w:pPr>
      <w:r>
        <w:rPr>
          <w:bCs/>
          <w:sz w:val="20"/>
          <w:szCs w:val="20"/>
        </w:rPr>
        <w:t xml:space="preserve">1)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являющегося объектом закупки (при необходимости); </w:t>
      </w:r>
      <w:r>
        <w:rPr>
          <w:bCs/>
          <w:sz w:val="20"/>
          <w:szCs w:val="20"/>
        </w:rPr>
      </w:r>
      <w:r>
        <w:rPr>
          <w:bCs/>
          <w:sz w:val="20"/>
          <w:szCs w:val="20"/>
        </w:rPr>
      </w:r>
    </w:p>
    <w:p>
      <w:pPr>
        <w:tabs>
          <w:tab w:val="left" w:pos="993" w:leader="none"/>
        </w:tabs>
        <w:rPr>
          <w:bCs/>
          <w:sz w:val="20"/>
          <w:szCs w:val="20"/>
        </w:rPr>
      </w:pPr>
      <w:r>
        <w:rPr>
          <w:bCs/>
          <w:sz w:val="20"/>
          <w:szCs w:val="20"/>
        </w:rPr>
        <w:t xml:space="preserve">2) требованию о </w:t>
      </w:r>
      <w:r>
        <w:rPr>
          <w:bCs/>
          <w:sz w:val="20"/>
          <w:szCs w:val="20"/>
        </w:rPr>
        <w:t xml:space="preserve">непроведении</w:t>
      </w:r>
      <w:r>
        <w:rPr>
          <w:bCs/>
          <w:sz w:val="20"/>
          <w:szCs w:val="20"/>
        </w:rPr>
        <w:t xml:space="preserve"> ликвидации </w:t>
      </w:r>
      <w:r>
        <w:rPr>
          <w:sz w:val="20"/>
          <w:szCs w:val="20"/>
        </w:rPr>
        <w:t xml:space="preserve">участник закупки</w:t>
      </w:r>
      <w:r>
        <w:rPr>
          <w:bCs/>
          <w:sz w:val="20"/>
          <w:szCs w:val="20"/>
        </w:rPr>
        <w:t xml:space="preserve"> и отсутствии решения арбитражного суда о признании участника закупки банкротом и об открытии конкурсного производства;</w:t>
      </w:r>
      <w:r>
        <w:rPr>
          <w:bCs/>
          <w:sz w:val="20"/>
          <w:szCs w:val="20"/>
        </w:rPr>
      </w:r>
      <w:r>
        <w:rPr>
          <w:bCs/>
          <w:sz w:val="20"/>
          <w:szCs w:val="20"/>
        </w:rPr>
      </w:r>
    </w:p>
    <w:p>
      <w:pPr>
        <w:numPr>
          <w:ilvl w:val="0"/>
          <w:numId w:val="16"/>
        </w:numPr>
        <w:ind w:left="0" w:firstLine="0"/>
        <w:rPr>
          <w:bCs/>
          <w:sz w:val="20"/>
          <w:szCs w:val="20"/>
        </w:rPr>
      </w:pPr>
      <w:r>
        <w:rPr>
          <w:bCs/>
          <w:sz w:val="20"/>
          <w:szCs w:val="20"/>
        </w:rPr>
        <w:t xml:space="preserve">требованию о </w:t>
      </w:r>
      <w:r>
        <w:rPr>
          <w:bCs/>
          <w:sz w:val="20"/>
          <w:szCs w:val="20"/>
        </w:rPr>
        <w:t xml:space="preserve">неприостановлении</w:t>
      </w:r>
      <w:r>
        <w:rPr>
          <w:bCs/>
          <w:sz w:val="20"/>
          <w:szCs w:val="20"/>
        </w:rPr>
        <w:t xml:space="preserve"> деятельности </w:t>
      </w:r>
      <w:r>
        <w:rPr>
          <w:sz w:val="20"/>
          <w:szCs w:val="20"/>
        </w:rPr>
        <w:t xml:space="preserve">участник закупки</w:t>
      </w:r>
      <w:r>
        <w:rPr>
          <w:bCs/>
          <w:sz w:val="20"/>
          <w:szCs w:val="20"/>
        </w:rPr>
        <w:t xml:space="preserve"> в порядке, предусмотренном Кодексом Российской Федерации об административных правонарушениях;</w:t>
      </w:r>
      <w:r>
        <w:rPr>
          <w:bCs/>
          <w:sz w:val="20"/>
          <w:szCs w:val="20"/>
        </w:rPr>
      </w:r>
      <w:r>
        <w:rPr>
          <w:bCs/>
          <w:sz w:val="20"/>
          <w:szCs w:val="20"/>
        </w:rPr>
      </w:r>
    </w:p>
    <w:p>
      <w:pPr>
        <w:numPr>
          <w:ilvl w:val="0"/>
          <w:numId w:val="16"/>
        </w:numPr>
        <w:ind w:left="0" w:firstLine="0"/>
        <w:rPr>
          <w:sz w:val="20"/>
          <w:szCs w:val="20"/>
        </w:rPr>
      </w:pPr>
      <w:r>
        <w:rPr>
          <w:bCs/>
          <w:sz w:val="20"/>
          <w:szCs w:val="20"/>
        </w:rPr>
        <w:t xml:space="preserve">требованию об отсутствии </w:t>
      </w:r>
      <w:r>
        <w:rPr>
          <w:sz w:val="20"/>
          <w:szCs w:val="20"/>
        </w:rPr>
        <w:t xml:space="preserve">у участника закупки</w:t>
      </w:r>
      <w:r>
        <w:rPr>
          <w:bCs/>
          <w:sz w:val="20"/>
          <w:szCs w:val="20"/>
        </w:rPr>
        <w:t xml:space="preserve"> </w:t>
      </w:r>
      <w:r>
        <w:rPr>
          <w:sz w:val="20"/>
          <w:szCs w:val="20"/>
        </w:rPr>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tooltip="https://login.consultant.ru/link/?req=doc&amp;base=LAW&amp;n=413154&amp;dst=1123&amp;field=134&amp;date=17.02.2023" w:history="1">
        <w:r>
          <w:rPr>
            <w:rStyle w:val="964"/>
            <w:sz w:val="20"/>
            <w:szCs w:val="20"/>
          </w:rPr>
          <w:t xml:space="preserve">законодательством</w:t>
        </w:r>
      </w:hyperlink>
      <w:r>
        <w:rPr>
          <w:sz w:val="20"/>
          <w:szCs w:val="20"/>
        </w:rPr>
        <w:t xml:space="preserve"> Российской Федерации о налогах и сборах, которые реструк</w:t>
      </w:r>
      <w:r>
        <w:rPr>
          <w:sz w:val="20"/>
          <w:szCs w:val="20"/>
        </w:rPr>
        <w:t xml:space="preserve">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tooltip="https://login.consultant.ru/link/?req=doc&amp;base=LAW&amp;n=413154&amp;dst=1104&amp;field=134&amp;date=17.02.2023" w:history="1">
        <w:r>
          <w:rPr>
            <w:rStyle w:val="964"/>
            <w:sz w:val="20"/>
            <w:szCs w:val="20"/>
          </w:rPr>
          <w:t xml:space="preserve">законодательством</w:t>
        </w:r>
      </w:hyperlink>
      <w:r>
        <w:rPr>
          <w:sz w:val="20"/>
          <w:szCs w:val="20"/>
        </w:rPr>
        <w:t xml:space="preserve"> Российской Федерации о налогах</w:t>
      </w:r>
      <w:r>
        <w:rPr>
          <w:sz w:val="20"/>
          <w:szCs w:val="20"/>
        </w:rPr>
        <w:t xml:space="preserve">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w:t>
      </w:r>
      <w:r>
        <w:rPr>
          <w:sz w:val="20"/>
          <w:szCs w:val="20"/>
        </w:rPr>
        <w:t xml:space="preserve">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r>
        <w:rPr>
          <w:sz w:val="20"/>
          <w:szCs w:val="20"/>
        </w:rPr>
      </w:r>
      <w:r>
        <w:rPr>
          <w:sz w:val="20"/>
          <w:szCs w:val="20"/>
        </w:rPr>
      </w:r>
    </w:p>
    <w:p>
      <w:pPr>
        <w:numPr>
          <w:ilvl w:val="0"/>
          <w:numId w:val="16"/>
        </w:numPr>
        <w:ind w:left="0" w:firstLine="0"/>
        <w:tabs>
          <w:tab w:val="left" w:pos="993" w:leader="none"/>
          <w:tab w:val="left" w:pos="1276" w:leader="none"/>
        </w:tabs>
        <w:rPr>
          <w:sz w:val="20"/>
          <w:szCs w:val="20"/>
        </w:rPr>
      </w:pPr>
      <w:r>
        <w:rPr>
          <w:sz w:val="20"/>
          <w:szCs w:val="20"/>
        </w:rPr>
        <w:t xml:space="preserve">требованию об отсутствии у участника закупки (у руководителя, лица, исполняющего функции единоличного исполнительного органа, или главного бухгалтера) судимости за преступления в сфере экономики и (или) преступления, предусмотренные </w:t>
      </w:r>
      <w:hyperlink r:id="rId12" w:tooltip="http://www.consultant.ru/cons/cgi/online.cgi?req=doc&amp;base=LAW&amp;n=209092&amp;rnd=242442.26397135&amp;dst=101897&amp;fld=134" w:history="1">
        <w:r>
          <w:rPr>
            <w:sz w:val="20"/>
            <w:szCs w:val="20"/>
          </w:rPr>
          <w:t xml:space="preserve">статьями 289</w:t>
        </w:r>
      </w:hyperlink>
      <w:r>
        <w:rPr>
          <w:sz w:val="20"/>
          <w:szCs w:val="20"/>
        </w:rPr>
        <w:t xml:space="preserve">, </w:t>
      </w:r>
      <w:hyperlink r:id="rId13" w:tooltip="http://www.consultant.ru/cons/cgi/online.cgi?req=doc&amp;base=LAW&amp;n=209092&amp;rnd=242442.209701084&amp;dst=2054&amp;fld=134" w:history="1">
        <w:r>
          <w:rPr>
            <w:sz w:val="20"/>
            <w:szCs w:val="20"/>
          </w:rPr>
          <w:t xml:space="preserve">290</w:t>
        </w:r>
      </w:hyperlink>
      <w:r>
        <w:rPr>
          <w:sz w:val="20"/>
          <w:szCs w:val="20"/>
        </w:rPr>
        <w:t xml:space="preserve">, </w:t>
      </w:r>
      <w:hyperlink r:id="rId14" w:tooltip="http://www.consultant.ru/cons/cgi/online.cgi?req=doc&amp;base=LAW&amp;n=209092&amp;rnd=242442.1844729362&amp;dst=2072&amp;fld=134" w:history="1">
        <w:r>
          <w:rPr>
            <w:sz w:val="20"/>
            <w:szCs w:val="20"/>
          </w:rPr>
          <w:t xml:space="preserve">291</w:t>
        </w:r>
      </w:hyperlink>
      <w:r>
        <w:rPr>
          <w:sz w:val="20"/>
          <w:szCs w:val="20"/>
        </w:rPr>
        <w:t xml:space="preserve">, </w:t>
      </w:r>
      <w:hyperlink r:id="rId15" w:tooltip="http://www.consultant.ru/cons/cgi/online.cgi?req=doc&amp;base=LAW&amp;n=209092&amp;rnd=242442.1852124906&amp;dst=2086&amp;fld=134" w:history="1">
        <w:r>
          <w:rPr>
            <w:sz w:val="20"/>
            <w:szCs w:val="20"/>
          </w:rPr>
          <w:t xml:space="preserve">291.1</w:t>
        </w:r>
      </w:hyperlink>
      <w:r>
        <w:rPr>
          <w:sz w:val="20"/>
          <w:szCs w:val="20"/>
        </w:rPr>
        <w:t xml:space="preserve"> Уголовного кодекса Российской Федерации, а также неприменение в отношении указанных</w:t>
      </w:r>
      <w:r>
        <w:rPr>
          <w:sz w:val="20"/>
          <w:szCs w:val="20"/>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Pr>
          <w:bCs/>
          <w:sz w:val="20"/>
          <w:szCs w:val="20"/>
        </w:rPr>
        <w:t xml:space="preserve">(выполнение работ, оказание услуг)</w:t>
      </w:r>
      <w:r>
        <w:rPr>
          <w:sz w:val="20"/>
          <w:szCs w:val="20"/>
        </w:rPr>
        <w:t xml:space="preserve">, являющегося объектом осуществляемой закупки, и административного наказания в виде дисквалификации;</w:t>
      </w:r>
      <w:r>
        <w:rPr>
          <w:sz w:val="20"/>
          <w:szCs w:val="20"/>
        </w:rPr>
      </w:r>
      <w:r>
        <w:rPr>
          <w:sz w:val="20"/>
          <w:szCs w:val="20"/>
        </w:rPr>
      </w:r>
    </w:p>
    <w:p>
      <w:pPr>
        <w:numPr>
          <w:ilvl w:val="0"/>
          <w:numId w:val="16"/>
        </w:numPr>
        <w:ind w:left="0" w:firstLine="0"/>
        <w:tabs>
          <w:tab w:val="left" w:pos="851" w:leader="none"/>
          <w:tab w:val="left" w:pos="993" w:leader="none"/>
        </w:tabs>
        <w:rPr>
          <w:sz w:val="20"/>
          <w:szCs w:val="20"/>
        </w:rPr>
      </w:pPr>
      <w:r>
        <w:rPr>
          <w:sz w:val="20"/>
          <w:szCs w:val="20"/>
        </w:rPr>
        <w:t xml:space="preserve">участник закупки</w:t>
      </w:r>
      <w:r>
        <w:rPr>
          <w:bCs/>
          <w:sz w:val="20"/>
          <w:szCs w:val="20"/>
        </w:rPr>
        <w:t xml:space="preserve"> </w:t>
      </w:r>
      <w:r>
        <w:rPr>
          <w:sz w:val="20"/>
          <w:szCs w:val="20"/>
        </w:rPr>
        <w:t xml:space="preserve">в течен</w:t>
      </w:r>
      <w:r>
        <w:rPr>
          <w:sz w:val="20"/>
          <w:szCs w:val="20"/>
        </w:rPr>
        <w:t xml:space="preserve">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sz w:val="20"/>
          <w:szCs w:val="20"/>
        </w:rPr>
      </w:r>
      <w:r>
        <w:rPr>
          <w:sz w:val="20"/>
          <w:szCs w:val="20"/>
        </w:rPr>
      </w:r>
    </w:p>
    <w:p>
      <w:pPr>
        <w:numPr>
          <w:ilvl w:val="0"/>
          <w:numId w:val="16"/>
        </w:numPr>
        <w:ind w:left="0" w:firstLine="0"/>
        <w:tabs>
          <w:tab w:val="left" w:pos="993" w:leader="none"/>
          <w:tab w:val="left" w:pos="1276" w:leader="none"/>
        </w:tabs>
        <w:rPr>
          <w:sz w:val="20"/>
          <w:szCs w:val="20"/>
        </w:rPr>
      </w:pPr>
      <w:r>
        <w:rPr>
          <w:sz w:val="20"/>
          <w:szCs w:val="20"/>
        </w:rPr>
        <w:t xml:space="preserve">требованию об обладании участником закупки исключительными правами на результаты интеллектуальной деятельности, если в связи с </w:t>
      </w:r>
      <w:r>
        <w:rPr>
          <w:sz w:val="20"/>
          <w:szCs w:val="20"/>
        </w:rPr>
        <w:t xml:space="preserve">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(при необходимости);</w:t>
      </w:r>
      <w:r>
        <w:rPr>
          <w:sz w:val="20"/>
          <w:szCs w:val="20"/>
        </w:rPr>
      </w:r>
      <w:r>
        <w:rPr>
          <w:sz w:val="20"/>
          <w:szCs w:val="20"/>
        </w:rPr>
      </w:r>
    </w:p>
    <w:p>
      <w:pPr>
        <w:numPr>
          <w:ilvl w:val="0"/>
          <w:numId w:val="16"/>
        </w:numPr>
        <w:ind w:left="0" w:firstLine="0"/>
        <w:tabs>
          <w:tab w:val="left" w:pos="993" w:leader="none"/>
          <w:tab w:val="left" w:pos="1276" w:leader="none"/>
        </w:tabs>
        <w:rPr>
          <w:sz w:val="20"/>
          <w:szCs w:val="20"/>
        </w:rPr>
      </w:pPr>
      <w:r>
        <w:rPr>
          <w:sz w:val="20"/>
          <w:szCs w:val="20"/>
        </w:rPr>
        <w:t xml:space="preserve">требованию об отсутствии обстоятельств, при которых должностное лицо заказчика (руководитель заказчика, член комис</w:t>
      </w:r>
      <w:r>
        <w:rPr>
          <w:sz w:val="20"/>
          <w:szCs w:val="20"/>
        </w:rPr>
        <w:t xml:space="preserve">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r>
        <w:rPr>
          <w:sz w:val="20"/>
          <w:szCs w:val="20"/>
        </w:rPr>
        <w:t xml:space="preserve">неполнородный</w:t>
      </w:r>
      <w:r>
        <w:rPr>
          <w:sz w:val="20"/>
          <w:szCs w:val="20"/>
        </w:rPr>
        <w:t xml:space="preserve"> (имеющий общих с должностным лицом заказчика отца или мать) брат</w:t>
      </w:r>
      <w:r>
        <w:rPr>
          <w:sz w:val="20"/>
          <w:szCs w:val="20"/>
        </w:rPr>
        <w:t xml:space="preserve"> (сестра), лицо, усыновленное должностным лицом заказчика, либо усыновитель этого должностного лица заказчика является руководителем, единоличным исполнительным органом, выгодоприобретателем корпоративного юридического лица, являющегося участником закупки.</w:t>
      </w:r>
      <w:r>
        <w:rPr>
          <w:sz w:val="20"/>
          <w:szCs w:val="20"/>
        </w:rPr>
      </w:r>
      <w:r>
        <w:rPr>
          <w:sz w:val="20"/>
          <w:szCs w:val="20"/>
        </w:rPr>
      </w:r>
    </w:p>
    <w:p>
      <w:pPr>
        <w:numPr>
          <w:ilvl w:val="0"/>
          <w:numId w:val="16"/>
        </w:numPr>
        <w:ind w:left="0" w:firstLine="0"/>
        <w:tabs>
          <w:tab w:val="left" w:pos="993" w:leader="none"/>
        </w:tabs>
        <w:rPr>
          <w:sz w:val="20"/>
          <w:szCs w:val="20"/>
        </w:rPr>
      </w:pPr>
      <w:r>
        <w:rPr>
          <w:sz w:val="20"/>
          <w:szCs w:val="20"/>
        </w:rPr>
        <w:t xml:space="preserve">участник закупки</w:t>
      </w:r>
      <w:r>
        <w:rPr>
          <w:bCs/>
          <w:sz w:val="20"/>
          <w:szCs w:val="20"/>
        </w:rPr>
        <w:t xml:space="preserve"> </w:t>
      </w:r>
      <w:r>
        <w:rPr>
          <w:sz w:val="20"/>
          <w:szCs w:val="20"/>
        </w:rPr>
        <w:t xml:space="preserve">не является офшорной компанией, не имеет в составе участников (членов) корпоративного юридического ли</w:t>
      </w:r>
      <w:r>
        <w:rPr>
          <w:sz w:val="20"/>
          <w:szCs w:val="20"/>
        </w:rPr>
        <w:t xml:space="preserve">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общества;</w:t>
      </w:r>
      <w:r>
        <w:rPr>
          <w:sz w:val="20"/>
          <w:szCs w:val="20"/>
        </w:rPr>
      </w:r>
      <w:r>
        <w:rPr>
          <w:sz w:val="20"/>
          <w:szCs w:val="20"/>
        </w:rPr>
      </w:r>
    </w:p>
    <w:p>
      <w:pPr>
        <w:numPr>
          <w:ilvl w:val="0"/>
          <w:numId w:val="16"/>
        </w:numPr>
        <w:ind w:left="0" w:firstLine="0"/>
        <w:rPr>
          <w:sz w:val="20"/>
          <w:szCs w:val="20"/>
        </w:rPr>
      </w:pPr>
      <w:r>
        <w:rPr>
          <w:sz w:val="20"/>
          <w:szCs w:val="20"/>
        </w:rPr>
        <w:t xml:space="preserve">участник закупки</w:t>
      </w:r>
      <w:r>
        <w:rPr>
          <w:bCs/>
          <w:sz w:val="20"/>
          <w:szCs w:val="20"/>
        </w:rPr>
        <w:t xml:space="preserve"> </w:t>
      </w:r>
      <w:r>
        <w:rPr>
          <w:sz w:val="20"/>
          <w:szCs w:val="20"/>
        </w:rPr>
        <w:t xml:space="preserve">не является иностранным агентом; </w:t>
      </w:r>
      <w:r>
        <w:rPr>
          <w:sz w:val="20"/>
          <w:szCs w:val="20"/>
        </w:rPr>
      </w:r>
      <w:r>
        <w:rPr>
          <w:sz w:val="20"/>
          <w:szCs w:val="20"/>
        </w:rPr>
      </w:r>
    </w:p>
    <w:p>
      <w:pPr>
        <w:numPr>
          <w:ilvl w:val="0"/>
          <w:numId w:val="16"/>
        </w:numPr>
        <w:ind w:left="0" w:firstLine="0"/>
        <w:tabs>
          <w:tab w:val="left" w:pos="993" w:leader="none"/>
        </w:tabs>
        <w:rPr>
          <w:sz w:val="20"/>
          <w:szCs w:val="20"/>
        </w:rPr>
      </w:pPr>
      <w:r>
        <w:rPr>
          <w:bCs/>
          <w:sz w:val="20"/>
          <w:szCs w:val="20"/>
        </w:rPr>
        <w:t xml:space="preserve"> У </w:t>
      </w:r>
      <w:r>
        <w:rPr>
          <w:sz w:val="20"/>
          <w:szCs w:val="20"/>
        </w:rPr>
        <w:t xml:space="preserve">участника закупки</w:t>
      </w:r>
      <w:r>
        <w:rPr>
          <w:bCs/>
          <w:sz w:val="20"/>
          <w:szCs w:val="20"/>
        </w:rPr>
        <w:t xml:space="preserve"> </w:t>
      </w:r>
      <w:r>
        <w:rPr>
          <w:sz w:val="20"/>
          <w:szCs w:val="20"/>
        </w:rPr>
        <w:t xml:space="preserve">отсутствуют ограничения для участия в закупках, установленные законодательством Российской Федерации, в том числе: участник закупки не является юридическим лицом, в отношении которого применяются специальные экономические меры, предусмотренные </w:t>
      </w:r>
      <w:r>
        <w:rPr>
          <w:sz w:val="20"/>
          <w:szCs w:val="20"/>
        </w:rPr>
        <w:t xml:space="preserve">пп</w:t>
      </w:r>
      <w:r>
        <w:rPr>
          <w:sz w:val="20"/>
          <w:szCs w:val="20"/>
        </w:rPr>
        <w:t xml:space="preserve">. «а» п. 2 Указа Президента Росс</w:t>
      </w:r>
      <w:r>
        <w:rPr>
          <w:sz w:val="20"/>
          <w:szCs w:val="20"/>
        </w:rPr>
        <w:t xml:space="preserve">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r>
        <w:rPr>
          <w:sz w:val="20"/>
          <w:szCs w:val="20"/>
        </w:rPr>
      </w:r>
      <w:r>
        <w:rPr>
          <w:sz w:val="20"/>
          <w:szCs w:val="20"/>
        </w:rPr>
      </w:r>
    </w:p>
    <w:p>
      <w:pPr>
        <w:ind w:left="709"/>
        <w:tabs>
          <w:tab w:val="left" w:pos="993" w:leader="none"/>
        </w:tabs>
        <w:rPr>
          <w:sz w:val="20"/>
          <w:szCs w:val="20"/>
        </w:rPr>
      </w:pPr>
      <w:r>
        <w:rPr>
          <w:sz w:val="20"/>
          <w:szCs w:val="20"/>
        </w:rPr>
      </w:r>
      <w:r>
        <w:rPr>
          <w:sz w:val="20"/>
          <w:szCs w:val="20"/>
        </w:rPr>
      </w:r>
      <w:r>
        <w:rPr>
          <w:sz w:val="20"/>
          <w:szCs w:val="20"/>
        </w:rPr>
      </w:r>
    </w:p>
    <w:p>
      <w:pPr>
        <w:jc w:val="left"/>
        <w:rPr>
          <w:bCs/>
          <w:sz w:val="20"/>
          <w:szCs w:val="20"/>
        </w:rPr>
      </w:pPr>
      <w:r>
        <w:rPr>
          <w:sz w:val="20"/>
          <w:szCs w:val="20"/>
        </w:rPr>
        <w:t xml:space="preserve">Уполномоченное лицо         ЭЦП                    </w:t>
      </w:r>
      <w:r>
        <w:rPr>
          <w:bCs/>
          <w:sz w:val="20"/>
          <w:szCs w:val="20"/>
        </w:rPr>
        <w:t xml:space="preserve">   ФИО</w:t>
      </w:r>
      <w:r>
        <w:rPr>
          <w:bCs/>
          <w:sz w:val="20"/>
          <w:szCs w:val="20"/>
        </w:rPr>
      </w:r>
      <w:r>
        <w:rPr>
          <w:bCs/>
          <w:sz w:val="20"/>
          <w:szCs w:val="20"/>
        </w:rPr>
      </w:r>
    </w:p>
    <w:p>
      <w:pPr>
        <w:ind w:firstLine="709"/>
        <w:jc w:val="center"/>
        <w:spacing w:after="0" w:line="17" w:lineRule="atLeast"/>
        <w:tabs>
          <w:tab w:val="left" w:pos="993" w:leader="none"/>
        </w:tabs>
        <w:rPr>
          <w:color w:val="000000"/>
          <w:sz w:val="20"/>
          <w:szCs w:val="20"/>
        </w:rPr>
      </w:pPr>
      <w:r>
        <w:rPr>
          <w:color w:val="000000"/>
          <w:sz w:val="20"/>
          <w:szCs w:val="20"/>
        </w:rPr>
      </w:r>
      <w:r>
        <w:rPr>
          <w:color w:val="000000"/>
          <w:sz w:val="20"/>
          <w:szCs w:val="20"/>
        </w:rPr>
      </w:r>
      <w:r>
        <w:rPr>
          <w:color w:val="000000"/>
          <w:sz w:val="20"/>
          <w:szCs w:val="20"/>
        </w:rPr>
      </w:r>
    </w:p>
    <w:sectPr>
      <w:footerReference w:type="default" r:id="rId9"/>
      <w:footnotePr/>
      <w:endnotePr/>
      <w:type w:val="nextPage"/>
      <w:pgSz w:w="11906" w:h="16838" w:orient="portrait"/>
      <w:pgMar w:top="567" w:right="567" w:bottom="567" w:left="1134" w:header="709" w:footer="686"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pPr>
      <w:r>
        <w:separator/>
      </w:r>
      <w:r/>
    </w:p>
  </w:endnote>
  <w:endnote w:type="continuationSeparator" w:id="0">
    <w:p>
      <w:pPr>
        <w:spacing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00000000000000000"/>
  </w:font>
  <w:font w:name="TimesET;Times New Roman">
    <w:panose1 w:val="02000603000000000000"/>
  </w:font>
  <w:font w:name="Courier New">
    <w:panose1 w:val="02070309020205020404"/>
  </w:font>
  <w:font w:name="Symbol">
    <w:panose1 w:val="05050102010706020507"/>
  </w:font>
  <w:font w:name="Tahoma">
    <w:panose1 w:val="020B0604030504040204"/>
  </w:font>
  <w:font w:name="Segoe UI">
    <w:panose1 w:val="020B0502040204020203"/>
  </w:font>
  <w:font w:name="Times New Roman">
    <w:panose1 w:val="02020603050405020304"/>
  </w:font>
  <w:font w:name="Arial Unicode MS">
    <w:panose1 w:val="020B060402020202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795219203"/>
      <w:docPartObj>
        <w:docPartGallery w:val="Page Numbers (Bottom of Page)"/>
        <w:docPartUnique w:val="true"/>
      </w:docPartObj>
      <w:rPr/>
    </w:sdtPr>
    <w:sdtContent>
      <w:p>
        <w:pPr>
          <w:pStyle w:val="973"/>
          <w:jc w:val="right"/>
        </w:pPr>
        <w:r>
          <w:fldChar w:fldCharType="begin"/>
        </w:r>
        <w:r>
          <w:instrText xml:space="preserve">PAGE   \* MERGEFORMAT</w:instrText>
        </w:r>
        <w:r>
          <w:fldChar w:fldCharType="separate"/>
        </w:r>
        <w:r>
          <w:t xml:space="preserve">14</w:t>
        </w:r>
        <w:r>
          <w:fldChar w:fldCharType="end"/>
        </w:r>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pPr>
      <w:r>
        <w:separator/>
      </w:r>
      <w:r/>
    </w:p>
  </w:footnote>
  <w:footnote w:type="continuationSeparator" w:id="0">
    <w:p>
      <w:pPr>
        <w:spacing w:after="0"/>
      </w:pPr>
      <w:r>
        <w:continuationSeparator/>
      </w:r>
      <w:r/>
    </w:p>
  </w:footnote>
  <w:footnote w:id="2">
    <w:p>
      <w:pPr>
        <w:pStyle w:val="947"/>
      </w:pPr>
      <w:r>
        <w:rPr>
          <w:rStyle w:val="949"/>
        </w:rPr>
        <w:footnoteRef/>
      </w:r>
      <w:r>
        <w:t xml:space="preserve"> Датой предоставления документов в соответствии с настоящим абзацем является дата регистрации Заказчиком сопроводительного письма Исполнителя</w:t>
      </w:r>
      <w:r/>
    </w:p>
  </w:footnote>
  <w:footnote w:id="3">
    <w:p>
      <w:pPr>
        <w:pStyle w:val="947"/>
        <w:ind w:firstLine="0"/>
        <w:spacing w:line="240" w:lineRule="auto"/>
        <w:rPr>
          <w:rFonts w:ascii="Times New Roman" w:hAnsi="Times New Roman"/>
          <w:i w:val="0"/>
          <w:sz w:val="18"/>
          <w:szCs w:val="18"/>
          <w:highlight w:val="white"/>
        </w:rPr>
      </w:pPr>
      <w:r>
        <w:rPr>
          <w:rStyle w:val="949"/>
          <w:rFonts w:ascii="Times New Roman" w:hAnsi="Times New Roman"/>
          <w:i w:val="0"/>
          <w:szCs w:val="16"/>
          <w:highlight w:val="white"/>
        </w:rPr>
        <w:footnoteRef/>
      </w:r>
      <w:r>
        <w:rPr>
          <w:rFonts w:ascii="Times New Roman" w:hAnsi="Times New Roman"/>
          <w:i w:val="0"/>
          <w:szCs w:val="16"/>
          <w:highlight w:val="white"/>
        </w:rPr>
        <w:t xml:space="preserve">Нарушение Исполнителем обязательств по п. 5.1.2, 5.1.5, 5.1.7, 5.1.8,  6.1 </w:t>
      </w:r>
      <w:r>
        <w:rPr>
          <w:rFonts w:ascii="Times New Roman" w:hAnsi="Times New Roman"/>
          <w:i w:val="0"/>
          <w:iCs/>
          <w:szCs w:val="16"/>
          <w:highlight w:val="white"/>
        </w:rPr>
        <w:t xml:space="preserve">(за исключением просрочки исполнения обязательств, при которой начисляются пени)</w:t>
      </w:r>
      <w:r>
        <w:rPr>
          <w:rFonts w:ascii="Times New Roman" w:hAnsi="Times New Roman"/>
          <w:i w:val="0"/>
          <w:szCs w:val="16"/>
          <w:highlight w:val="white"/>
        </w:rPr>
        <w:t xml:space="preserve">,</w:t>
      </w:r>
      <w:r>
        <w:rPr>
          <w:rFonts w:ascii="Times New Roman" w:hAnsi="Times New Roman"/>
          <w:i w:val="0"/>
          <w:szCs w:val="16"/>
          <w:highlight w:val="white"/>
        </w:rPr>
        <w:t xml:space="preserve"> 8.2, 8.3 Контракта</w:t>
      </w:r>
      <w:r>
        <w:rPr>
          <w:rFonts w:ascii="Times New Roman" w:hAnsi="Times New Roman"/>
          <w:i w:val="0"/>
          <w:sz w:val="18"/>
          <w:szCs w:val="18"/>
          <w:highlight w:val="white"/>
        </w:rPr>
        <w:t xml:space="preserve">. </w:t>
      </w:r>
      <w:r>
        <w:rPr>
          <w:rFonts w:ascii="Times New Roman" w:hAnsi="Times New Roman"/>
          <w:i w:val="0"/>
          <w:sz w:val="18"/>
          <w:szCs w:val="18"/>
          <w:highlight w:val="white"/>
        </w:rPr>
      </w:r>
      <w:r>
        <w:rPr>
          <w:rFonts w:ascii="Times New Roman" w:hAnsi="Times New Roman"/>
          <w:i w:val="0"/>
          <w:sz w:val="18"/>
          <w:szCs w:val="18"/>
          <w:highlight w:val="white"/>
        </w:rPr>
      </w:r>
    </w:p>
  </w:footnote>
  <w:footnote w:id="4">
    <w:p>
      <w:pPr>
        <w:pStyle w:val="947"/>
        <w:ind w:firstLine="0"/>
        <w:rPr>
          <w:highlight w:val="white"/>
        </w:rPr>
      </w:pPr>
      <w:r>
        <w:rPr>
          <w:rStyle w:val="949"/>
          <w:highlight w:val="white"/>
        </w:rPr>
        <w:footnoteRef/>
      </w:r>
      <w:r>
        <w:rPr>
          <w:highlight w:val="white"/>
        </w:rPr>
        <w:t xml:space="preserve"> </w:t>
      </w:r>
      <w:r>
        <w:rPr>
          <w:rFonts w:ascii="Times New Roman" w:hAnsi="Times New Roman"/>
          <w:i w:val="0"/>
          <w:iCs/>
          <w:highlight w:val="white"/>
        </w:rPr>
        <w:t xml:space="preserve">Нарушение Заказчиком пунктов 5.3.1, 5.3.5, 8.2, 8.3 Контракта.</w:t>
      </w:r>
      <w:r>
        <w:rPr>
          <w:highlight w:val="white"/>
        </w:rPr>
      </w:r>
      <w:r>
        <w:rPr>
          <w:highlight w:val="white"/>
        </w:rPr>
      </w:r>
    </w:p>
  </w:footnote>
  <w:footnote w:id="5">
    <w:p>
      <w:pPr>
        <w:pStyle w:val="947"/>
        <w:ind w:left="-142"/>
        <w:rPr>
          <w:i/>
          <w:sz w:val="16"/>
          <w:szCs w:val="16"/>
          <w:highlight w:val="white"/>
        </w:rPr>
      </w:pPr>
      <w:r>
        <w:rPr>
          <w:rStyle w:val="949"/>
          <w:sz w:val="16"/>
          <w:szCs w:val="16"/>
          <w:highlight w:val="white"/>
        </w:rPr>
        <w:footnoteRef/>
      </w:r>
      <w:r>
        <w:rPr>
          <w:sz w:val="16"/>
          <w:szCs w:val="16"/>
          <w:highlight w:val="white"/>
        </w:rPr>
        <w:t xml:space="preserve">  за исключением случая в соответствии с </w:t>
      </w:r>
      <w:r>
        <w:rPr>
          <w:sz w:val="16"/>
          <w:szCs w:val="16"/>
          <w:highlight w:val="white"/>
        </w:rPr>
        <w:t xml:space="preserve">п.п</w:t>
      </w:r>
      <w:r>
        <w:rPr>
          <w:sz w:val="16"/>
          <w:szCs w:val="16"/>
          <w:highlight w:val="white"/>
        </w:rPr>
        <w:t xml:space="preserve">. «в» п.1 части 15 статьи 95 Федерального закона № 44-ФЗ.</w:t>
      </w:r>
      <w:r>
        <w:rPr>
          <w:i/>
          <w:sz w:val="16"/>
          <w:szCs w:val="16"/>
          <w:highlight w:val="white"/>
        </w:rPr>
      </w:r>
      <w:r>
        <w:rPr>
          <w:i/>
          <w:sz w:val="16"/>
          <w:szCs w:val="16"/>
          <w:highlight w:val="white"/>
        </w:rP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069" w:hanging="360"/>
      </w:pPr>
    </w:lvl>
    <w:lvl w:ilvl="1">
      <w:start w:val="1"/>
      <w:numFmt w:val="decimal"/>
      <w:isLgl w:val="false"/>
      <w:suff w:val="tab"/>
      <w:lvlText w:val="%1.%2."/>
      <w:lvlJc w:val="left"/>
      <w:pPr>
        <w:ind w:left="502" w:hanging="360"/>
      </w:pPr>
      <w:rPr>
        <w:b w:val="0"/>
      </w:rPr>
    </w:lvl>
    <w:lvl w:ilvl="2">
      <w:start w:val="1"/>
      <w:numFmt w:val="decimal"/>
      <w:isLgl w:val="false"/>
      <w:suff w:val="tab"/>
      <w:lvlText w:val="%1.%2.%3."/>
      <w:lvlJc w:val="left"/>
      <w:pPr>
        <w:ind w:left="2149" w:hanging="720"/>
      </w:pPr>
    </w:lvl>
    <w:lvl w:ilvl="3">
      <w:start w:val="1"/>
      <w:numFmt w:val="decimal"/>
      <w:isLgl w:val="false"/>
      <w:suff w:val="tab"/>
      <w:lvlText w:val="%1.%2.%3.%4."/>
      <w:lvlJc w:val="left"/>
      <w:pPr>
        <w:ind w:left="2509" w:hanging="720"/>
      </w:pPr>
    </w:lvl>
    <w:lvl w:ilvl="4">
      <w:start w:val="1"/>
      <w:numFmt w:val="decimal"/>
      <w:isLgl w:val="false"/>
      <w:suff w:val="tab"/>
      <w:lvlText w:val="%1.%2.%3.%4.%5."/>
      <w:lvlJc w:val="left"/>
      <w:pPr>
        <w:ind w:left="3229" w:hanging="1080"/>
      </w:pPr>
    </w:lvl>
    <w:lvl w:ilvl="5">
      <w:start w:val="1"/>
      <w:numFmt w:val="decimal"/>
      <w:isLgl w:val="false"/>
      <w:suff w:val="tab"/>
      <w:lvlText w:val="%1.%2.%3.%4.%5.%6."/>
      <w:lvlJc w:val="left"/>
      <w:pPr>
        <w:ind w:left="3589" w:hanging="1080"/>
      </w:pPr>
    </w:lvl>
    <w:lvl w:ilvl="6">
      <w:start w:val="1"/>
      <w:numFmt w:val="decimal"/>
      <w:isLgl w:val="false"/>
      <w:suff w:val="tab"/>
      <w:lvlText w:val="%1.%2.%3.%4.%5.%6.%7."/>
      <w:lvlJc w:val="left"/>
      <w:pPr>
        <w:ind w:left="4309" w:hanging="1440"/>
      </w:pPr>
    </w:lvl>
    <w:lvl w:ilvl="7">
      <w:start w:val="1"/>
      <w:numFmt w:val="decimal"/>
      <w:isLgl w:val="false"/>
      <w:suff w:val="tab"/>
      <w:lvlText w:val="%1.%2.%3.%4.%5.%6.%7.%8."/>
      <w:lvlJc w:val="left"/>
      <w:pPr>
        <w:ind w:left="4669" w:hanging="1440"/>
      </w:pPr>
    </w:lvl>
    <w:lvl w:ilvl="8">
      <w:start w:val="1"/>
      <w:numFmt w:val="decimal"/>
      <w:isLgl w:val="false"/>
      <w:suff w:val="tab"/>
      <w:lvlText w:val="%1.%2.%3.%4.%5.%6.%7.%8.%9."/>
      <w:lvlJc w:val="left"/>
      <w:pPr>
        <w:ind w:left="5389" w:hanging="1800"/>
      </w:pPr>
    </w:lvl>
  </w:abstractNum>
  <w:abstractNum w:abstractNumId="1">
    <w:multiLevelType w:val="hybridMultilevel"/>
    <w:lvl w:ilvl="0">
      <w:start w:val="1"/>
      <w:numFmt w:val="bullet"/>
      <w:isLgl w:val="false"/>
      <w:suff w:val="tab"/>
      <w:lvlText w:val=""/>
      <w:lvlJc w:val="left"/>
      <w:pPr>
        <w:ind w:left="1440" w:hanging="360"/>
      </w:pPr>
      <w:rPr>
        <w:rFonts w:hint="default" w:ascii="Symbol" w:hAnsi="Symbol"/>
      </w:rPr>
    </w:lvl>
    <w:lvl w:ilvl="1">
      <w:start w:val="1"/>
      <w:numFmt w:val="bullet"/>
      <w:isLgl w:val="false"/>
      <w:suff w:val="tab"/>
      <w:lvlText w:val="o"/>
      <w:lvlJc w:val="left"/>
      <w:pPr>
        <w:ind w:left="2160" w:hanging="360"/>
      </w:pPr>
      <w:rPr>
        <w:rFonts w:hint="default" w:ascii="Courier New" w:hAnsi="Courier New" w:cs="Courier New"/>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Symbol" w:hAnsi="Symbol"/>
      </w:rPr>
    </w:lvl>
    <w:lvl w:ilvl="4">
      <w:start w:val="1"/>
      <w:numFmt w:val="bullet"/>
      <w:isLgl w:val="false"/>
      <w:suff w:val="tab"/>
      <w:lvlText w:val="o"/>
      <w:lvlJc w:val="left"/>
      <w:pPr>
        <w:ind w:left="4320" w:hanging="360"/>
      </w:pPr>
      <w:rPr>
        <w:rFonts w:hint="default" w:ascii="Courier New" w:hAnsi="Courier New" w:cs="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cs="Courier New"/>
      </w:rPr>
    </w:lvl>
    <w:lvl w:ilvl="8">
      <w:start w:val="1"/>
      <w:numFmt w:val="bullet"/>
      <w:isLgl w:val="false"/>
      <w:suff w:val="tab"/>
      <w:lvlText w:val=""/>
      <w:lvlJc w:val="left"/>
      <w:pPr>
        <w:ind w:left="7200" w:hanging="360"/>
      </w:pPr>
      <w:rPr>
        <w:rFonts w:hint="default" w:ascii="Wingdings" w:hAnsi="Wingdings"/>
      </w:rPr>
    </w:lvl>
  </w:abstractNum>
  <w:abstractNum w:abstractNumId="2">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bullet"/>
      <w:isLgl w:val="false"/>
      <w:suff w:val="tab"/>
      <w:lvlText w:val=""/>
      <w:lvlJc w:val="left"/>
      <w:pPr>
        <w:ind w:left="1440" w:hanging="360"/>
      </w:pPr>
      <w:rPr>
        <w:rFonts w:ascii="Symbol" w:hAnsi="Symbol"/>
      </w:rPr>
    </w:lvl>
    <w:lvl w:ilvl="1">
      <w:start w:val="1"/>
      <w:numFmt w:val="bullet"/>
      <w:isLgl w:val="false"/>
      <w:suff w:val="tab"/>
      <w:lvlText w:val="o"/>
      <w:lvlJc w:val="left"/>
      <w:pPr>
        <w:ind w:left="2160" w:hanging="360"/>
      </w:pPr>
      <w:rPr>
        <w:rFonts w:ascii="Courier New" w:hAnsi="Courier New" w:cs="Courier New"/>
      </w:rPr>
    </w:lvl>
    <w:lvl w:ilvl="2">
      <w:start w:val="1"/>
      <w:numFmt w:val="bullet"/>
      <w:isLgl w:val="false"/>
      <w:suff w:val="tab"/>
      <w:lvlText w:val=""/>
      <w:lvlJc w:val="left"/>
      <w:pPr>
        <w:ind w:left="2880" w:hanging="360"/>
      </w:pPr>
      <w:rPr>
        <w:rFonts w:ascii="Wingdings" w:hAnsi="Wingdings"/>
      </w:rPr>
    </w:lvl>
    <w:lvl w:ilvl="3">
      <w:start w:val="1"/>
      <w:numFmt w:val="bullet"/>
      <w:isLgl w:val="false"/>
      <w:suff w:val="tab"/>
      <w:lvlText w:val=""/>
      <w:lvlJc w:val="left"/>
      <w:pPr>
        <w:ind w:left="3600" w:hanging="360"/>
      </w:pPr>
      <w:rPr>
        <w:rFonts w:ascii="Symbol" w:hAnsi="Symbol"/>
      </w:rPr>
    </w:lvl>
    <w:lvl w:ilvl="4">
      <w:start w:val="1"/>
      <w:numFmt w:val="bullet"/>
      <w:isLgl w:val="false"/>
      <w:suff w:val="tab"/>
      <w:lvlText w:val="o"/>
      <w:lvlJc w:val="left"/>
      <w:pPr>
        <w:ind w:left="4320" w:hanging="360"/>
      </w:pPr>
      <w:rPr>
        <w:rFonts w:ascii="Courier New" w:hAnsi="Courier New" w:cs="Courier New"/>
      </w:rPr>
    </w:lvl>
    <w:lvl w:ilvl="5">
      <w:start w:val="1"/>
      <w:numFmt w:val="bullet"/>
      <w:isLgl w:val="false"/>
      <w:suff w:val="tab"/>
      <w:lvlText w:val=""/>
      <w:lvlJc w:val="left"/>
      <w:pPr>
        <w:ind w:left="5040" w:hanging="360"/>
      </w:pPr>
      <w:rPr>
        <w:rFonts w:ascii="Wingdings" w:hAnsi="Wingdings"/>
      </w:rPr>
    </w:lvl>
    <w:lvl w:ilvl="6">
      <w:start w:val="1"/>
      <w:numFmt w:val="bullet"/>
      <w:isLgl w:val="false"/>
      <w:suff w:val="tab"/>
      <w:lvlText w:val=""/>
      <w:lvlJc w:val="left"/>
      <w:pPr>
        <w:ind w:left="5760" w:hanging="360"/>
      </w:pPr>
      <w:rPr>
        <w:rFonts w:ascii="Symbol" w:hAnsi="Symbol"/>
      </w:rPr>
    </w:lvl>
    <w:lvl w:ilvl="7">
      <w:start w:val="1"/>
      <w:numFmt w:val="bullet"/>
      <w:isLgl w:val="false"/>
      <w:suff w:val="tab"/>
      <w:lvlText w:val="o"/>
      <w:lvlJc w:val="left"/>
      <w:pPr>
        <w:ind w:left="6480" w:hanging="360"/>
      </w:pPr>
      <w:rPr>
        <w:rFonts w:ascii="Courier New" w:hAnsi="Courier New" w:cs="Courier New"/>
      </w:rPr>
    </w:lvl>
    <w:lvl w:ilvl="8">
      <w:start w:val="1"/>
      <w:numFmt w:val="bullet"/>
      <w:isLgl w:val="false"/>
      <w:suff w:val="tab"/>
      <w:lvlText w:val=""/>
      <w:lvlJc w:val="left"/>
      <w:pPr>
        <w:ind w:left="7200" w:hanging="360"/>
      </w:pPr>
      <w:rPr>
        <w:rFonts w:ascii="Wingdings" w:hAnsi="Wingdings"/>
      </w:rPr>
    </w:lvl>
  </w:abstractNum>
  <w:abstractNum w:abstractNumId="4">
    <w:multiLevelType w:val="hybridMultilevel"/>
    <w:lvl w:ilvl="0">
      <w:start w:val="1"/>
      <w:numFmt w:val="decimal"/>
      <w:isLgl w:val="false"/>
      <w:suff w:val="tab"/>
      <w:lvlText w:val="%1."/>
      <w:lvlJc w:val="left"/>
      <w:pPr>
        <w:ind w:left="1069" w:hanging="360"/>
      </w:pPr>
    </w:lvl>
    <w:lvl w:ilvl="1">
      <w:start w:val="1"/>
      <w:numFmt w:val="decimal"/>
      <w:isLgl w:val="false"/>
      <w:suff w:val="tab"/>
      <w:lvlText w:val="%1.%2."/>
      <w:lvlJc w:val="left"/>
      <w:pPr>
        <w:ind w:left="502" w:hanging="360"/>
      </w:pPr>
      <w:rPr>
        <w:b w:val="0"/>
      </w:rPr>
    </w:lvl>
    <w:lvl w:ilvl="2">
      <w:start w:val="1"/>
      <w:numFmt w:val="decimal"/>
      <w:isLgl w:val="false"/>
      <w:suff w:val="tab"/>
      <w:lvlText w:val="%1.%2.%3."/>
      <w:lvlJc w:val="left"/>
      <w:pPr>
        <w:ind w:left="2149" w:hanging="720"/>
      </w:pPr>
    </w:lvl>
    <w:lvl w:ilvl="3">
      <w:start w:val="1"/>
      <w:numFmt w:val="decimal"/>
      <w:isLgl w:val="false"/>
      <w:suff w:val="tab"/>
      <w:lvlText w:val="%1.%2.%3.%4."/>
      <w:lvlJc w:val="left"/>
      <w:pPr>
        <w:ind w:left="2509" w:hanging="720"/>
      </w:pPr>
    </w:lvl>
    <w:lvl w:ilvl="4">
      <w:start w:val="1"/>
      <w:numFmt w:val="decimal"/>
      <w:isLgl w:val="false"/>
      <w:suff w:val="tab"/>
      <w:lvlText w:val="%1.%2.%3.%4.%5."/>
      <w:lvlJc w:val="left"/>
      <w:pPr>
        <w:ind w:left="3229" w:hanging="1080"/>
      </w:pPr>
    </w:lvl>
    <w:lvl w:ilvl="5">
      <w:start w:val="1"/>
      <w:numFmt w:val="decimal"/>
      <w:isLgl w:val="false"/>
      <w:suff w:val="tab"/>
      <w:lvlText w:val="%1.%2.%3.%4.%5.%6."/>
      <w:lvlJc w:val="left"/>
      <w:pPr>
        <w:ind w:left="3589" w:hanging="1080"/>
      </w:pPr>
    </w:lvl>
    <w:lvl w:ilvl="6">
      <w:start w:val="1"/>
      <w:numFmt w:val="decimal"/>
      <w:isLgl w:val="false"/>
      <w:suff w:val="tab"/>
      <w:lvlText w:val="%1.%2.%3.%4.%5.%6.%7."/>
      <w:lvlJc w:val="left"/>
      <w:pPr>
        <w:ind w:left="4309" w:hanging="1440"/>
      </w:pPr>
    </w:lvl>
    <w:lvl w:ilvl="7">
      <w:start w:val="1"/>
      <w:numFmt w:val="decimal"/>
      <w:isLgl w:val="false"/>
      <w:suff w:val="tab"/>
      <w:lvlText w:val="%1.%2.%3.%4.%5.%6.%7.%8."/>
      <w:lvlJc w:val="left"/>
      <w:pPr>
        <w:ind w:left="4669" w:hanging="1440"/>
      </w:pPr>
    </w:lvl>
    <w:lvl w:ilvl="8">
      <w:start w:val="1"/>
      <w:numFmt w:val="decimal"/>
      <w:isLgl w:val="false"/>
      <w:suff w:val="tab"/>
      <w:lvlText w:val="%1.%2.%3.%4.%5.%6.%7.%8.%9."/>
      <w:lvlJc w:val="left"/>
      <w:pPr>
        <w:ind w:left="5389" w:hanging="1800"/>
      </w:pPr>
    </w:lvl>
  </w:abstractNum>
  <w:abstractNum w:abstractNumId="5">
    <w:multiLevelType w:val="hybridMultilevel"/>
    <w:lvl w:ilvl="0">
      <w:start w:val="2"/>
      <w:numFmt w:val="decimal"/>
      <w:isLgl w:val="false"/>
      <w:suff w:val="tab"/>
      <w:lvlText w:val="%1."/>
      <w:lvlJc w:val="left"/>
      <w:pPr>
        <w:ind w:left="1069" w:hanging="360"/>
      </w:pPr>
      <w:rPr>
        <w:rFonts w:hint="default" w:ascii="Times New Roman" w:hAnsi="Times New Roman" w:eastAsia="Times New Roman" w:cs="Times New Roman"/>
      </w:rPr>
    </w:lvl>
    <w:lvl w:ilvl="1">
      <w:start w:val="1"/>
      <w:numFmt w:val="decimal"/>
      <w:isLgl/>
      <w:suff w:val="tab"/>
      <w:lvlText w:val="%1.%2."/>
      <w:lvlJc w:val="left"/>
      <w:pPr>
        <w:ind w:left="1581" w:hanging="1155"/>
      </w:pPr>
      <w:rPr>
        <w:rFonts w:hint="default"/>
        <w:b w:val="0"/>
      </w:rPr>
    </w:lvl>
    <w:lvl w:ilvl="2">
      <w:start w:val="1"/>
      <w:numFmt w:val="decimal"/>
      <w:isLgl/>
      <w:suff w:val="tab"/>
      <w:lvlText w:val="%1.%2.%3."/>
      <w:lvlJc w:val="left"/>
      <w:pPr>
        <w:ind w:left="1864" w:hanging="1155"/>
      </w:pPr>
      <w:rPr>
        <w:rFonts w:hint="default"/>
      </w:rPr>
    </w:lvl>
    <w:lvl w:ilvl="3">
      <w:start w:val="1"/>
      <w:numFmt w:val="decimal"/>
      <w:isLgl/>
      <w:suff w:val="tab"/>
      <w:lvlText w:val="%1.%2.%3.%4."/>
      <w:lvlJc w:val="left"/>
      <w:pPr>
        <w:ind w:left="1864" w:hanging="1155"/>
      </w:pPr>
      <w:rPr>
        <w:rFonts w:hint="default"/>
      </w:rPr>
    </w:lvl>
    <w:lvl w:ilvl="4">
      <w:start w:val="1"/>
      <w:numFmt w:val="decimal"/>
      <w:isLgl/>
      <w:suff w:val="tab"/>
      <w:lvlText w:val="%1.%2.%3.%4.%5."/>
      <w:lvlJc w:val="left"/>
      <w:pPr>
        <w:ind w:left="1864" w:hanging="1155"/>
      </w:pPr>
      <w:rPr>
        <w:rFonts w:hint="default"/>
      </w:rPr>
    </w:lvl>
    <w:lvl w:ilvl="5">
      <w:start w:val="1"/>
      <w:numFmt w:val="decimal"/>
      <w:isLgl/>
      <w:suff w:val="tab"/>
      <w:lvlText w:val="%1.%2.%3.%4.%5.%6."/>
      <w:lvlJc w:val="left"/>
      <w:pPr>
        <w:ind w:left="1864" w:hanging="1155"/>
      </w:pPr>
      <w:rPr>
        <w:rFonts w:hint="default"/>
      </w:rPr>
    </w:lvl>
    <w:lvl w:ilvl="6">
      <w:start w:val="1"/>
      <w:numFmt w:val="decimal"/>
      <w:isLgl/>
      <w:suff w:val="tab"/>
      <w:lvlText w:val="%1.%2.%3.%4.%5.%6.%7."/>
      <w:lvlJc w:val="left"/>
      <w:pPr>
        <w:ind w:left="2149" w:hanging="1440"/>
      </w:pPr>
      <w:rPr>
        <w:rFonts w:hint="default"/>
      </w:rPr>
    </w:lvl>
    <w:lvl w:ilvl="7">
      <w:start w:val="1"/>
      <w:numFmt w:val="decimal"/>
      <w:isLgl/>
      <w:suff w:val="tab"/>
      <w:lvlText w:val="%1.%2.%3.%4.%5.%6.%7.%8."/>
      <w:lvlJc w:val="left"/>
      <w:pPr>
        <w:ind w:left="2149" w:hanging="1440"/>
      </w:pPr>
      <w:rPr>
        <w:rFonts w:hint="default"/>
      </w:rPr>
    </w:lvl>
    <w:lvl w:ilvl="8">
      <w:start w:val="1"/>
      <w:numFmt w:val="decimal"/>
      <w:isLgl/>
      <w:suff w:val="tab"/>
      <w:lvlText w:val="%1.%2.%3.%4.%5.%6.%7.%8.%9."/>
      <w:lvlJc w:val="left"/>
      <w:pPr>
        <w:ind w:left="2509" w:hanging="1800"/>
      </w:pPr>
      <w:rPr>
        <w:rFonts w:hint="default"/>
      </w:rPr>
    </w:lvl>
  </w:abstractNum>
  <w:abstractNum w:abstractNumId="6">
    <w:multiLevelType w:val="hybridMultilevel"/>
    <w:lvl w:ilvl="0">
      <w:start w:val="3"/>
      <w:numFmt w:val="decimal"/>
      <w:isLgl w:val="false"/>
      <w:suff w:val="tab"/>
      <w:lvlText w:val="%1."/>
      <w:lvlJc w:val="left"/>
      <w:pPr>
        <w:ind w:left="600" w:hanging="600"/>
        <w:tabs>
          <w:tab w:val="num" w:pos="600" w:leader="none"/>
        </w:tabs>
      </w:pPr>
      <w:rPr>
        <w:rFonts w:hint="default"/>
        <w:b/>
      </w:rPr>
    </w:lvl>
    <w:lvl w:ilvl="1">
      <w:start w:val="1"/>
      <w:numFmt w:val="decimal"/>
      <w:isLgl w:val="false"/>
      <w:suff w:val="tab"/>
      <w:lvlText w:val="%1.%2."/>
      <w:lvlJc w:val="left"/>
      <w:pPr>
        <w:ind w:left="1713" w:hanging="720"/>
        <w:tabs>
          <w:tab w:val="num" w:pos="1713" w:leader="none"/>
        </w:tabs>
      </w:pPr>
      <w:rPr>
        <w:rFonts w:hint="default"/>
        <w:b w:val="0"/>
        <w:i w:val="0"/>
      </w:rPr>
    </w:lvl>
    <w:lvl w:ilvl="2">
      <w:start w:val="1"/>
      <w:numFmt w:val="decimal"/>
      <w:isLgl w:val="false"/>
      <w:suff w:val="tab"/>
      <w:lvlText w:val="%1.%2.%3."/>
      <w:lvlJc w:val="left"/>
      <w:pPr>
        <w:ind w:left="720" w:hanging="720"/>
        <w:tabs>
          <w:tab w:val="num" w:pos="720" w:leader="none"/>
        </w:tabs>
      </w:pPr>
      <w:rPr>
        <w:rFonts w:hint="default"/>
        <w:b w:val="0"/>
      </w:rPr>
    </w:lvl>
    <w:lvl w:ilvl="3">
      <w:start w:val="1"/>
      <w:numFmt w:val="decimal"/>
      <w:isLgl w:val="false"/>
      <w:suff w:val="tab"/>
      <w:lvlText w:val="%1.%2.%3.%4."/>
      <w:lvlJc w:val="left"/>
      <w:pPr>
        <w:ind w:left="1080" w:hanging="1080"/>
        <w:tabs>
          <w:tab w:val="num" w:pos="1080" w:leader="none"/>
        </w:tabs>
      </w:pPr>
      <w:rPr>
        <w:rFonts w:hint="default"/>
        <w:b w:val="0"/>
      </w:rPr>
    </w:lvl>
    <w:lvl w:ilvl="4">
      <w:start w:val="1"/>
      <w:numFmt w:val="decimal"/>
      <w:isLgl w:val="false"/>
      <w:suff w:val="tab"/>
      <w:lvlText w:val="%1.%2.%3.%4.%5."/>
      <w:lvlJc w:val="left"/>
      <w:pPr>
        <w:ind w:left="1080" w:hanging="1080"/>
        <w:tabs>
          <w:tab w:val="num" w:pos="1080" w:leader="none"/>
        </w:tabs>
      </w:pPr>
      <w:rPr>
        <w:rFonts w:hint="default"/>
        <w:b/>
      </w:rPr>
    </w:lvl>
    <w:lvl w:ilvl="5">
      <w:start w:val="1"/>
      <w:numFmt w:val="decimal"/>
      <w:isLgl w:val="false"/>
      <w:suff w:val="tab"/>
      <w:lvlText w:val="%1.%2.%3.%4.%5.%6."/>
      <w:lvlJc w:val="left"/>
      <w:pPr>
        <w:ind w:left="1440" w:hanging="1440"/>
        <w:tabs>
          <w:tab w:val="num" w:pos="1440" w:leader="none"/>
        </w:tabs>
      </w:pPr>
      <w:rPr>
        <w:rFonts w:hint="default"/>
        <w:b/>
      </w:rPr>
    </w:lvl>
    <w:lvl w:ilvl="6">
      <w:start w:val="1"/>
      <w:numFmt w:val="decimal"/>
      <w:isLgl w:val="false"/>
      <w:suff w:val="tab"/>
      <w:lvlText w:val="%1.%2.%3.%4.%5.%6.%7."/>
      <w:lvlJc w:val="left"/>
      <w:pPr>
        <w:ind w:left="1800" w:hanging="1800"/>
        <w:tabs>
          <w:tab w:val="num" w:pos="1800" w:leader="none"/>
        </w:tabs>
      </w:pPr>
      <w:rPr>
        <w:rFonts w:hint="default"/>
        <w:b/>
      </w:rPr>
    </w:lvl>
    <w:lvl w:ilvl="7">
      <w:start w:val="1"/>
      <w:numFmt w:val="decimal"/>
      <w:isLgl w:val="false"/>
      <w:suff w:val="tab"/>
      <w:lvlText w:val="%1.%2.%3.%4.%5.%6.%7.%8."/>
      <w:lvlJc w:val="left"/>
      <w:pPr>
        <w:ind w:left="1800" w:hanging="1800"/>
        <w:tabs>
          <w:tab w:val="num" w:pos="1800" w:leader="none"/>
        </w:tabs>
      </w:pPr>
      <w:rPr>
        <w:rFonts w:hint="default"/>
        <w:b/>
      </w:rPr>
    </w:lvl>
    <w:lvl w:ilvl="8">
      <w:start w:val="1"/>
      <w:numFmt w:val="decimal"/>
      <w:isLgl w:val="false"/>
      <w:suff w:val="tab"/>
      <w:lvlText w:val="%1.%2.%3.%4.%5.%6.%7.%8.%9."/>
      <w:lvlJc w:val="left"/>
      <w:pPr>
        <w:ind w:left="2160" w:hanging="2160"/>
        <w:tabs>
          <w:tab w:val="num" w:pos="2160" w:leader="none"/>
        </w:tabs>
      </w:pPr>
      <w:rPr>
        <w:rFonts w:hint="default"/>
        <w:b/>
      </w:rPr>
    </w:lvl>
  </w:abstractNum>
  <w:abstractNum w:abstractNumId="7">
    <w:multiLevelType w:val="hybridMultilevel"/>
    <w:lvl w:ilvl="0">
      <w:start w:val="3"/>
      <w:numFmt w:val="decimal"/>
      <w:isLgl w:val="false"/>
      <w:suff w:val="tab"/>
      <w:lvlText w:val="%1)"/>
      <w:lvlJc w:val="left"/>
      <w:pPr>
        <w:ind w:left="1494" w:hanging="360"/>
      </w:pPr>
      <w:rPr>
        <w:rFonts w:hint="default" w:cs="Times New Roman"/>
      </w:rPr>
    </w:lvl>
    <w:lvl w:ilvl="1">
      <w:start w:val="1"/>
      <w:numFmt w:val="lowerLetter"/>
      <w:isLgl w:val="false"/>
      <w:suff w:val="tab"/>
      <w:lvlText w:val="%2."/>
      <w:lvlJc w:val="left"/>
      <w:pPr>
        <w:ind w:left="2214" w:hanging="360"/>
      </w:pPr>
      <w:rPr>
        <w:rFonts w:cs="Times New Roman"/>
      </w:rPr>
    </w:lvl>
    <w:lvl w:ilvl="2">
      <w:start w:val="1"/>
      <w:numFmt w:val="lowerRoman"/>
      <w:isLgl w:val="false"/>
      <w:suff w:val="tab"/>
      <w:lvlText w:val="%3."/>
      <w:lvlJc w:val="right"/>
      <w:pPr>
        <w:ind w:left="2934" w:hanging="180"/>
      </w:pPr>
      <w:rPr>
        <w:rFonts w:cs="Times New Roman"/>
      </w:rPr>
    </w:lvl>
    <w:lvl w:ilvl="3">
      <w:start w:val="1"/>
      <w:numFmt w:val="decimal"/>
      <w:isLgl w:val="false"/>
      <w:suff w:val="tab"/>
      <w:lvlText w:val="%4."/>
      <w:lvlJc w:val="left"/>
      <w:pPr>
        <w:ind w:left="3654" w:hanging="360"/>
      </w:pPr>
      <w:rPr>
        <w:rFonts w:cs="Times New Roman"/>
      </w:rPr>
    </w:lvl>
    <w:lvl w:ilvl="4">
      <w:start w:val="1"/>
      <w:numFmt w:val="lowerLetter"/>
      <w:isLgl w:val="false"/>
      <w:suff w:val="tab"/>
      <w:lvlText w:val="%5."/>
      <w:lvlJc w:val="left"/>
      <w:pPr>
        <w:ind w:left="4374" w:hanging="360"/>
      </w:pPr>
      <w:rPr>
        <w:rFonts w:cs="Times New Roman"/>
      </w:rPr>
    </w:lvl>
    <w:lvl w:ilvl="5">
      <w:start w:val="1"/>
      <w:numFmt w:val="lowerRoman"/>
      <w:isLgl w:val="false"/>
      <w:suff w:val="tab"/>
      <w:lvlText w:val="%6."/>
      <w:lvlJc w:val="right"/>
      <w:pPr>
        <w:ind w:left="5094" w:hanging="180"/>
      </w:pPr>
      <w:rPr>
        <w:rFonts w:cs="Times New Roman"/>
      </w:rPr>
    </w:lvl>
    <w:lvl w:ilvl="6">
      <w:start w:val="1"/>
      <w:numFmt w:val="decimal"/>
      <w:isLgl w:val="false"/>
      <w:suff w:val="tab"/>
      <w:lvlText w:val="%7."/>
      <w:lvlJc w:val="left"/>
      <w:pPr>
        <w:ind w:left="5814" w:hanging="360"/>
      </w:pPr>
      <w:rPr>
        <w:rFonts w:cs="Times New Roman"/>
      </w:rPr>
    </w:lvl>
    <w:lvl w:ilvl="7">
      <w:start w:val="1"/>
      <w:numFmt w:val="lowerLetter"/>
      <w:isLgl w:val="false"/>
      <w:suff w:val="tab"/>
      <w:lvlText w:val="%8."/>
      <w:lvlJc w:val="left"/>
      <w:pPr>
        <w:ind w:left="6534" w:hanging="360"/>
      </w:pPr>
      <w:rPr>
        <w:rFonts w:cs="Times New Roman"/>
      </w:rPr>
    </w:lvl>
    <w:lvl w:ilvl="8">
      <w:start w:val="1"/>
      <w:numFmt w:val="lowerRoman"/>
      <w:isLgl w:val="false"/>
      <w:suff w:val="tab"/>
      <w:lvlText w:val="%9."/>
      <w:lvlJc w:val="right"/>
      <w:pPr>
        <w:ind w:left="7254" w:hanging="180"/>
      </w:pPr>
      <w:rPr>
        <w:rFonts w:cs="Times New Roman"/>
      </w:rPr>
    </w:lvl>
  </w:abstractNum>
  <w:abstractNum w:abstractNumId="8">
    <w:multiLevelType w:val="hybridMultilevel"/>
    <w:lvl w:ilvl="0">
      <w:start w:val="3"/>
      <w:numFmt w:val="decimal"/>
      <w:isLgl w:val="false"/>
      <w:suff w:val="tab"/>
      <w:lvlText w:val="%1."/>
      <w:lvlJc w:val="left"/>
      <w:pPr>
        <w:ind w:left="600" w:hanging="600"/>
        <w:tabs>
          <w:tab w:val="num" w:pos="600" w:leader="none"/>
        </w:tabs>
      </w:pPr>
      <w:rPr>
        <w:rFonts w:hint="default"/>
        <w:b/>
      </w:rPr>
    </w:lvl>
    <w:lvl w:ilvl="1">
      <w:start w:val="1"/>
      <w:numFmt w:val="decimal"/>
      <w:isLgl w:val="false"/>
      <w:suff w:val="tab"/>
      <w:lvlText w:val="%1.%2."/>
      <w:lvlJc w:val="left"/>
      <w:pPr>
        <w:ind w:left="1713" w:hanging="720"/>
        <w:tabs>
          <w:tab w:val="num" w:pos="1713" w:leader="none"/>
        </w:tabs>
      </w:pPr>
      <w:rPr>
        <w:rFonts w:hint="default"/>
        <w:b w:val="0"/>
        <w:i w:val="0"/>
      </w:rPr>
    </w:lvl>
    <w:lvl w:ilvl="2">
      <w:start w:val="1"/>
      <w:numFmt w:val="decimal"/>
      <w:isLgl w:val="false"/>
      <w:suff w:val="tab"/>
      <w:lvlText w:val="%1.%2.%3."/>
      <w:lvlJc w:val="left"/>
      <w:pPr>
        <w:ind w:left="720" w:hanging="720"/>
        <w:tabs>
          <w:tab w:val="num" w:pos="720" w:leader="none"/>
        </w:tabs>
      </w:pPr>
      <w:rPr>
        <w:rFonts w:hint="default"/>
        <w:b w:val="0"/>
      </w:rPr>
    </w:lvl>
    <w:lvl w:ilvl="3">
      <w:start w:val="1"/>
      <w:numFmt w:val="decimal"/>
      <w:isLgl w:val="false"/>
      <w:suff w:val="tab"/>
      <w:lvlText w:val="%1.%2.%3.%4."/>
      <w:lvlJc w:val="left"/>
      <w:pPr>
        <w:ind w:left="1080" w:hanging="1080"/>
        <w:tabs>
          <w:tab w:val="num" w:pos="1080" w:leader="none"/>
        </w:tabs>
      </w:pPr>
      <w:rPr>
        <w:rFonts w:hint="default"/>
        <w:b w:val="0"/>
      </w:rPr>
    </w:lvl>
    <w:lvl w:ilvl="4">
      <w:start w:val="1"/>
      <w:numFmt w:val="decimal"/>
      <w:isLgl w:val="false"/>
      <w:suff w:val="tab"/>
      <w:lvlText w:val="%1.%2.%3.%4.%5."/>
      <w:lvlJc w:val="left"/>
      <w:pPr>
        <w:ind w:left="1080" w:hanging="1080"/>
        <w:tabs>
          <w:tab w:val="num" w:pos="1080" w:leader="none"/>
        </w:tabs>
      </w:pPr>
      <w:rPr>
        <w:rFonts w:hint="default"/>
        <w:b/>
      </w:rPr>
    </w:lvl>
    <w:lvl w:ilvl="5">
      <w:start w:val="1"/>
      <w:numFmt w:val="decimal"/>
      <w:isLgl w:val="false"/>
      <w:suff w:val="tab"/>
      <w:lvlText w:val="%1.%2.%3.%4.%5.%6."/>
      <w:lvlJc w:val="left"/>
      <w:pPr>
        <w:ind w:left="1440" w:hanging="1440"/>
        <w:tabs>
          <w:tab w:val="num" w:pos="1440" w:leader="none"/>
        </w:tabs>
      </w:pPr>
      <w:rPr>
        <w:rFonts w:hint="default"/>
        <w:b/>
      </w:rPr>
    </w:lvl>
    <w:lvl w:ilvl="6">
      <w:start w:val="1"/>
      <w:numFmt w:val="decimal"/>
      <w:isLgl w:val="false"/>
      <w:suff w:val="tab"/>
      <w:lvlText w:val="%1.%2.%3.%4.%5.%6.%7."/>
      <w:lvlJc w:val="left"/>
      <w:pPr>
        <w:ind w:left="1800" w:hanging="1800"/>
        <w:tabs>
          <w:tab w:val="num" w:pos="1800" w:leader="none"/>
        </w:tabs>
      </w:pPr>
      <w:rPr>
        <w:rFonts w:hint="default"/>
        <w:b/>
      </w:rPr>
    </w:lvl>
    <w:lvl w:ilvl="7">
      <w:start w:val="1"/>
      <w:numFmt w:val="decimal"/>
      <w:isLgl w:val="false"/>
      <w:suff w:val="tab"/>
      <w:lvlText w:val="%1.%2.%3.%4.%5.%6.%7.%8."/>
      <w:lvlJc w:val="left"/>
      <w:pPr>
        <w:ind w:left="1800" w:hanging="1800"/>
        <w:tabs>
          <w:tab w:val="num" w:pos="1800" w:leader="none"/>
        </w:tabs>
      </w:pPr>
      <w:rPr>
        <w:rFonts w:hint="default"/>
        <w:b/>
      </w:rPr>
    </w:lvl>
    <w:lvl w:ilvl="8">
      <w:start w:val="1"/>
      <w:numFmt w:val="decimal"/>
      <w:isLgl w:val="false"/>
      <w:suff w:val="tab"/>
      <w:lvlText w:val="%1.%2.%3.%4.%5.%6.%7.%8.%9."/>
      <w:lvlJc w:val="left"/>
      <w:pPr>
        <w:ind w:left="2160" w:hanging="2160"/>
        <w:tabs>
          <w:tab w:val="num" w:pos="2160" w:leader="none"/>
        </w:tabs>
      </w:pPr>
      <w:rPr>
        <w:rFonts w:hint="default"/>
        <w:b/>
      </w:rPr>
    </w:lvl>
  </w:abstractNum>
  <w:abstractNum w:abstractNumId="9">
    <w:multiLevelType w:val="hybridMultilevel"/>
    <w:lvl w:ilvl="0">
      <w:start w:val="3"/>
      <w:numFmt w:val="decimal"/>
      <w:isLgl w:val="false"/>
      <w:suff w:val="tab"/>
      <w:lvlText w:val="%1."/>
      <w:lvlJc w:val="left"/>
      <w:pPr>
        <w:ind w:left="600" w:hanging="600"/>
        <w:tabs>
          <w:tab w:val="num" w:pos="600" w:leader="none"/>
        </w:tabs>
      </w:pPr>
      <w:rPr>
        <w:rFonts w:hint="default"/>
        <w:b/>
      </w:rPr>
    </w:lvl>
    <w:lvl w:ilvl="1">
      <w:start w:val="1"/>
      <w:numFmt w:val="decimal"/>
      <w:isLgl w:val="false"/>
      <w:suff w:val="tab"/>
      <w:lvlText w:val="%1.%2."/>
      <w:lvlJc w:val="left"/>
      <w:pPr>
        <w:ind w:left="1713" w:hanging="720"/>
        <w:tabs>
          <w:tab w:val="num" w:pos="1713" w:leader="none"/>
        </w:tabs>
      </w:pPr>
      <w:rPr>
        <w:rFonts w:hint="default"/>
        <w:b w:val="0"/>
        <w:i w:val="0"/>
      </w:rPr>
    </w:lvl>
    <w:lvl w:ilvl="2">
      <w:start w:val="1"/>
      <w:numFmt w:val="decimal"/>
      <w:isLgl w:val="false"/>
      <w:suff w:val="tab"/>
      <w:lvlText w:val="%1.%2.%3."/>
      <w:lvlJc w:val="left"/>
      <w:pPr>
        <w:ind w:left="720" w:hanging="720"/>
        <w:tabs>
          <w:tab w:val="num" w:pos="720" w:leader="none"/>
        </w:tabs>
      </w:pPr>
      <w:rPr>
        <w:rFonts w:hint="default"/>
        <w:b w:val="0"/>
      </w:rPr>
    </w:lvl>
    <w:lvl w:ilvl="3">
      <w:start w:val="1"/>
      <w:numFmt w:val="decimal"/>
      <w:isLgl w:val="false"/>
      <w:suff w:val="tab"/>
      <w:lvlText w:val="%1.%2.%3.%4."/>
      <w:lvlJc w:val="left"/>
      <w:pPr>
        <w:ind w:left="1080" w:hanging="1080"/>
        <w:tabs>
          <w:tab w:val="num" w:pos="1080" w:leader="none"/>
        </w:tabs>
      </w:pPr>
      <w:rPr>
        <w:rFonts w:hint="default"/>
        <w:b w:val="0"/>
      </w:rPr>
    </w:lvl>
    <w:lvl w:ilvl="4">
      <w:start w:val="1"/>
      <w:numFmt w:val="decimal"/>
      <w:isLgl w:val="false"/>
      <w:suff w:val="tab"/>
      <w:lvlText w:val="%1.%2.%3.%4.%5."/>
      <w:lvlJc w:val="left"/>
      <w:pPr>
        <w:ind w:left="1080" w:hanging="1080"/>
        <w:tabs>
          <w:tab w:val="num" w:pos="1080" w:leader="none"/>
        </w:tabs>
      </w:pPr>
      <w:rPr>
        <w:rFonts w:hint="default"/>
        <w:b/>
      </w:rPr>
    </w:lvl>
    <w:lvl w:ilvl="5">
      <w:start w:val="1"/>
      <w:numFmt w:val="decimal"/>
      <w:isLgl w:val="false"/>
      <w:suff w:val="tab"/>
      <w:lvlText w:val="%1.%2.%3.%4.%5.%6."/>
      <w:lvlJc w:val="left"/>
      <w:pPr>
        <w:ind w:left="1440" w:hanging="1440"/>
        <w:tabs>
          <w:tab w:val="num" w:pos="1440" w:leader="none"/>
        </w:tabs>
      </w:pPr>
      <w:rPr>
        <w:rFonts w:hint="default"/>
        <w:b/>
      </w:rPr>
    </w:lvl>
    <w:lvl w:ilvl="6">
      <w:start w:val="1"/>
      <w:numFmt w:val="decimal"/>
      <w:isLgl w:val="false"/>
      <w:suff w:val="tab"/>
      <w:lvlText w:val="%1.%2.%3.%4.%5.%6.%7."/>
      <w:lvlJc w:val="left"/>
      <w:pPr>
        <w:ind w:left="1800" w:hanging="1800"/>
        <w:tabs>
          <w:tab w:val="num" w:pos="1800" w:leader="none"/>
        </w:tabs>
      </w:pPr>
      <w:rPr>
        <w:rFonts w:hint="default"/>
        <w:b/>
      </w:rPr>
    </w:lvl>
    <w:lvl w:ilvl="7">
      <w:start w:val="1"/>
      <w:numFmt w:val="decimal"/>
      <w:isLgl w:val="false"/>
      <w:suff w:val="tab"/>
      <w:lvlText w:val="%1.%2.%3.%4.%5.%6.%7.%8."/>
      <w:lvlJc w:val="left"/>
      <w:pPr>
        <w:ind w:left="1800" w:hanging="1800"/>
        <w:tabs>
          <w:tab w:val="num" w:pos="1800" w:leader="none"/>
        </w:tabs>
      </w:pPr>
      <w:rPr>
        <w:rFonts w:hint="default"/>
        <w:b/>
      </w:rPr>
    </w:lvl>
    <w:lvl w:ilvl="8">
      <w:start w:val="1"/>
      <w:numFmt w:val="decimal"/>
      <w:isLgl w:val="false"/>
      <w:suff w:val="tab"/>
      <w:lvlText w:val="%1.%2.%3.%4.%5.%6.%7.%8.%9."/>
      <w:lvlJc w:val="left"/>
      <w:pPr>
        <w:ind w:left="2160" w:hanging="2160"/>
        <w:tabs>
          <w:tab w:val="num" w:pos="2160" w:leader="none"/>
        </w:tabs>
      </w:pPr>
      <w:rPr>
        <w:rFonts w:hint="default"/>
        <w:b/>
      </w:rPr>
    </w:lvl>
  </w:abstractNum>
  <w:abstractNum w:abstractNumId="10">
    <w:multiLevelType w:val="hybridMultilevel"/>
    <w:lvl w:ilvl="0">
      <w:start w:val="1"/>
      <w:numFmt w:val="decimal"/>
      <w:isLgl w:val="false"/>
      <w:suff w:val="tab"/>
      <w:lvlText w:val="%1."/>
      <w:lvlJc w:val="left"/>
      <w:pPr>
        <w:ind w:left="1069" w:hanging="360"/>
      </w:pPr>
      <w:rPr>
        <w:rFonts w:hint="default"/>
      </w:rPr>
    </w:lvl>
    <w:lvl w:ilvl="1">
      <w:start w:val="1"/>
      <w:numFmt w:val="decimal"/>
      <w:isLgl/>
      <w:suff w:val="tab"/>
      <w:lvlText w:val="%1.%2."/>
      <w:lvlJc w:val="left"/>
      <w:pPr>
        <w:ind w:left="502" w:hanging="360"/>
      </w:pPr>
      <w:rPr>
        <w:rFonts w:hint="default"/>
        <w:b w:val="0"/>
      </w:rPr>
    </w:lvl>
    <w:lvl w:ilvl="2">
      <w:start w:val="1"/>
      <w:numFmt w:val="decimal"/>
      <w:isLgl/>
      <w:suff w:val="tab"/>
      <w:lvlText w:val="%1.%2.%3."/>
      <w:lvlJc w:val="left"/>
      <w:pPr>
        <w:ind w:left="2149" w:hanging="720"/>
      </w:pPr>
      <w:rPr>
        <w:rFonts w:hint="default"/>
      </w:rPr>
    </w:lvl>
    <w:lvl w:ilvl="3">
      <w:start w:val="1"/>
      <w:numFmt w:val="decimal"/>
      <w:isLgl/>
      <w:suff w:val="tab"/>
      <w:lvlText w:val="%1.%2.%3.%4."/>
      <w:lvlJc w:val="left"/>
      <w:pPr>
        <w:ind w:left="2509" w:hanging="720"/>
      </w:pPr>
      <w:rPr>
        <w:rFonts w:hint="default"/>
      </w:rPr>
    </w:lvl>
    <w:lvl w:ilvl="4">
      <w:start w:val="1"/>
      <w:numFmt w:val="decimal"/>
      <w:isLgl/>
      <w:suff w:val="tab"/>
      <w:lvlText w:val="%1.%2.%3.%4.%5."/>
      <w:lvlJc w:val="left"/>
      <w:pPr>
        <w:ind w:left="3229" w:hanging="1080"/>
      </w:pPr>
      <w:rPr>
        <w:rFonts w:hint="default"/>
      </w:rPr>
    </w:lvl>
    <w:lvl w:ilvl="5">
      <w:start w:val="1"/>
      <w:numFmt w:val="decimal"/>
      <w:isLgl/>
      <w:suff w:val="tab"/>
      <w:lvlText w:val="%1.%2.%3.%4.%5.%6."/>
      <w:lvlJc w:val="left"/>
      <w:pPr>
        <w:ind w:left="3589" w:hanging="1080"/>
      </w:pPr>
      <w:rPr>
        <w:rFonts w:hint="default"/>
      </w:rPr>
    </w:lvl>
    <w:lvl w:ilvl="6">
      <w:start w:val="1"/>
      <w:numFmt w:val="decimal"/>
      <w:isLgl/>
      <w:suff w:val="tab"/>
      <w:lvlText w:val="%1.%2.%3.%4.%5.%6.%7."/>
      <w:lvlJc w:val="left"/>
      <w:pPr>
        <w:ind w:left="4309" w:hanging="1440"/>
      </w:pPr>
      <w:rPr>
        <w:rFonts w:hint="default"/>
      </w:rPr>
    </w:lvl>
    <w:lvl w:ilvl="7">
      <w:start w:val="1"/>
      <w:numFmt w:val="decimal"/>
      <w:isLgl/>
      <w:suff w:val="tab"/>
      <w:lvlText w:val="%1.%2.%3.%4.%5.%6.%7.%8."/>
      <w:lvlJc w:val="left"/>
      <w:pPr>
        <w:ind w:left="4669" w:hanging="1440"/>
      </w:pPr>
      <w:rPr>
        <w:rFonts w:hint="default"/>
      </w:rPr>
    </w:lvl>
    <w:lvl w:ilvl="8">
      <w:start w:val="1"/>
      <w:numFmt w:val="decimal"/>
      <w:isLgl/>
      <w:suff w:val="tab"/>
      <w:lvlText w:val="%1.%2.%3.%4.%5.%6.%7.%8.%9."/>
      <w:lvlJc w:val="left"/>
      <w:pPr>
        <w:ind w:left="5389" w:hanging="1800"/>
      </w:pPr>
      <w:rPr>
        <w:rFonts w:hint="default"/>
      </w:rPr>
    </w:lvl>
  </w:abstractNum>
  <w:abstractNum w:abstractNumId="11">
    <w:multiLevelType w:val="hybridMultilevel"/>
    <w:lvl w:ilvl="0">
      <w:start w:val="5"/>
      <w:numFmt w:val="decimal"/>
      <w:isLgl w:val="false"/>
      <w:suff w:val="tab"/>
      <w:lvlText w:val="%1."/>
      <w:lvlJc w:val="left"/>
      <w:pPr>
        <w:ind w:left="360" w:hanging="360"/>
      </w:pPr>
      <w:rPr>
        <w:rFonts w:hint="default"/>
      </w:rPr>
    </w:lvl>
    <w:lvl w:ilvl="1">
      <w:start w:val="1"/>
      <w:numFmt w:val="decimal"/>
      <w:isLgl w:val="false"/>
      <w:suff w:val="tab"/>
      <w:lvlText w:val="%1.%2."/>
      <w:lvlJc w:val="left"/>
      <w:pPr>
        <w:ind w:left="1069" w:hanging="360"/>
      </w:pPr>
      <w:rPr>
        <w:rFonts w:hint="default"/>
      </w:rPr>
    </w:lvl>
    <w:lvl w:ilvl="2">
      <w:start w:val="1"/>
      <w:numFmt w:val="decimal"/>
      <w:isLgl w:val="false"/>
      <w:suff w:val="tab"/>
      <w:lvlText w:val="%1.%2.%3."/>
      <w:lvlJc w:val="left"/>
      <w:pPr>
        <w:ind w:left="1429" w:hanging="720"/>
      </w:pPr>
      <w:rPr>
        <w:rFonts w:hint="default"/>
      </w:rPr>
    </w:lvl>
    <w:lvl w:ilvl="3">
      <w:start w:val="1"/>
      <w:numFmt w:val="decimal"/>
      <w:isLgl w:val="false"/>
      <w:suff w:val="tab"/>
      <w:lvlText w:val="%1.%2.%3.%4."/>
      <w:lvlJc w:val="left"/>
      <w:pPr>
        <w:ind w:left="2847" w:hanging="720"/>
      </w:pPr>
      <w:rPr>
        <w:rFonts w:hint="default"/>
      </w:rPr>
    </w:lvl>
    <w:lvl w:ilvl="4">
      <w:start w:val="1"/>
      <w:numFmt w:val="decimal"/>
      <w:isLgl w:val="false"/>
      <w:suff w:val="tab"/>
      <w:lvlText w:val="%1.%2.%3.%4.%5."/>
      <w:lvlJc w:val="left"/>
      <w:pPr>
        <w:ind w:left="3916" w:hanging="1080"/>
      </w:pPr>
      <w:rPr>
        <w:rFonts w:hint="default"/>
      </w:rPr>
    </w:lvl>
    <w:lvl w:ilvl="5">
      <w:start w:val="1"/>
      <w:numFmt w:val="decimal"/>
      <w:isLgl w:val="false"/>
      <w:suff w:val="tab"/>
      <w:lvlText w:val="%1.%2.%3.%4.%5.%6."/>
      <w:lvlJc w:val="left"/>
      <w:pPr>
        <w:ind w:left="4625" w:hanging="1080"/>
      </w:pPr>
      <w:rPr>
        <w:rFonts w:hint="default"/>
      </w:rPr>
    </w:lvl>
    <w:lvl w:ilvl="6">
      <w:start w:val="1"/>
      <w:numFmt w:val="decimal"/>
      <w:isLgl w:val="false"/>
      <w:suff w:val="tab"/>
      <w:lvlText w:val="%1.%2.%3.%4.%5.%6.%7."/>
      <w:lvlJc w:val="left"/>
      <w:pPr>
        <w:ind w:left="5694" w:hanging="1440"/>
      </w:pPr>
      <w:rPr>
        <w:rFonts w:hint="default"/>
      </w:rPr>
    </w:lvl>
    <w:lvl w:ilvl="7">
      <w:start w:val="1"/>
      <w:numFmt w:val="decimal"/>
      <w:isLgl w:val="false"/>
      <w:suff w:val="tab"/>
      <w:lvlText w:val="%1.%2.%3.%4.%5.%6.%7.%8."/>
      <w:lvlJc w:val="left"/>
      <w:pPr>
        <w:ind w:left="6403" w:hanging="1440"/>
      </w:pPr>
      <w:rPr>
        <w:rFonts w:hint="default"/>
      </w:rPr>
    </w:lvl>
    <w:lvl w:ilvl="8">
      <w:start w:val="1"/>
      <w:numFmt w:val="decimal"/>
      <w:isLgl w:val="false"/>
      <w:suff w:val="tab"/>
      <w:lvlText w:val="%1.%2.%3.%4.%5.%6.%7.%8.%9."/>
      <w:lvlJc w:val="left"/>
      <w:pPr>
        <w:ind w:left="7472" w:hanging="1800"/>
      </w:pPr>
      <w:rPr>
        <w:rFonts w:hint="default"/>
      </w:rPr>
    </w:lvl>
  </w:abstractNum>
  <w:abstractNum w:abstractNumId="12">
    <w:multiLevelType w:val="hybridMultilevel"/>
    <w:lvl w:ilvl="0">
      <w:start w:val="3"/>
      <w:numFmt w:val="decimal"/>
      <w:isLgl w:val="false"/>
      <w:suff w:val="tab"/>
      <w:lvlText w:val="%1)"/>
      <w:lvlJc w:val="left"/>
      <w:pPr>
        <w:ind w:left="1494" w:hanging="360"/>
      </w:pPr>
      <w:rPr>
        <w:rFonts w:hint="default" w:cs="Times New Roman"/>
      </w:rPr>
    </w:lvl>
    <w:lvl w:ilvl="1">
      <w:start w:val="1"/>
      <w:numFmt w:val="lowerLetter"/>
      <w:isLgl w:val="false"/>
      <w:suff w:val="tab"/>
      <w:lvlText w:val="%2."/>
      <w:lvlJc w:val="left"/>
      <w:pPr>
        <w:ind w:left="2214" w:hanging="360"/>
      </w:pPr>
      <w:rPr>
        <w:rFonts w:cs="Times New Roman"/>
      </w:rPr>
    </w:lvl>
    <w:lvl w:ilvl="2">
      <w:start w:val="1"/>
      <w:numFmt w:val="lowerRoman"/>
      <w:isLgl w:val="false"/>
      <w:suff w:val="tab"/>
      <w:lvlText w:val="%3."/>
      <w:lvlJc w:val="right"/>
      <w:pPr>
        <w:ind w:left="2934" w:hanging="180"/>
      </w:pPr>
      <w:rPr>
        <w:rFonts w:cs="Times New Roman"/>
      </w:rPr>
    </w:lvl>
    <w:lvl w:ilvl="3">
      <w:start w:val="1"/>
      <w:numFmt w:val="decimal"/>
      <w:isLgl w:val="false"/>
      <w:suff w:val="tab"/>
      <w:lvlText w:val="%4."/>
      <w:lvlJc w:val="left"/>
      <w:pPr>
        <w:ind w:left="3654" w:hanging="360"/>
      </w:pPr>
      <w:rPr>
        <w:rFonts w:cs="Times New Roman"/>
      </w:rPr>
    </w:lvl>
    <w:lvl w:ilvl="4">
      <w:start w:val="1"/>
      <w:numFmt w:val="lowerLetter"/>
      <w:isLgl w:val="false"/>
      <w:suff w:val="tab"/>
      <w:lvlText w:val="%5."/>
      <w:lvlJc w:val="left"/>
      <w:pPr>
        <w:ind w:left="4374" w:hanging="360"/>
      </w:pPr>
      <w:rPr>
        <w:rFonts w:cs="Times New Roman"/>
      </w:rPr>
    </w:lvl>
    <w:lvl w:ilvl="5">
      <w:start w:val="1"/>
      <w:numFmt w:val="lowerRoman"/>
      <w:isLgl w:val="false"/>
      <w:suff w:val="tab"/>
      <w:lvlText w:val="%6."/>
      <w:lvlJc w:val="right"/>
      <w:pPr>
        <w:ind w:left="5094" w:hanging="180"/>
      </w:pPr>
      <w:rPr>
        <w:rFonts w:cs="Times New Roman"/>
      </w:rPr>
    </w:lvl>
    <w:lvl w:ilvl="6">
      <w:start w:val="1"/>
      <w:numFmt w:val="decimal"/>
      <w:isLgl w:val="false"/>
      <w:suff w:val="tab"/>
      <w:lvlText w:val="%7."/>
      <w:lvlJc w:val="left"/>
      <w:pPr>
        <w:ind w:left="5814" w:hanging="360"/>
      </w:pPr>
      <w:rPr>
        <w:rFonts w:cs="Times New Roman"/>
      </w:rPr>
    </w:lvl>
    <w:lvl w:ilvl="7">
      <w:start w:val="1"/>
      <w:numFmt w:val="lowerLetter"/>
      <w:isLgl w:val="false"/>
      <w:suff w:val="tab"/>
      <w:lvlText w:val="%8."/>
      <w:lvlJc w:val="left"/>
      <w:pPr>
        <w:ind w:left="6534" w:hanging="360"/>
      </w:pPr>
      <w:rPr>
        <w:rFonts w:cs="Times New Roman"/>
      </w:rPr>
    </w:lvl>
    <w:lvl w:ilvl="8">
      <w:start w:val="1"/>
      <w:numFmt w:val="lowerRoman"/>
      <w:isLgl w:val="false"/>
      <w:suff w:val="tab"/>
      <w:lvlText w:val="%9."/>
      <w:lvlJc w:val="right"/>
      <w:pPr>
        <w:ind w:left="7254" w:hanging="180"/>
      </w:pPr>
      <w:rPr>
        <w:rFonts w:cs="Times New Roman"/>
      </w:rPr>
    </w:lvl>
  </w:abstractNum>
  <w:abstractNum w:abstractNumId="13">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6"/>
      <w:numFmt w:val="decimal"/>
      <w:isLgl w:val="false"/>
      <w:suff w:val="tab"/>
      <w:lvlText w:val="%1."/>
      <w:lvlJc w:val="left"/>
      <w:pPr>
        <w:ind w:left="360" w:hanging="360"/>
      </w:pPr>
      <w:rPr>
        <w:rFonts w:hint="default"/>
      </w:rPr>
    </w:lvl>
    <w:lvl w:ilvl="1">
      <w:start w:val="1"/>
      <w:numFmt w:val="decimal"/>
      <w:isLgl w:val="false"/>
      <w:suff w:val="tab"/>
      <w:lvlText w:val="%1.%2."/>
      <w:lvlJc w:val="left"/>
      <w:pPr>
        <w:ind w:left="1069" w:hanging="360"/>
      </w:pPr>
      <w:rPr>
        <w:rFonts w:hint="default"/>
      </w:rPr>
    </w:lvl>
    <w:lvl w:ilvl="2">
      <w:start w:val="1"/>
      <w:numFmt w:val="decimal"/>
      <w:isLgl w:val="false"/>
      <w:suff w:val="tab"/>
      <w:lvlText w:val="%1.%2.%3."/>
      <w:lvlJc w:val="left"/>
      <w:pPr>
        <w:ind w:left="2138" w:hanging="720"/>
      </w:pPr>
      <w:rPr>
        <w:rFonts w:hint="default"/>
      </w:rPr>
    </w:lvl>
    <w:lvl w:ilvl="3">
      <w:start w:val="1"/>
      <w:numFmt w:val="decimal"/>
      <w:isLgl w:val="false"/>
      <w:suff w:val="tab"/>
      <w:lvlText w:val="%1.%2.%3.%4."/>
      <w:lvlJc w:val="left"/>
      <w:pPr>
        <w:ind w:left="2847" w:hanging="720"/>
      </w:pPr>
      <w:rPr>
        <w:rFonts w:hint="default"/>
      </w:rPr>
    </w:lvl>
    <w:lvl w:ilvl="4">
      <w:start w:val="1"/>
      <w:numFmt w:val="decimal"/>
      <w:isLgl w:val="false"/>
      <w:suff w:val="tab"/>
      <w:lvlText w:val="%1.%2.%3.%4.%5."/>
      <w:lvlJc w:val="left"/>
      <w:pPr>
        <w:ind w:left="3916" w:hanging="1080"/>
      </w:pPr>
      <w:rPr>
        <w:rFonts w:hint="default"/>
      </w:rPr>
    </w:lvl>
    <w:lvl w:ilvl="5">
      <w:start w:val="1"/>
      <w:numFmt w:val="decimal"/>
      <w:isLgl w:val="false"/>
      <w:suff w:val="tab"/>
      <w:lvlText w:val="%1.%2.%3.%4.%5.%6."/>
      <w:lvlJc w:val="left"/>
      <w:pPr>
        <w:ind w:left="4625" w:hanging="1080"/>
      </w:pPr>
      <w:rPr>
        <w:rFonts w:hint="default"/>
      </w:rPr>
    </w:lvl>
    <w:lvl w:ilvl="6">
      <w:start w:val="1"/>
      <w:numFmt w:val="decimal"/>
      <w:isLgl w:val="false"/>
      <w:suff w:val="tab"/>
      <w:lvlText w:val="%1.%2.%3.%4.%5.%6.%7."/>
      <w:lvlJc w:val="left"/>
      <w:pPr>
        <w:ind w:left="5694" w:hanging="1440"/>
      </w:pPr>
      <w:rPr>
        <w:rFonts w:hint="default"/>
      </w:rPr>
    </w:lvl>
    <w:lvl w:ilvl="7">
      <w:start w:val="1"/>
      <w:numFmt w:val="decimal"/>
      <w:isLgl w:val="false"/>
      <w:suff w:val="tab"/>
      <w:lvlText w:val="%1.%2.%3.%4.%5.%6.%7.%8."/>
      <w:lvlJc w:val="left"/>
      <w:pPr>
        <w:ind w:left="6403" w:hanging="1440"/>
      </w:pPr>
      <w:rPr>
        <w:rFonts w:hint="default"/>
      </w:rPr>
    </w:lvl>
    <w:lvl w:ilvl="8">
      <w:start w:val="1"/>
      <w:numFmt w:val="decimal"/>
      <w:isLgl w:val="false"/>
      <w:suff w:val="tab"/>
      <w:lvlText w:val="%1.%2.%3.%4.%5.%6.%7.%8.%9."/>
      <w:lvlJc w:val="left"/>
      <w:pPr>
        <w:ind w:left="7472" w:hanging="1800"/>
      </w:pPr>
      <w:rPr>
        <w:rFonts w:hint="default"/>
      </w:rPr>
    </w:lvl>
  </w:abstractNum>
  <w:abstractNum w:abstractNumId="15">
    <w:multiLevelType w:val="hybridMultilevel"/>
    <w:lvl w:ilvl="0">
      <w:start w:val="3"/>
      <w:numFmt w:val="decimal"/>
      <w:isLgl w:val="false"/>
      <w:suff w:val="tab"/>
      <w:lvlText w:val="%1)"/>
      <w:lvlJc w:val="left"/>
      <w:pPr>
        <w:ind w:left="1494" w:hanging="360"/>
      </w:pPr>
      <w:rPr>
        <w:rFonts w:hint="default" w:cs="Times New Roman"/>
      </w:rPr>
    </w:lvl>
    <w:lvl w:ilvl="1">
      <w:start w:val="1"/>
      <w:numFmt w:val="lowerLetter"/>
      <w:isLgl w:val="false"/>
      <w:suff w:val="tab"/>
      <w:lvlText w:val="%2."/>
      <w:lvlJc w:val="left"/>
      <w:pPr>
        <w:ind w:left="2214" w:hanging="360"/>
      </w:pPr>
      <w:rPr>
        <w:rFonts w:cs="Times New Roman"/>
      </w:rPr>
    </w:lvl>
    <w:lvl w:ilvl="2">
      <w:start w:val="1"/>
      <w:numFmt w:val="lowerRoman"/>
      <w:isLgl w:val="false"/>
      <w:suff w:val="tab"/>
      <w:lvlText w:val="%3."/>
      <w:lvlJc w:val="right"/>
      <w:pPr>
        <w:ind w:left="2934" w:hanging="180"/>
      </w:pPr>
      <w:rPr>
        <w:rFonts w:cs="Times New Roman"/>
      </w:rPr>
    </w:lvl>
    <w:lvl w:ilvl="3">
      <w:start w:val="1"/>
      <w:numFmt w:val="decimal"/>
      <w:isLgl w:val="false"/>
      <w:suff w:val="tab"/>
      <w:lvlText w:val="%4."/>
      <w:lvlJc w:val="left"/>
      <w:pPr>
        <w:ind w:left="3654" w:hanging="360"/>
      </w:pPr>
      <w:rPr>
        <w:rFonts w:cs="Times New Roman"/>
      </w:rPr>
    </w:lvl>
    <w:lvl w:ilvl="4">
      <w:start w:val="1"/>
      <w:numFmt w:val="lowerLetter"/>
      <w:isLgl w:val="false"/>
      <w:suff w:val="tab"/>
      <w:lvlText w:val="%5."/>
      <w:lvlJc w:val="left"/>
      <w:pPr>
        <w:ind w:left="4374" w:hanging="360"/>
      </w:pPr>
      <w:rPr>
        <w:rFonts w:cs="Times New Roman"/>
      </w:rPr>
    </w:lvl>
    <w:lvl w:ilvl="5">
      <w:start w:val="1"/>
      <w:numFmt w:val="lowerRoman"/>
      <w:isLgl w:val="false"/>
      <w:suff w:val="tab"/>
      <w:lvlText w:val="%6."/>
      <w:lvlJc w:val="right"/>
      <w:pPr>
        <w:ind w:left="5094" w:hanging="180"/>
      </w:pPr>
      <w:rPr>
        <w:rFonts w:cs="Times New Roman"/>
      </w:rPr>
    </w:lvl>
    <w:lvl w:ilvl="6">
      <w:start w:val="1"/>
      <w:numFmt w:val="decimal"/>
      <w:isLgl w:val="false"/>
      <w:suff w:val="tab"/>
      <w:lvlText w:val="%7."/>
      <w:lvlJc w:val="left"/>
      <w:pPr>
        <w:ind w:left="5814" w:hanging="360"/>
      </w:pPr>
      <w:rPr>
        <w:rFonts w:cs="Times New Roman"/>
      </w:rPr>
    </w:lvl>
    <w:lvl w:ilvl="7">
      <w:start w:val="1"/>
      <w:numFmt w:val="lowerLetter"/>
      <w:isLgl w:val="false"/>
      <w:suff w:val="tab"/>
      <w:lvlText w:val="%8."/>
      <w:lvlJc w:val="left"/>
      <w:pPr>
        <w:ind w:left="6534" w:hanging="360"/>
      </w:pPr>
      <w:rPr>
        <w:rFonts w:cs="Times New Roman"/>
      </w:rPr>
    </w:lvl>
    <w:lvl w:ilvl="8">
      <w:start w:val="1"/>
      <w:numFmt w:val="lowerRoman"/>
      <w:isLgl w:val="false"/>
      <w:suff w:val="tab"/>
      <w:lvlText w:val="%9."/>
      <w:lvlJc w:val="right"/>
      <w:pPr>
        <w:ind w:left="7254" w:hanging="180"/>
      </w:pPr>
      <w:rPr>
        <w:rFonts w:cs="Times New Roman"/>
      </w:rPr>
    </w:lvl>
  </w:abstractNum>
  <w:abstractNum w:abstractNumId="16">
    <w:multiLevelType w:val="hybridMultilevel"/>
    <w:lvl w:ilvl="0">
      <w:start w:val="1"/>
      <w:numFmt w:val="decimal"/>
      <w:isLgl w:val="false"/>
      <w:suff w:val="tab"/>
      <w:lvlText w:val="%1."/>
      <w:lvlJc w:val="left"/>
      <w:pPr>
        <w:ind w:left="1069" w:hanging="360"/>
      </w:pPr>
    </w:lvl>
    <w:lvl w:ilvl="1">
      <w:start w:val="1"/>
      <w:numFmt w:val="decimal"/>
      <w:isLgl w:val="false"/>
      <w:suff w:val="tab"/>
      <w:lvlText w:val="%1.%2."/>
      <w:lvlJc w:val="left"/>
      <w:pPr>
        <w:ind w:left="502" w:hanging="360"/>
      </w:pPr>
      <w:rPr>
        <w:b w:val="0"/>
      </w:rPr>
    </w:lvl>
    <w:lvl w:ilvl="2">
      <w:start w:val="1"/>
      <w:numFmt w:val="decimal"/>
      <w:isLgl w:val="false"/>
      <w:suff w:val="tab"/>
      <w:lvlText w:val="%1.%2.%3."/>
      <w:lvlJc w:val="left"/>
      <w:pPr>
        <w:ind w:left="2149" w:hanging="720"/>
      </w:pPr>
    </w:lvl>
    <w:lvl w:ilvl="3">
      <w:start w:val="1"/>
      <w:numFmt w:val="decimal"/>
      <w:isLgl w:val="false"/>
      <w:suff w:val="tab"/>
      <w:lvlText w:val="%1.%2.%3.%4."/>
      <w:lvlJc w:val="left"/>
      <w:pPr>
        <w:ind w:left="2509" w:hanging="720"/>
      </w:pPr>
    </w:lvl>
    <w:lvl w:ilvl="4">
      <w:start w:val="1"/>
      <w:numFmt w:val="decimal"/>
      <w:isLgl w:val="false"/>
      <w:suff w:val="tab"/>
      <w:lvlText w:val="%1.%2.%3.%4.%5."/>
      <w:lvlJc w:val="left"/>
      <w:pPr>
        <w:ind w:left="3229" w:hanging="1080"/>
      </w:pPr>
    </w:lvl>
    <w:lvl w:ilvl="5">
      <w:start w:val="1"/>
      <w:numFmt w:val="decimal"/>
      <w:isLgl w:val="false"/>
      <w:suff w:val="tab"/>
      <w:lvlText w:val="%1.%2.%3.%4.%5.%6."/>
      <w:lvlJc w:val="left"/>
      <w:pPr>
        <w:ind w:left="3589" w:hanging="1080"/>
      </w:pPr>
    </w:lvl>
    <w:lvl w:ilvl="6">
      <w:start w:val="1"/>
      <w:numFmt w:val="decimal"/>
      <w:isLgl w:val="false"/>
      <w:suff w:val="tab"/>
      <w:lvlText w:val="%1.%2.%3.%4.%5.%6.%7."/>
      <w:lvlJc w:val="left"/>
      <w:pPr>
        <w:ind w:left="4309" w:hanging="1440"/>
      </w:pPr>
    </w:lvl>
    <w:lvl w:ilvl="7">
      <w:start w:val="1"/>
      <w:numFmt w:val="decimal"/>
      <w:isLgl w:val="false"/>
      <w:suff w:val="tab"/>
      <w:lvlText w:val="%1.%2.%3.%4.%5.%6.%7.%8."/>
      <w:lvlJc w:val="left"/>
      <w:pPr>
        <w:ind w:left="4669" w:hanging="1440"/>
      </w:pPr>
    </w:lvl>
    <w:lvl w:ilvl="8">
      <w:start w:val="1"/>
      <w:numFmt w:val="decimal"/>
      <w:isLgl w:val="false"/>
      <w:suff w:val="tab"/>
      <w:lvlText w:val="%1.%2.%3.%4.%5.%6.%7.%8.%9."/>
      <w:lvlJc w:val="left"/>
      <w:pPr>
        <w:ind w:left="5389" w:hanging="1800"/>
      </w:pPr>
    </w:lvl>
  </w:abstractNum>
  <w:abstractNum w:abstractNumId="17">
    <w:multiLevelType w:val="hybridMultilevel"/>
    <w:lvl w:ilvl="0">
      <w:start w:val="1"/>
      <w:numFmt w:val="decimal"/>
      <w:isLgl w:val="false"/>
      <w:suff w:val="tab"/>
      <w:lvlText w:val="%1."/>
      <w:lvlJc w:val="left"/>
      <w:pPr>
        <w:ind w:left="1069" w:hanging="360"/>
      </w:pPr>
    </w:lvl>
    <w:lvl w:ilvl="1">
      <w:start w:val="1"/>
      <w:numFmt w:val="decimal"/>
      <w:isLgl w:val="false"/>
      <w:suff w:val="tab"/>
      <w:lvlText w:val="%1.%2."/>
      <w:lvlJc w:val="left"/>
      <w:pPr>
        <w:ind w:left="502" w:hanging="360"/>
      </w:pPr>
      <w:rPr>
        <w:b w:val="0"/>
      </w:rPr>
    </w:lvl>
    <w:lvl w:ilvl="2">
      <w:start w:val="1"/>
      <w:numFmt w:val="decimal"/>
      <w:isLgl w:val="false"/>
      <w:suff w:val="tab"/>
      <w:lvlText w:val="%1.%2.%3."/>
      <w:lvlJc w:val="left"/>
      <w:pPr>
        <w:ind w:left="2149" w:hanging="720"/>
      </w:pPr>
    </w:lvl>
    <w:lvl w:ilvl="3">
      <w:start w:val="1"/>
      <w:numFmt w:val="decimal"/>
      <w:isLgl w:val="false"/>
      <w:suff w:val="tab"/>
      <w:lvlText w:val="%1.%2.%3.%4."/>
      <w:lvlJc w:val="left"/>
      <w:pPr>
        <w:ind w:left="2509" w:hanging="720"/>
      </w:pPr>
    </w:lvl>
    <w:lvl w:ilvl="4">
      <w:start w:val="1"/>
      <w:numFmt w:val="decimal"/>
      <w:isLgl w:val="false"/>
      <w:suff w:val="tab"/>
      <w:lvlText w:val="%1.%2.%3.%4.%5."/>
      <w:lvlJc w:val="left"/>
      <w:pPr>
        <w:ind w:left="3229" w:hanging="1080"/>
      </w:pPr>
    </w:lvl>
    <w:lvl w:ilvl="5">
      <w:start w:val="1"/>
      <w:numFmt w:val="decimal"/>
      <w:isLgl w:val="false"/>
      <w:suff w:val="tab"/>
      <w:lvlText w:val="%1.%2.%3.%4.%5.%6."/>
      <w:lvlJc w:val="left"/>
      <w:pPr>
        <w:ind w:left="3589" w:hanging="1080"/>
      </w:pPr>
    </w:lvl>
    <w:lvl w:ilvl="6">
      <w:start w:val="1"/>
      <w:numFmt w:val="decimal"/>
      <w:isLgl w:val="false"/>
      <w:suff w:val="tab"/>
      <w:lvlText w:val="%1.%2.%3.%4.%5.%6.%7."/>
      <w:lvlJc w:val="left"/>
      <w:pPr>
        <w:ind w:left="4309" w:hanging="1440"/>
      </w:pPr>
    </w:lvl>
    <w:lvl w:ilvl="7">
      <w:start w:val="1"/>
      <w:numFmt w:val="decimal"/>
      <w:isLgl w:val="false"/>
      <w:suff w:val="tab"/>
      <w:lvlText w:val="%1.%2.%3.%4.%5.%6.%7.%8."/>
      <w:lvlJc w:val="left"/>
      <w:pPr>
        <w:ind w:left="4669" w:hanging="1440"/>
      </w:pPr>
    </w:lvl>
    <w:lvl w:ilvl="8">
      <w:start w:val="1"/>
      <w:numFmt w:val="decimal"/>
      <w:isLgl w:val="false"/>
      <w:suff w:val="tab"/>
      <w:lvlText w:val="%1.%2.%3.%4.%5.%6.%7.%8.%9."/>
      <w:lvlJc w:val="left"/>
      <w:pPr>
        <w:ind w:left="5389" w:hanging="1800"/>
      </w:pPr>
    </w:lvl>
  </w:abstractNum>
  <w:abstractNum w:abstractNumId="18">
    <w:multiLevelType w:val="hybridMultilevel"/>
    <w:lvl w:ilvl="0">
      <w:start w:val="1"/>
      <w:numFmt w:val="decimal"/>
      <w:isLgl w:val="false"/>
      <w:suff w:val="tab"/>
      <w:lvlText w:val="%1."/>
      <w:lvlJc w:val="left"/>
      <w:pPr>
        <w:ind w:left="1069" w:hanging="360"/>
      </w:pPr>
    </w:lvl>
    <w:lvl w:ilvl="1">
      <w:start w:val="1"/>
      <w:numFmt w:val="decimal"/>
      <w:isLgl w:val="false"/>
      <w:suff w:val="tab"/>
      <w:lvlText w:val="%1.%2."/>
      <w:lvlJc w:val="left"/>
      <w:pPr>
        <w:ind w:left="502" w:hanging="360"/>
      </w:pPr>
      <w:rPr>
        <w:b w:val="0"/>
      </w:rPr>
    </w:lvl>
    <w:lvl w:ilvl="2">
      <w:start w:val="1"/>
      <w:numFmt w:val="decimal"/>
      <w:isLgl w:val="false"/>
      <w:suff w:val="tab"/>
      <w:lvlText w:val="%1.%2.%3."/>
      <w:lvlJc w:val="left"/>
      <w:pPr>
        <w:ind w:left="2149" w:hanging="720"/>
      </w:pPr>
    </w:lvl>
    <w:lvl w:ilvl="3">
      <w:start w:val="1"/>
      <w:numFmt w:val="decimal"/>
      <w:isLgl w:val="false"/>
      <w:suff w:val="tab"/>
      <w:lvlText w:val="%1.%2.%3.%4."/>
      <w:lvlJc w:val="left"/>
      <w:pPr>
        <w:ind w:left="2509" w:hanging="720"/>
      </w:pPr>
    </w:lvl>
    <w:lvl w:ilvl="4">
      <w:start w:val="1"/>
      <w:numFmt w:val="decimal"/>
      <w:isLgl w:val="false"/>
      <w:suff w:val="tab"/>
      <w:lvlText w:val="%1.%2.%3.%4.%5."/>
      <w:lvlJc w:val="left"/>
      <w:pPr>
        <w:ind w:left="3229" w:hanging="1080"/>
      </w:pPr>
    </w:lvl>
    <w:lvl w:ilvl="5">
      <w:start w:val="1"/>
      <w:numFmt w:val="decimal"/>
      <w:isLgl w:val="false"/>
      <w:suff w:val="tab"/>
      <w:lvlText w:val="%1.%2.%3.%4.%5.%6."/>
      <w:lvlJc w:val="left"/>
      <w:pPr>
        <w:ind w:left="3589" w:hanging="1080"/>
      </w:pPr>
    </w:lvl>
    <w:lvl w:ilvl="6">
      <w:start w:val="1"/>
      <w:numFmt w:val="decimal"/>
      <w:isLgl w:val="false"/>
      <w:suff w:val="tab"/>
      <w:lvlText w:val="%1.%2.%3.%4.%5.%6.%7."/>
      <w:lvlJc w:val="left"/>
      <w:pPr>
        <w:ind w:left="4309" w:hanging="1440"/>
      </w:pPr>
    </w:lvl>
    <w:lvl w:ilvl="7">
      <w:start w:val="1"/>
      <w:numFmt w:val="decimal"/>
      <w:isLgl w:val="false"/>
      <w:suff w:val="tab"/>
      <w:lvlText w:val="%1.%2.%3.%4.%5.%6.%7.%8."/>
      <w:lvlJc w:val="left"/>
      <w:pPr>
        <w:ind w:left="4669" w:hanging="1440"/>
      </w:pPr>
    </w:lvl>
    <w:lvl w:ilvl="8">
      <w:start w:val="1"/>
      <w:numFmt w:val="decimal"/>
      <w:isLgl w:val="false"/>
      <w:suff w:val="tab"/>
      <w:lvlText w:val="%1.%2.%3.%4.%5.%6.%7.%8.%9."/>
      <w:lvlJc w:val="left"/>
      <w:pPr>
        <w:ind w:left="5389" w:hanging="1800"/>
      </w:pPr>
    </w:lvl>
  </w:abstractNum>
  <w:abstractNum w:abstractNumId="19">
    <w:multiLevelType w:val="hybridMultilevel"/>
    <w:lvl w:ilvl="0">
      <w:start w:val="1"/>
      <w:numFmt w:val="decimal"/>
      <w:isLgl w:val="false"/>
      <w:suff w:val="tab"/>
      <w:lvlText w:val="%1."/>
      <w:lvlJc w:val="left"/>
      <w:pPr>
        <w:ind w:left="1069" w:hanging="360"/>
      </w:pPr>
    </w:lvl>
    <w:lvl w:ilvl="1">
      <w:start w:val="1"/>
      <w:numFmt w:val="decimal"/>
      <w:isLgl w:val="false"/>
      <w:suff w:val="tab"/>
      <w:lvlText w:val="%1.%2."/>
      <w:lvlJc w:val="left"/>
      <w:pPr>
        <w:ind w:left="502" w:hanging="360"/>
      </w:pPr>
      <w:rPr>
        <w:b w:val="0"/>
      </w:rPr>
    </w:lvl>
    <w:lvl w:ilvl="2">
      <w:start w:val="1"/>
      <w:numFmt w:val="decimal"/>
      <w:isLgl w:val="false"/>
      <w:suff w:val="tab"/>
      <w:lvlText w:val="%1.%2.%3."/>
      <w:lvlJc w:val="left"/>
      <w:pPr>
        <w:ind w:left="2149" w:hanging="720"/>
      </w:pPr>
    </w:lvl>
    <w:lvl w:ilvl="3">
      <w:start w:val="1"/>
      <w:numFmt w:val="decimal"/>
      <w:isLgl w:val="false"/>
      <w:suff w:val="tab"/>
      <w:lvlText w:val="%1.%2.%3.%4."/>
      <w:lvlJc w:val="left"/>
      <w:pPr>
        <w:ind w:left="2509" w:hanging="720"/>
      </w:pPr>
    </w:lvl>
    <w:lvl w:ilvl="4">
      <w:start w:val="1"/>
      <w:numFmt w:val="decimal"/>
      <w:isLgl w:val="false"/>
      <w:suff w:val="tab"/>
      <w:lvlText w:val="%1.%2.%3.%4.%5."/>
      <w:lvlJc w:val="left"/>
      <w:pPr>
        <w:ind w:left="3229" w:hanging="1080"/>
      </w:pPr>
    </w:lvl>
    <w:lvl w:ilvl="5">
      <w:start w:val="1"/>
      <w:numFmt w:val="decimal"/>
      <w:isLgl w:val="false"/>
      <w:suff w:val="tab"/>
      <w:lvlText w:val="%1.%2.%3.%4.%5.%6."/>
      <w:lvlJc w:val="left"/>
      <w:pPr>
        <w:ind w:left="3589" w:hanging="1080"/>
      </w:pPr>
    </w:lvl>
    <w:lvl w:ilvl="6">
      <w:start w:val="1"/>
      <w:numFmt w:val="decimal"/>
      <w:isLgl w:val="false"/>
      <w:suff w:val="tab"/>
      <w:lvlText w:val="%1.%2.%3.%4.%5.%6.%7."/>
      <w:lvlJc w:val="left"/>
      <w:pPr>
        <w:ind w:left="4309" w:hanging="1440"/>
      </w:pPr>
    </w:lvl>
    <w:lvl w:ilvl="7">
      <w:start w:val="1"/>
      <w:numFmt w:val="decimal"/>
      <w:isLgl w:val="false"/>
      <w:suff w:val="tab"/>
      <w:lvlText w:val="%1.%2.%3.%4.%5.%6.%7.%8."/>
      <w:lvlJc w:val="left"/>
      <w:pPr>
        <w:ind w:left="4669" w:hanging="1440"/>
      </w:pPr>
    </w:lvl>
    <w:lvl w:ilvl="8">
      <w:start w:val="1"/>
      <w:numFmt w:val="decimal"/>
      <w:isLgl w:val="false"/>
      <w:suff w:val="tab"/>
      <w:lvlText w:val="%1.%2.%3.%4.%5.%6.%7.%8.%9."/>
      <w:lvlJc w:val="left"/>
      <w:pPr>
        <w:ind w:left="5389" w:hanging="1800"/>
      </w:pPr>
    </w:lvl>
  </w:abstractNum>
  <w:abstractNum w:abstractNumId="20">
    <w:multiLevelType w:val="hybridMultilevel"/>
    <w:lvl w:ilvl="0">
      <w:start w:val="1"/>
      <w:numFmt w:val="bullet"/>
      <w:isLgl w:val="false"/>
      <w:suff w:val="tab"/>
      <w:lvlText w:val=""/>
      <w:lvlJc w:val="left"/>
      <w:pPr>
        <w:ind w:left="1440" w:hanging="360"/>
      </w:pPr>
      <w:rPr>
        <w:rFonts w:ascii="Symbol" w:hAnsi="Symbol"/>
      </w:rPr>
    </w:lvl>
    <w:lvl w:ilvl="1">
      <w:start w:val="1"/>
      <w:numFmt w:val="bullet"/>
      <w:isLgl w:val="false"/>
      <w:suff w:val="tab"/>
      <w:lvlText w:val="o"/>
      <w:lvlJc w:val="left"/>
      <w:pPr>
        <w:ind w:left="2160" w:hanging="360"/>
      </w:pPr>
      <w:rPr>
        <w:rFonts w:ascii="Courier New" w:hAnsi="Courier New" w:cs="Courier New"/>
      </w:rPr>
    </w:lvl>
    <w:lvl w:ilvl="2">
      <w:start w:val="1"/>
      <w:numFmt w:val="bullet"/>
      <w:isLgl w:val="false"/>
      <w:suff w:val="tab"/>
      <w:lvlText w:val=""/>
      <w:lvlJc w:val="left"/>
      <w:pPr>
        <w:ind w:left="2880" w:hanging="360"/>
      </w:pPr>
      <w:rPr>
        <w:rFonts w:ascii="Wingdings" w:hAnsi="Wingdings"/>
      </w:rPr>
    </w:lvl>
    <w:lvl w:ilvl="3">
      <w:start w:val="1"/>
      <w:numFmt w:val="bullet"/>
      <w:isLgl w:val="false"/>
      <w:suff w:val="tab"/>
      <w:lvlText w:val=""/>
      <w:lvlJc w:val="left"/>
      <w:pPr>
        <w:ind w:left="3600" w:hanging="360"/>
      </w:pPr>
      <w:rPr>
        <w:rFonts w:ascii="Symbol" w:hAnsi="Symbol"/>
      </w:rPr>
    </w:lvl>
    <w:lvl w:ilvl="4">
      <w:start w:val="1"/>
      <w:numFmt w:val="bullet"/>
      <w:isLgl w:val="false"/>
      <w:suff w:val="tab"/>
      <w:lvlText w:val="o"/>
      <w:lvlJc w:val="left"/>
      <w:pPr>
        <w:ind w:left="4320" w:hanging="360"/>
      </w:pPr>
      <w:rPr>
        <w:rFonts w:ascii="Courier New" w:hAnsi="Courier New" w:cs="Courier New"/>
      </w:rPr>
    </w:lvl>
    <w:lvl w:ilvl="5">
      <w:start w:val="1"/>
      <w:numFmt w:val="bullet"/>
      <w:isLgl w:val="false"/>
      <w:suff w:val="tab"/>
      <w:lvlText w:val=""/>
      <w:lvlJc w:val="left"/>
      <w:pPr>
        <w:ind w:left="5040" w:hanging="360"/>
      </w:pPr>
      <w:rPr>
        <w:rFonts w:ascii="Wingdings" w:hAnsi="Wingdings"/>
      </w:rPr>
    </w:lvl>
    <w:lvl w:ilvl="6">
      <w:start w:val="1"/>
      <w:numFmt w:val="bullet"/>
      <w:isLgl w:val="false"/>
      <w:suff w:val="tab"/>
      <w:lvlText w:val=""/>
      <w:lvlJc w:val="left"/>
      <w:pPr>
        <w:ind w:left="5760" w:hanging="360"/>
      </w:pPr>
      <w:rPr>
        <w:rFonts w:ascii="Symbol" w:hAnsi="Symbol"/>
      </w:rPr>
    </w:lvl>
    <w:lvl w:ilvl="7">
      <w:start w:val="1"/>
      <w:numFmt w:val="bullet"/>
      <w:isLgl w:val="false"/>
      <w:suff w:val="tab"/>
      <w:lvlText w:val="o"/>
      <w:lvlJc w:val="left"/>
      <w:pPr>
        <w:ind w:left="6480" w:hanging="360"/>
      </w:pPr>
      <w:rPr>
        <w:rFonts w:ascii="Courier New" w:hAnsi="Courier New" w:cs="Courier New"/>
      </w:rPr>
    </w:lvl>
    <w:lvl w:ilvl="8">
      <w:start w:val="1"/>
      <w:numFmt w:val="bullet"/>
      <w:isLgl w:val="false"/>
      <w:suff w:val="tab"/>
      <w:lvlText w:val=""/>
      <w:lvlJc w:val="left"/>
      <w:pPr>
        <w:ind w:left="7200" w:hanging="360"/>
      </w:pPr>
      <w:rPr>
        <w:rFonts w:ascii="Wingdings" w:hAnsi="Wingdings"/>
      </w:rPr>
    </w:lvl>
  </w:abstractNum>
  <w:abstractNum w:abstractNumId="21">
    <w:multiLevelType w:val="hybridMultilevel"/>
    <w:lvl w:ilvl="0">
      <w:start w:val="3"/>
      <w:numFmt w:val="decimal"/>
      <w:isLgl w:val="false"/>
      <w:suff w:val="tab"/>
      <w:lvlText w:val="%1."/>
      <w:lvlJc w:val="left"/>
      <w:pPr>
        <w:ind w:left="600" w:hanging="600"/>
        <w:tabs>
          <w:tab w:val="num" w:pos="600" w:leader="none"/>
        </w:tabs>
      </w:pPr>
      <w:rPr>
        <w:rFonts w:hint="default"/>
        <w:b/>
      </w:rPr>
    </w:lvl>
    <w:lvl w:ilvl="1">
      <w:start w:val="1"/>
      <w:numFmt w:val="decimal"/>
      <w:isLgl w:val="false"/>
      <w:suff w:val="tab"/>
      <w:lvlText w:val="%1.%2."/>
      <w:lvlJc w:val="left"/>
      <w:pPr>
        <w:ind w:left="1713" w:hanging="720"/>
        <w:tabs>
          <w:tab w:val="num" w:pos="1713" w:leader="none"/>
        </w:tabs>
      </w:pPr>
      <w:rPr>
        <w:rFonts w:hint="default"/>
        <w:b w:val="0"/>
        <w:i w:val="0"/>
      </w:rPr>
    </w:lvl>
    <w:lvl w:ilvl="2">
      <w:start w:val="1"/>
      <w:numFmt w:val="decimal"/>
      <w:isLgl w:val="false"/>
      <w:suff w:val="tab"/>
      <w:lvlText w:val="%1.%2.%3."/>
      <w:lvlJc w:val="left"/>
      <w:pPr>
        <w:ind w:left="720" w:hanging="720"/>
        <w:tabs>
          <w:tab w:val="num" w:pos="720" w:leader="none"/>
        </w:tabs>
      </w:pPr>
      <w:rPr>
        <w:rFonts w:hint="default"/>
        <w:b w:val="0"/>
      </w:rPr>
    </w:lvl>
    <w:lvl w:ilvl="3">
      <w:start w:val="1"/>
      <w:numFmt w:val="decimal"/>
      <w:isLgl w:val="false"/>
      <w:suff w:val="tab"/>
      <w:lvlText w:val="%1.%2.%3.%4."/>
      <w:lvlJc w:val="left"/>
      <w:pPr>
        <w:ind w:left="1080" w:hanging="1080"/>
        <w:tabs>
          <w:tab w:val="num" w:pos="1080" w:leader="none"/>
        </w:tabs>
      </w:pPr>
      <w:rPr>
        <w:rFonts w:hint="default"/>
        <w:b w:val="0"/>
      </w:rPr>
    </w:lvl>
    <w:lvl w:ilvl="4">
      <w:start w:val="1"/>
      <w:numFmt w:val="decimal"/>
      <w:isLgl w:val="false"/>
      <w:suff w:val="tab"/>
      <w:lvlText w:val="%1.%2.%3.%4.%5."/>
      <w:lvlJc w:val="left"/>
      <w:pPr>
        <w:ind w:left="1080" w:hanging="1080"/>
        <w:tabs>
          <w:tab w:val="num" w:pos="1080" w:leader="none"/>
        </w:tabs>
      </w:pPr>
      <w:rPr>
        <w:rFonts w:hint="default"/>
        <w:b/>
      </w:rPr>
    </w:lvl>
    <w:lvl w:ilvl="5">
      <w:start w:val="1"/>
      <w:numFmt w:val="decimal"/>
      <w:isLgl w:val="false"/>
      <w:suff w:val="tab"/>
      <w:lvlText w:val="%1.%2.%3.%4.%5.%6."/>
      <w:lvlJc w:val="left"/>
      <w:pPr>
        <w:ind w:left="1440" w:hanging="1440"/>
        <w:tabs>
          <w:tab w:val="num" w:pos="1440" w:leader="none"/>
        </w:tabs>
      </w:pPr>
      <w:rPr>
        <w:rFonts w:hint="default"/>
        <w:b/>
      </w:rPr>
    </w:lvl>
    <w:lvl w:ilvl="6">
      <w:start w:val="1"/>
      <w:numFmt w:val="decimal"/>
      <w:isLgl w:val="false"/>
      <w:suff w:val="tab"/>
      <w:lvlText w:val="%1.%2.%3.%4.%5.%6.%7."/>
      <w:lvlJc w:val="left"/>
      <w:pPr>
        <w:ind w:left="1800" w:hanging="1800"/>
        <w:tabs>
          <w:tab w:val="num" w:pos="1800" w:leader="none"/>
        </w:tabs>
      </w:pPr>
      <w:rPr>
        <w:rFonts w:hint="default"/>
        <w:b/>
      </w:rPr>
    </w:lvl>
    <w:lvl w:ilvl="7">
      <w:start w:val="1"/>
      <w:numFmt w:val="decimal"/>
      <w:isLgl w:val="false"/>
      <w:suff w:val="tab"/>
      <w:lvlText w:val="%1.%2.%3.%4.%5.%6.%7.%8."/>
      <w:lvlJc w:val="left"/>
      <w:pPr>
        <w:ind w:left="1800" w:hanging="1800"/>
        <w:tabs>
          <w:tab w:val="num" w:pos="1800" w:leader="none"/>
        </w:tabs>
      </w:pPr>
      <w:rPr>
        <w:rFonts w:hint="default"/>
        <w:b/>
      </w:rPr>
    </w:lvl>
    <w:lvl w:ilvl="8">
      <w:start w:val="1"/>
      <w:numFmt w:val="decimal"/>
      <w:isLgl w:val="false"/>
      <w:suff w:val="tab"/>
      <w:lvlText w:val="%1.%2.%3.%4.%5.%6.%7.%8.%9."/>
      <w:lvlJc w:val="left"/>
      <w:pPr>
        <w:ind w:left="2160" w:hanging="2160"/>
        <w:tabs>
          <w:tab w:val="num" w:pos="2160" w:leader="none"/>
        </w:tabs>
      </w:pPr>
      <w:rPr>
        <w:rFonts w:hint="default"/>
        <w:b/>
      </w:rPr>
    </w:lvl>
  </w:abstractNum>
  <w:num w:numId="1">
    <w:abstractNumId w:val="5"/>
  </w:num>
  <w:num w:numId="2">
    <w:abstractNumId w:val="8"/>
  </w:num>
  <w:num w:numId="3">
    <w:abstractNumId w:val="14"/>
  </w:num>
  <w:num w:numId="4">
    <w:abstractNumId w:val="11"/>
  </w:num>
  <w:num w:numId="5">
    <w:abstractNumId w:val="10"/>
  </w:num>
  <w:num w:numId="6">
    <w:abstractNumId w:val="1"/>
  </w:num>
  <w:num w:numId="7">
    <w:abstractNumId w:val="2"/>
  </w:num>
  <w:num w:numId="8">
    <w:abstractNumId w:val="12"/>
  </w:num>
  <w:num w:numId="9">
    <w:abstractNumId w:val="13"/>
  </w:num>
  <w:num w:numId="10">
    <w:abstractNumId w:val="0"/>
  </w:num>
  <w:num w:numId="11">
    <w:abstractNumId w:val="3"/>
  </w:num>
  <w:num w:numId="12">
    <w:abstractNumId w:val="4"/>
  </w:num>
  <w:num w:numId="13">
    <w:abstractNumId w:val="6"/>
  </w:num>
  <w:num w:numId="14">
    <w:abstractNumId w:val="9"/>
  </w:num>
  <w:num w:numId="15">
    <w:abstractNumId w:val="7"/>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71">
    <w:name w:val="Heading 1 Char"/>
    <w:basedOn w:val="796"/>
    <w:link w:val="787"/>
    <w:uiPriority w:val="9"/>
    <w:rPr>
      <w:rFonts w:ascii="Arial" w:hAnsi="Arial" w:eastAsia="Arial" w:cs="Arial"/>
      <w:sz w:val="40"/>
      <w:szCs w:val="40"/>
    </w:rPr>
  </w:style>
  <w:style w:type="character" w:styleId="772">
    <w:name w:val="Heading 2 Char"/>
    <w:basedOn w:val="796"/>
    <w:link w:val="788"/>
    <w:uiPriority w:val="9"/>
    <w:rPr>
      <w:rFonts w:ascii="Arial" w:hAnsi="Arial" w:eastAsia="Arial" w:cs="Arial"/>
      <w:sz w:val="34"/>
    </w:rPr>
  </w:style>
  <w:style w:type="character" w:styleId="773">
    <w:name w:val="Heading 3 Char"/>
    <w:basedOn w:val="796"/>
    <w:link w:val="789"/>
    <w:uiPriority w:val="9"/>
    <w:rPr>
      <w:rFonts w:ascii="Arial" w:hAnsi="Arial" w:eastAsia="Arial" w:cs="Arial"/>
      <w:sz w:val="30"/>
      <w:szCs w:val="30"/>
    </w:rPr>
  </w:style>
  <w:style w:type="character" w:styleId="774">
    <w:name w:val="Heading 4 Char"/>
    <w:basedOn w:val="796"/>
    <w:link w:val="790"/>
    <w:uiPriority w:val="9"/>
    <w:rPr>
      <w:rFonts w:ascii="Arial" w:hAnsi="Arial" w:eastAsia="Arial" w:cs="Arial"/>
      <w:b/>
      <w:bCs/>
      <w:sz w:val="26"/>
      <w:szCs w:val="26"/>
    </w:rPr>
  </w:style>
  <w:style w:type="character" w:styleId="775">
    <w:name w:val="Heading 5 Char"/>
    <w:basedOn w:val="796"/>
    <w:link w:val="791"/>
    <w:uiPriority w:val="9"/>
    <w:rPr>
      <w:rFonts w:ascii="Arial" w:hAnsi="Arial" w:eastAsia="Arial" w:cs="Arial"/>
      <w:b/>
      <w:bCs/>
      <w:sz w:val="24"/>
      <w:szCs w:val="24"/>
    </w:rPr>
  </w:style>
  <w:style w:type="character" w:styleId="776">
    <w:name w:val="Heading 6 Char"/>
    <w:basedOn w:val="796"/>
    <w:link w:val="792"/>
    <w:uiPriority w:val="9"/>
    <w:rPr>
      <w:rFonts w:ascii="Arial" w:hAnsi="Arial" w:eastAsia="Arial" w:cs="Arial"/>
      <w:b/>
      <w:bCs/>
      <w:sz w:val="22"/>
      <w:szCs w:val="22"/>
    </w:rPr>
  </w:style>
  <w:style w:type="character" w:styleId="777">
    <w:name w:val="Heading 7 Char"/>
    <w:basedOn w:val="796"/>
    <w:link w:val="793"/>
    <w:uiPriority w:val="9"/>
    <w:rPr>
      <w:rFonts w:ascii="Arial" w:hAnsi="Arial" w:eastAsia="Arial" w:cs="Arial"/>
      <w:b/>
      <w:bCs/>
      <w:i/>
      <w:iCs/>
      <w:sz w:val="22"/>
      <w:szCs w:val="22"/>
    </w:rPr>
  </w:style>
  <w:style w:type="character" w:styleId="778">
    <w:name w:val="Heading 8 Char"/>
    <w:basedOn w:val="796"/>
    <w:link w:val="794"/>
    <w:uiPriority w:val="9"/>
    <w:rPr>
      <w:rFonts w:ascii="Arial" w:hAnsi="Arial" w:eastAsia="Arial" w:cs="Arial"/>
      <w:i/>
      <w:iCs/>
      <w:sz w:val="22"/>
      <w:szCs w:val="22"/>
    </w:rPr>
  </w:style>
  <w:style w:type="character" w:styleId="779">
    <w:name w:val="Heading 9 Char"/>
    <w:basedOn w:val="796"/>
    <w:link w:val="795"/>
    <w:uiPriority w:val="9"/>
    <w:rPr>
      <w:rFonts w:ascii="Arial" w:hAnsi="Arial" w:eastAsia="Arial" w:cs="Arial"/>
      <w:i/>
      <w:iCs/>
      <w:sz w:val="21"/>
      <w:szCs w:val="21"/>
    </w:rPr>
  </w:style>
  <w:style w:type="character" w:styleId="780">
    <w:name w:val="Title Char"/>
    <w:basedOn w:val="796"/>
    <w:link w:val="809"/>
    <w:uiPriority w:val="10"/>
    <w:rPr>
      <w:sz w:val="48"/>
      <w:szCs w:val="48"/>
    </w:rPr>
  </w:style>
  <w:style w:type="character" w:styleId="781">
    <w:name w:val="Subtitle Char"/>
    <w:basedOn w:val="796"/>
    <w:link w:val="811"/>
    <w:uiPriority w:val="11"/>
    <w:rPr>
      <w:sz w:val="24"/>
      <w:szCs w:val="24"/>
    </w:rPr>
  </w:style>
  <w:style w:type="character" w:styleId="782">
    <w:name w:val="Quote Char"/>
    <w:link w:val="813"/>
    <w:uiPriority w:val="29"/>
    <w:rPr>
      <w:i/>
    </w:rPr>
  </w:style>
  <w:style w:type="character" w:styleId="783">
    <w:name w:val="Intense Quote Char"/>
    <w:link w:val="815"/>
    <w:uiPriority w:val="30"/>
    <w:rPr>
      <w:i/>
    </w:rPr>
  </w:style>
  <w:style w:type="character" w:styleId="784">
    <w:name w:val="Footnote Text Char"/>
    <w:link w:val="947"/>
    <w:uiPriority w:val="99"/>
    <w:rPr>
      <w:sz w:val="18"/>
    </w:rPr>
  </w:style>
  <w:style w:type="character" w:styleId="785">
    <w:name w:val="Endnote Text Char"/>
    <w:link w:val="950"/>
    <w:uiPriority w:val="99"/>
    <w:rPr>
      <w:sz w:val="20"/>
    </w:rPr>
  </w:style>
  <w:style w:type="paragraph" w:styleId="786" w:default="1">
    <w:name w:val="Normal"/>
    <w:qFormat/>
    <w:pPr>
      <w:jc w:val="both"/>
      <w:spacing w:after="60" w:line="240" w:lineRule="auto"/>
    </w:pPr>
    <w:rPr>
      <w:rFonts w:ascii="Times New Roman" w:hAnsi="Times New Roman" w:eastAsia="Times New Roman" w:cs="Times New Roman"/>
      <w:sz w:val="24"/>
      <w:szCs w:val="24"/>
      <w:lang w:eastAsia="ru-RU"/>
    </w:rPr>
  </w:style>
  <w:style w:type="paragraph" w:styleId="787">
    <w:name w:val="Heading 1"/>
    <w:basedOn w:val="786"/>
    <w:next w:val="786"/>
    <w:link w:val="799"/>
    <w:uiPriority w:val="9"/>
    <w:qFormat/>
    <w:pPr>
      <w:keepLines/>
      <w:keepNext/>
      <w:spacing w:before="480" w:after="200"/>
      <w:outlineLvl w:val="0"/>
    </w:pPr>
    <w:rPr>
      <w:rFonts w:ascii="Arial" w:hAnsi="Arial" w:eastAsia="Arial" w:cs="Arial"/>
      <w:sz w:val="40"/>
      <w:szCs w:val="40"/>
    </w:rPr>
  </w:style>
  <w:style w:type="paragraph" w:styleId="788">
    <w:name w:val="Heading 2"/>
    <w:basedOn w:val="786"/>
    <w:next w:val="786"/>
    <w:link w:val="800"/>
    <w:uiPriority w:val="9"/>
    <w:unhideWhenUsed/>
    <w:qFormat/>
    <w:pPr>
      <w:keepLines/>
      <w:keepNext/>
      <w:spacing w:before="360" w:after="200"/>
      <w:outlineLvl w:val="1"/>
    </w:pPr>
    <w:rPr>
      <w:rFonts w:ascii="Arial" w:hAnsi="Arial" w:eastAsia="Arial" w:cs="Arial"/>
      <w:sz w:val="34"/>
    </w:rPr>
  </w:style>
  <w:style w:type="paragraph" w:styleId="789">
    <w:name w:val="Heading 3"/>
    <w:basedOn w:val="786"/>
    <w:next w:val="786"/>
    <w:link w:val="801"/>
    <w:uiPriority w:val="9"/>
    <w:unhideWhenUsed/>
    <w:qFormat/>
    <w:pPr>
      <w:keepLines/>
      <w:keepNext/>
      <w:spacing w:before="320" w:after="200"/>
      <w:outlineLvl w:val="2"/>
    </w:pPr>
    <w:rPr>
      <w:rFonts w:ascii="Arial" w:hAnsi="Arial" w:eastAsia="Arial" w:cs="Arial"/>
      <w:sz w:val="30"/>
      <w:szCs w:val="30"/>
    </w:rPr>
  </w:style>
  <w:style w:type="paragraph" w:styleId="790">
    <w:name w:val="Heading 4"/>
    <w:basedOn w:val="786"/>
    <w:next w:val="786"/>
    <w:link w:val="802"/>
    <w:uiPriority w:val="9"/>
    <w:unhideWhenUsed/>
    <w:qFormat/>
    <w:pPr>
      <w:keepLines/>
      <w:keepNext/>
      <w:spacing w:before="320" w:after="200"/>
      <w:outlineLvl w:val="3"/>
    </w:pPr>
    <w:rPr>
      <w:rFonts w:ascii="Arial" w:hAnsi="Arial" w:eastAsia="Arial" w:cs="Arial"/>
      <w:b/>
      <w:bCs/>
      <w:sz w:val="26"/>
      <w:szCs w:val="26"/>
    </w:rPr>
  </w:style>
  <w:style w:type="paragraph" w:styleId="791">
    <w:name w:val="Heading 5"/>
    <w:basedOn w:val="786"/>
    <w:next w:val="786"/>
    <w:link w:val="803"/>
    <w:uiPriority w:val="9"/>
    <w:unhideWhenUsed/>
    <w:qFormat/>
    <w:pPr>
      <w:keepLines/>
      <w:keepNext/>
      <w:spacing w:before="320" w:after="200"/>
      <w:outlineLvl w:val="4"/>
    </w:pPr>
    <w:rPr>
      <w:rFonts w:ascii="Arial" w:hAnsi="Arial" w:eastAsia="Arial" w:cs="Arial"/>
      <w:b/>
      <w:bCs/>
    </w:rPr>
  </w:style>
  <w:style w:type="paragraph" w:styleId="792">
    <w:name w:val="Heading 6"/>
    <w:basedOn w:val="786"/>
    <w:next w:val="786"/>
    <w:link w:val="804"/>
    <w:uiPriority w:val="9"/>
    <w:unhideWhenUsed/>
    <w:qFormat/>
    <w:pPr>
      <w:keepLines/>
      <w:keepNext/>
      <w:spacing w:before="320" w:after="200"/>
      <w:outlineLvl w:val="5"/>
    </w:pPr>
    <w:rPr>
      <w:rFonts w:ascii="Arial" w:hAnsi="Arial" w:eastAsia="Arial" w:cs="Arial"/>
      <w:b/>
      <w:bCs/>
      <w:sz w:val="22"/>
      <w:szCs w:val="22"/>
    </w:rPr>
  </w:style>
  <w:style w:type="paragraph" w:styleId="793">
    <w:name w:val="Heading 7"/>
    <w:basedOn w:val="786"/>
    <w:next w:val="786"/>
    <w:link w:val="805"/>
    <w:uiPriority w:val="9"/>
    <w:unhideWhenUsed/>
    <w:qFormat/>
    <w:pPr>
      <w:keepLines/>
      <w:keepNext/>
      <w:spacing w:before="320" w:after="200"/>
      <w:outlineLvl w:val="6"/>
    </w:pPr>
    <w:rPr>
      <w:rFonts w:ascii="Arial" w:hAnsi="Arial" w:eastAsia="Arial" w:cs="Arial"/>
      <w:b/>
      <w:bCs/>
      <w:i/>
      <w:iCs/>
      <w:sz w:val="22"/>
      <w:szCs w:val="22"/>
    </w:rPr>
  </w:style>
  <w:style w:type="paragraph" w:styleId="794">
    <w:name w:val="Heading 8"/>
    <w:basedOn w:val="786"/>
    <w:next w:val="786"/>
    <w:link w:val="806"/>
    <w:uiPriority w:val="9"/>
    <w:unhideWhenUsed/>
    <w:qFormat/>
    <w:pPr>
      <w:keepLines/>
      <w:keepNext/>
      <w:spacing w:before="320" w:after="200"/>
      <w:outlineLvl w:val="7"/>
    </w:pPr>
    <w:rPr>
      <w:rFonts w:ascii="Arial" w:hAnsi="Arial" w:eastAsia="Arial" w:cs="Arial"/>
      <w:i/>
      <w:iCs/>
      <w:sz w:val="22"/>
      <w:szCs w:val="22"/>
    </w:rPr>
  </w:style>
  <w:style w:type="paragraph" w:styleId="795">
    <w:name w:val="Heading 9"/>
    <w:basedOn w:val="786"/>
    <w:next w:val="786"/>
    <w:link w:val="807"/>
    <w:uiPriority w:val="9"/>
    <w:unhideWhenUsed/>
    <w:qFormat/>
    <w:pPr>
      <w:keepLines/>
      <w:keepNext/>
      <w:spacing w:before="320" w:after="200"/>
      <w:outlineLvl w:val="8"/>
    </w:pPr>
    <w:rPr>
      <w:rFonts w:ascii="Arial" w:hAnsi="Arial" w:eastAsia="Arial" w:cs="Arial"/>
      <w:i/>
      <w:iCs/>
      <w:sz w:val="21"/>
      <w:szCs w:val="21"/>
    </w:rPr>
  </w:style>
  <w:style w:type="character" w:styleId="796" w:default="1">
    <w:name w:val="Default Paragraph Font"/>
    <w:uiPriority w:val="1"/>
    <w:semiHidden/>
    <w:unhideWhenUsed/>
  </w:style>
  <w:style w:type="table" w:styleId="797" w:default="1">
    <w:name w:val="Normal Table"/>
    <w:uiPriority w:val="99"/>
    <w:semiHidden/>
    <w:unhideWhenUsed/>
    <w:tblPr>
      <w:tblInd w:w="0" w:type="dxa"/>
      <w:tblCellMar>
        <w:left w:w="108" w:type="dxa"/>
        <w:top w:w="0" w:type="dxa"/>
        <w:right w:w="108" w:type="dxa"/>
        <w:bottom w:w="0" w:type="dxa"/>
      </w:tblCellMar>
    </w:tblPr>
  </w:style>
  <w:style w:type="numbering" w:styleId="798" w:default="1">
    <w:name w:val="No List"/>
    <w:uiPriority w:val="99"/>
    <w:semiHidden/>
    <w:unhideWhenUsed/>
  </w:style>
  <w:style w:type="character" w:styleId="799" w:customStyle="1">
    <w:name w:val="Заголовок 1 Знак"/>
    <w:basedOn w:val="796"/>
    <w:link w:val="787"/>
    <w:uiPriority w:val="9"/>
    <w:rPr>
      <w:rFonts w:ascii="Arial" w:hAnsi="Arial" w:eastAsia="Arial" w:cs="Arial"/>
      <w:sz w:val="40"/>
      <w:szCs w:val="40"/>
    </w:rPr>
  </w:style>
  <w:style w:type="character" w:styleId="800" w:customStyle="1">
    <w:name w:val="Заголовок 2 Знак"/>
    <w:basedOn w:val="796"/>
    <w:link w:val="788"/>
    <w:uiPriority w:val="9"/>
    <w:rPr>
      <w:rFonts w:ascii="Arial" w:hAnsi="Arial" w:eastAsia="Arial" w:cs="Arial"/>
      <w:sz w:val="34"/>
    </w:rPr>
  </w:style>
  <w:style w:type="character" w:styleId="801" w:customStyle="1">
    <w:name w:val="Заголовок 3 Знак"/>
    <w:basedOn w:val="796"/>
    <w:link w:val="789"/>
    <w:uiPriority w:val="9"/>
    <w:rPr>
      <w:rFonts w:ascii="Arial" w:hAnsi="Arial" w:eastAsia="Arial" w:cs="Arial"/>
      <w:sz w:val="30"/>
      <w:szCs w:val="30"/>
    </w:rPr>
  </w:style>
  <w:style w:type="character" w:styleId="802" w:customStyle="1">
    <w:name w:val="Заголовок 4 Знак"/>
    <w:basedOn w:val="796"/>
    <w:link w:val="790"/>
    <w:uiPriority w:val="9"/>
    <w:rPr>
      <w:rFonts w:ascii="Arial" w:hAnsi="Arial" w:eastAsia="Arial" w:cs="Arial"/>
      <w:b/>
      <w:bCs/>
      <w:sz w:val="26"/>
      <w:szCs w:val="26"/>
    </w:rPr>
  </w:style>
  <w:style w:type="character" w:styleId="803" w:customStyle="1">
    <w:name w:val="Заголовок 5 Знак"/>
    <w:basedOn w:val="796"/>
    <w:link w:val="791"/>
    <w:uiPriority w:val="9"/>
    <w:rPr>
      <w:rFonts w:ascii="Arial" w:hAnsi="Arial" w:eastAsia="Arial" w:cs="Arial"/>
      <w:b/>
      <w:bCs/>
      <w:sz w:val="24"/>
      <w:szCs w:val="24"/>
    </w:rPr>
  </w:style>
  <w:style w:type="character" w:styleId="804" w:customStyle="1">
    <w:name w:val="Заголовок 6 Знак"/>
    <w:basedOn w:val="796"/>
    <w:link w:val="792"/>
    <w:uiPriority w:val="9"/>
    <w:rPr>
      <w:rFonts w:ascii="Arial" w:hAnsi="Arial" w:eastAsia="Arial" w:cs="Arial"/>
      <w:b/>
      <w:bCs/>
      <w:sz w:val="22"/>
      <w:szCs w:val="22"/>
    </w:rPr>
  </w:style>
  <w:style w:type="character" w:styleId="805" w:customStyle="1">
    <w:name w:val="Заголовок 7 Знак"/>
    <w:basedOn w:val="796"/>
    <w:link w:val="793"/>
    <w:uiPriority w:val="9"/>
    <w:rPr>
      <w:rFonts w:ascii="Arial" w:hAnsi="Arial" w:eastAsia="Arial" w:cs="Arial"/>
      <w:b/>
      <w:bCs/>
      <w:i/>
      <w:iCs/>
      <w:sz w:val="22"/>
      <w:szCs w:val="22"/>
    </w:rPr>
  </w:style>
  <w:style w:type="character" w:styleId="806" w:customStyle="1">
    <w:name w:val="Заголовок 8 Знак"/>
    <w:basedOn w:val="796"/>
    <w:link w:val="794"/>
    <w:uiPriority w:val="9"/>
    <w:rPr>
      <w:rFonts w:ascii="Arial" w:hAnsi="Arial" w:eastAsia="Arial" w:cs="Arial"/>
      <w:i/>
      <w:iCs/>
      <w:sz w:val="22"/>
      <w:szCs w:val="22"/>
    </w:rPr>
  </w:style>
  <w:style w:type="character" w:styleId="807" w:customStyle="1">
    <w:name w:val="Заголовок 9 Знак"/>
    <w:basedOn w:val="796"/>
    <w:link w:val="795"/>
    <w:uiPriority w:val="9"/>
    <w:rPr>
      <w:rFonts w:ascii="Arial" w:hAnsi="Arial" w:eastAsia="Arial" w:cs="Arial"/>
      <w:i/>
      <w:iCs/>
      <w:sz w:val="21"/>
      <w:szCs w:val="21"/>
    </w:rPr>
  </w:style>
  <w:style w:type="paragraph" w:styleId="808">
    <w:name w:val="No Spacing"/>
    <w:uiPriority w:val="1"/>
    <w:qFormat/>
    <w:pPr>
      <w:spacing w:after="0" w:line="240" w:lineRule="auto"/>
    </w:pPr>
  </w:style>
  <w:style w:type="paragraph" w:styleId="809">
    <w:name w:val="Title"/>
    <w:basedOn w:val="786"/>
    <w:next w:val="786"/>
    <w:link w:val="810"/>
    <w:uiPriority w:val="10"/>
    <w:qFormat/>
    <w:pPr>
      <w:contextualSpacing/>
      <w:spacing w:before="300" w:after="200"/>
    </w:pPr>
    <w:rPr>
      <w:sz w:val="48"/>
      <w:szCs w:val="48"/>
    </w:rPr>
  </w:style>
  <w:style w:type="character" w:styleId="810" w:customStyle="1">
    <w:name w:val="Заголовок Знак"/>
    <w:basedOn w:val="796"/>
    <w:link w:val="809"/>
    <w:uiPriority w:val="10"/>
    <w:rPr>
      <w:sz w:val="48"/>
      <w:szCs w:val="48"/>
    </w:rPr>
  </w:style>
  <w:style w:type="paragraph" w:styleId="811">
    <w:name w:val="Subtitle"/>
    <w:basedOn w:val="786"/>
    <w:next w:val="786"/>
    <w:link w:val="812"/>
    <w:uiPriority w:val="11"/>
    <w:qFormat/>
    <w:pPr>
      <w:spacing w:before="200" w:after="200"/>
    </w:pPr>
  </w:style>
  <w:style w:type="character" w:styleId="812" w:customStyle="1">
    <w:name w:val="Подзаголовок Знак"/>
    <w:basedOn w:val="796"/>
    <w:link w:val="811"/>
    <w:uiPriority w:val="11"/>
    <w:rPr>
      <w:sz w:val="24"/>
      <w:szCs w:val="24"/>
    </w:rPr>
  </w:style>
  <w:style w:type="paragraph" w:styleId="813">
    <w:name w:val="Quote"/>
    <w:basedOn w:val="786"/>
    <w:next w:val="786"/>
    <w:link w:val="814"/>
    <w:uiPriority w:val="29"/>
    <w:qFormat/>
    <w:pPr>
      <w:ind w:left="720" w:right="720"/>
    </w:pPr>
    <w:rPr>
      <w:i/>
    </w:rPr>
  </w:style>
  <w:style w:type="character" w:styleId="814" w:customStyle="1">
    <w:name w:val="Цитата 2 Знак"/>
    <w:link w:val="813"/>
    <w:uiPriority w:val="29"/>
    <w:rPr>
      <w:i/>
    </w:rPr>
  </w:style>
  <w:style w:type="paragraph" w:styleId="815">
    <w:name w:val="Intense Quote"/>
    <w:basedOn w:val="786"/>
    <w:next w:val="786"/>
    <w:link w:val="816"/>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16" w:customStyle="1">
    <w:name w:val="Выделенная цитата Знак"/>
    <w:link w:val="815"/>
    <w:uiPriority w:val="30"/>
    <w:rPr>
      <w:i/>
    </w:rPr>
  </w:style>
  <w:style w:type="character" w:styleId="817" w:customStyle="1">
    <w:name w:val="Header Char"/>
    <w:basedOn w:val="796"/>
    <w:uiPriority w:val="99"/>
  </w:style>
  <w:style w:type="character" w:styleId="818" w:customStyle="1">
    <w:name w:val="Footer Char"/>
    <w:basedOn w:val="796"/>
    <w:uiPriority w:val="99"/>
  </w:style>
  <w:style w:type="paragraph" w:styleId="819">
    <w:name w:val="Caption"/>
    <w:basedOn w:val="786"/>
    <w:next w:val="786"/>
    <w:link w:val="820"/>
    <w:uiPriority w:val="35"/>
    <w:semiHidden/>
    <w:unhideWhenUsed/>
    <w:qFormat/>
    <w:pPr>
      <w:spacing w:line="276" w:lineRule="auto"/>
    </w:pPr>
    <w:rPr>
      <w:b/>
      <w:bCs/>
      <w:color w:val="5b9bd5" w:themeColor="accent1"/>
      <w:sz w:val="18"/>
      <w:szCs w:val="18"/>
    </w:rPr>
  </w:style>
  <w:style w:type="character" w:styleId="820" w:customStyle="1">
    <w:name w:val="Caption Char"/>
    <w:uiPriority w:val="99"/>
  </w:style>
  <w:style w:type="table" w:styleId="821">
    <w:name w:val="Table Grid"/>
    <w:basedOn w:val="797"/>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822" w:customStyle="1">
    <w:name w:val="Table Grid Light"/>
    <w:basedOn w:val="797"/>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823">
    <w:name w:val="Plain Table 1"/>
    <w:basedOn w:val="797"/>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24">
    <w:name w:val="Plain Table 2"/>
    <w:basedOn w:val="797"/>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25">
    <w:name w:val="Plain Table 3"/>
    <w:basedOn w:val="797"/>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26">
    <w:name w:val="Plain Table 4"/>
    <w:basedOn w:val="797"/>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27">
    <w:name w:val="Plain Table 5"/>
    <w:basedOn w:val="797"/>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828">
    <w:name w:val="Grid Table 1 Light"/>
    <w:basedOn w:val="797"/>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829" w:customStyle="1">
    <w:name w:val="Grid Table 1 Light - Accent 1"/>
    <w:basedOn w:val="797"/>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830" w:customStyle="1">
    <w:name w:val="Grid Table 1 Light - Accent 2"/>
    <w:basedOn w:val="797"/>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831" w:customStyle="1">
    <w:name w:val="Grid Table 1 Light - Accent 3"/>
    <w:basedOn w:val="797"/>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832" w:customStyle="1">
    <w:name w:val="Grid Table 1 Light - Accent 4"/>
    <w:basedOn w:val="797"/>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833" w:customStyle="1">
    <w:name w:val="Grid Table 1 Light - Accent 5"/>
    <w:basedOn w:val="797"/>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834" w:customStyle="1">
    <w:name w:val="Grid Table 1 Light - Accent 6"/>
    <w:basedOn w:val="797"/>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835">
    <w:name w:val="Grid Table 2"/>
    <w:basedOn w:val="797"/>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836" w:customStyle="1">
    <w:name w:val="Grid Table 2 - Accent 1"/>
    <w:basedOn w:val="797"/>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style>
  <w:style w:type="table" w:styleId="837" w:customStyle="1">
    <w:name w:val="Grid Table 2 - Accent 2"/>
    <w:basedOn w:val="797"/>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838" w:customStyle="1">
    <w:name w:val="Grid Table 2 - Accent 3"/>
    <w:basedOn w:val="797"/>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839" w:customStyle="1">
    <w:name w:val="Grid Table 2 - Accent 4"/>
    <w:basedOn w:val="797"/>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840" w:customStyle="1">
    <w:name w:val="Grid Table 2 - Accent 5"/>
    <w:basedOn w:val="797"/>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themeColor="accent5" w:sz="4" w:space="0"/>
          <w:left w:val="none" w:color="000000" w:sz="4" w:space="0"/>
          <w:bottom w:val="none" w:color="000000" w:sz="4" w:space="0"/>
          <w:right w:val="none" w:color="000000" w:sz="4" w:space="0"/>
        </w:tcBorders>
      </w:tcPr>
    </w:tblStylePr>
  </w:style>
  <w:style w:type="table" w:styleId="841" w:customStyle="1">
    <w:name w:val="Grid Table 2 - Accent 6"/>
    <w:basedOn w:val="797"/>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842">
    <w:name w:val="Grid Table 3"/>
    <w:basedOn w:val="797"/>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43" w:customStyle="1">
    <w:name w:val="Grid Table 3 - Accent 1"/>
    <w:basedOn w:val="797"/>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44" w:customStyle="1">
    <w:name w:val="Grid Table 3 - Accent 2"/>
    <w:basedOn w:val="797"/>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45" w:customStyle="1">
    <w:name w:val="Grid Table 3 - Accent 3"/>
    <w:basedOn w:val="797"/>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46" w:customStyle="1">
    <w:name w:val="Grid Table 3 - Accent 4"/>
    <w:basedOn w:val="797"/>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47" w:customStyle="1">
    <w:name w:val="Grid Table 3 - Accent 5"/>
    <w:basedOn w:val="797"/>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48" w:customStyle="1">
    <w:name w:val="Grid Table 3 - Accent 6"/>
    <w:basedOn w:val="797"/>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49">
    <w:name w:val="Grid Table 4"/>
    <w:basedOn w:val="797"/>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50" w:customStyle="1">
    <w:name w:val="Grid Table 4 - Accent 1"/>
    <w:basedOn w:val="797"/>
    <w:uiPriority w:val="5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band1Horz">
      <w:rPr>
        <w:rFonts w:ascii="Arial" w:hAnsi="Arial"/>
        <w:color w:val="404040"/>
        <w:sz w:val="22"/>
      </w:rPr>
      <w:tcPr>
        <w:shd w:val="clear" w:color="deebf6" w:themeColor="accent1" w:themeTint="32" w:fill="deebf6" w:themeFill="accent1" w:themeFillTint="32"/>
      </w:tcPr>
    </w:tblStylePr>
    <w:tblStylePr w:type="band1Vert">
      <w:rPr>
        <w:rFonts w:ascii="Arial" w:hAnsi="Arial"/>
        <w:color w:val="404040"/>
        <w:sz w:val="22"/>
      </w:rPr>
      <w:tcPr>
        <w:shd w:val="clear" w:color="deebf6" w:themeColor="accent1" w:themeTint="32" w:fill="deebf6" w:themeFill="accent1" w:themeFillTint="32"/>
      </w:tcPr>
    </w:tblStylePr>
    <w:tblStylePr w:type="firstCol">
      <w:rPr>
        <w:b/>
        <w:color w:val="404040"/>
      </w:rPr>
    </w:tblStylePr>
    <w:tblStylePr w:type="firstRow">
      <w:rPr>
        <w:rFonts w:ascii="Arial" w:hAnsi="Arial"/>
        <w:b/>
        <w:color w:val="ffffff"/>
        <w:sz w:val="22"/>
      </w:r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851" w:customStyle="1">
    <w:name w:val="Grid Table 4 - Accent 2"/>
    <w:basedOn w:val="797"/>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852" w:customStyle="1">
    <w:name w:val="Grid Table 4 - Accent 3"/>
    <w:basedOn w:val="797"/>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853" w:customStyle="1">
    <w:name w:val="Grid Table 4 - Accent 4"/>
    <w:basedOn w:val="797"/>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854" w:customStyle="1">
    <w:name w:val="Grid Table 4 - Accent 5"/>
    <w:basedOn w:val="797"/>
    <w:uiPriority w:val="5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rFonts w:ascii="Arial" w:hAnsi="Arial"/>
        <w:b/>
        <w:color w:val="ffffff"/>
        <w:sz w:val="22"/>
      </w:r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855" w:customStyle="1">
    <w:name w:val="Grid Table 4 - Accent 6"/>
    <w:basedOn w:val="797"/>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856">
    <w:name w:val="Grid Table 5 Dark"/>
    <w:basedOn w:val="797"/>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57" w:customStyle="1">
    <w:name w:val="Grid Table 5 Dark- Accent 1"/>
    <w:basedOn w:val="797"/>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Pr>
    <w:tblStylePr w:type="band1Horz">
      <w:tcPr>
        <w:shd w:val="clear" w:color="b3d0eb" w:themeColor="accent1" w:themeTint="75" w:fill="b3d0eb" w:themeFill="accent1" w:themeFillTint="75"/>
      </w:tcPr>
    </w:tblStylePr>
    <w:tblStylePr w:type="band1Vert">
      <w:tcPr>
        <w:shd w:val="clear" w:color="b3d0eb" w:themeColor="accent1" w:themeTint="75" w:fill="b3d0eb" w:themeFill="accent1" w:themeFillTint="75"/>
      </w:tcPr>
    </w:tblStylePr>
    <w:tblStylePr w:type="firstCol">
      <w:rPr>
        <w:rFonts w:ascii="Arial" w:hAnsi="Arial"/>
        <w:b/>
        <w:color w:val="ffffff"/>
        <w:sz w:val="22"/>
      </w:rPr>
      <w:tcPr>
        <w:shd w:val="clear" w:color="5b9bd5" w:themeColor="accent1" w:fill="5b9bd5" w:themeFill="accent1"/>
      </w:tcPr>
    </w:tblStylePr>
    <w:tblStylePr w:type="firstRow">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shd w:val="clear" w:color="5b9bd5" w:themeColor="accent1" w:fill="5b9bd5" w:themeFill="accent1"/>
        <w:tcBorders>
          <w:top w:val="single" w:color="FFFFFF" w:themeColor="light1" w:sz="4" w:space="0"/>
        </w:tcBorders>
      </w:tcPr>
    </w:tblStylePr>
  </w:style>
  <w:style w:type="table" w:styleId="858" w:customStyle="1">
    <w:name w:val="Grid Table 5 Dark - Accent 2"/>
    <w:basedOn w:val="797"/>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859" w:customStyle="1">
    <w:name w:val="Grid Table 5 Dark - Accent 3"/>
    <w:basedOn w:val="797"/>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860" w:customStyle="1">
    <w:name w:val="Grid Table 5 Dark- Accent 4"/>
    <w:basedOn w:val="797"/>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861" w:customStyle="1">
    <w:name w:val="Grid Table 5 Dark - Accent 5"/>
    <w:basedOn w:val="797"/>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Pr>
    <w:tblStylePr w:type="band1Horz">
      <w:tcPr>
        <w:shd w:val="clear" w:color="a9bee4" w:themeColor="accent5" w:themeTint="75" w:fill="a9bee4" w:themeFill="accent5" w:themeFillTint="75"/>
      </w:tcPr>
    </w:tblStylePr>
    <w:tblStylePr w:type="band1Vert">
      <w:tcPr>
        <w:shd w:val="clear" w:color="a9bee4" w:themeColor="accent5" w:themeTint="75" w:fill="a9bee4" w:themeFill="accent5" w:themeFillTint="75"/>
      </w:tcPr>
    </w:tblStylePr>
    <w:tblStylePr w:type="firstCol">
      <w:rPr>
        <w:rFonts w:ascii="Arial" w:hAnsi="Arial"/>
        <w:b/>
        <w:color w:val="ffffff"/>
        <w:sz w:val="22"/>
      </w:rPr>
      <w:tcPr>
        <w:shd w:val="clear" w:color="4472c4" w:themeColor="accent5" w:fill="4472c4" w:themeFill="accent5"/>
      </w:tcPr>
    </w:tblStylePr>
    <w:tblStylePr w:type="firstRow">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shd w:val="clear" w:color="4472c4" w:themeColor="accent5" w:fill="4472c4" w:themeFill="accent5"/>
        <w:tcBorders>
          <w:top w:val="single" w:color="FFFFFF" w:themeColor="light1" w:sz="4" w:space="0"/>
        </w:tcBorders>
      </w:tcPr>
    </w:tblStylePr>
  </w:style>
  <w:style w:type="table" w:styleId="862" w:customStyle="1">
    <w:name w:val="Grid Table 5 Dark - Accent 6"/>
    <w:basedOn w:val="797"/>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863">
    <w:name w:val="Grid Table 6 Colorful"/>
    <w:basedOn w:val="797"/>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64" w:customStyle="1">
    <w:name w:val="Grid Table 6 Colorful - Accent 1"/>
    <w:basedOn w:val="797"/>
    <w:uiPriority w:val="99"/>
    <w:pPr>
      <w:spacing w:after="0" w:line="240" w:lineRule="auto"/>
    </w:pPr>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themeColor="accent1" w:themeTint="80"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865" w:customStyle="1">
    <w:name w:val="Grid Table 6 Colorful - Accent 2"/>
    <w:basedOn w:val="797"/>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866" w:customStyle="1">
    <w:name w:val="Grid Table 6 Colorful - Accent 3"/>
    <w:basedOn w:val="797"/>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867" w:customStyle="1">
    <w:name w:val="Grid Table 6 Colorful - Accent 4"/>
    <w:basedOn w:val="797"/>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868" w:customStyle="1">
    <w:name w:val="Grid Table 6 Colorful - Accent 5"/>
    <w:basedOn w:val="797"/>
    <w:uiPriority w:val="99"/>
    <w:pPr>
      <w:spacing w:after="0" w:line="240" w:lineRule="auto"/>
    </w:pPr>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69" w:customStyle="1">
    <w:name w:val="Grid Table 6 Colorful - Accent 6"/>
    <w:basedOn w:val="797"/>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54175"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70">
    <w:name w:val="Grid Table 7 Colorful"/>
    <w:basedOn w:val="797"/>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71" w:customStyle="1">
    <w:name w:val="Grid Table 7 Colorful - Accent 1"/>
    <w:basedOn w:val="797"/>
    <w:uiPriority w:val="99"/>
    <w:pPr>
      <w:spacing w:after="0" w:line="240" w:lineRule="auto"/>
    </w:pPr>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CCCEA" w:themeColor="accent1" w:themeTint="80" w:sz="4" w:space="0"/>
        </w:tcBorders>
      </w:tcPr>
    </w:tblStylePr>
    <w:tblStylePr w:type="firstRow">
      <w:rPr>
        <w:rFonts w:ascii="Arial" w:hAnsi="Arial"/>
        <w:b/>
        <w:color w:val="acccea" w:themeColor="accent1" w:themeTint="80" w:themeShade="95"/>
        <w:sz w:val="22"/>
      </w:rPr>
      <w:tcPr>
        <w:shd w:val="clear" w:color="ffffff" w:themeColor="light1" w:fill="ffffff" w:themeFill="light1"/>
        <w:tcBorders>
          <w:top w:val="none" w:color="000000" w:sz="4" w:space="0"/>
          <w:left w:val="none" w:color="000000" w:sz="4" w:space="0"/>
          <w:bottom w:val="single" w:color="ACCCEA" w:themeColor="accent1" w:themeTint="80" w:sz="4" w:space="0"/>
          <w:right w:val="none" w:color="000000" w:sz="4" w:space="0"/>
        </w:tcBorders>
      </w:tcPr>
    </w:tblStylePr>
    <w:tblStylePr w:type="lastCol">
      <w:rPr>
        <w:rFonts w:ascii="Arial" w:hAnsi="Arial"/>
        <w:i/>
        <w:color w:val="acccea" w:themeColor="accent1" w:themeTint="80" w:themeShade="95"/>
        <w:sz w:val="22"/>
      </w:rPr>
      <w:tcPr>
        <w:shd w:val="clear" w:color="ffffff" w:fill="auto"/>
        <w:tcBorders>
          <w:top w:val="none" w:color="000000" w:sz="4" w:space="0"/>
          <w:left w:val="single" w:color="ACCCEA" w:themeColor="accent1" w:themeTint="80" w:sz="4" w:space="0"/>
          <w:bottom w:val="none" w:color="000000" w:sz="4" w:space="0"/>
          <w:right w:val="none" w:color="000000" w:sz="4" w:space="0"/>
        </w:tcBorders>
      </w:tcPr>
    </w:tblStylePr>
    <w:tblStylePr w:type="lastRow">
      <w:rPr>
        <w:rFonts w:ascii="Arial" w:hAnsi="Arial"/>
        <w:b/>
        <w:color w:val="acccea" w:themeColor="accent1" w:themeTint="80" w:themeShade="95"/>
        <w:sz w:val="22"/>
      </w:rPr>
      <w:tcPr>
        <w:shd w:val="clear" w:color="ffffff" w:themeColor="light1" w:fill="ffffff" w:themeFill="light1"/>
        <w:tcBorders>
          <w:top w:val="single" w:color="ACCCEA" w:themeColor="accent1" w:themeTint="80" w:sz="4" w:space="0"/>
          <w:left w:val="none" w:color="000000" w:sz="4" w:space="0"/>
          <w:bottom w:val="none" w:color="000000" w:sz="4" w:space="0"/>
          <w:right w:val="none" w:color="000000" w:sz="4" w:space="0"/>
        </w:tcBorders>
      </w:tcPr>
    </w:tblStylePr>
  </w:style>
  <w:style w:type="table" w:styleId="872" w:customStyle="1">
    <w:name w:val="Grid Table 7 Colorful - Accent 2"/>
    <w:basedOn w:val="797"/>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73" w:customStyle="1">
    <w:name w:val="Grid Table 7 Colorful - Accent 3"/>
    <w:basedOn w:val="797"/>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874" w:customStyle="1">
    <w:name w:val="Grid Table 7 Colorful - Accent 4"/>
    <w:basedOn w:val="797"/>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75" w:customStyle="1">
    <w:name w:val="Grid Table 7 Colorful - Accent 5"/>
    <w:basedOn w:val="797"/>
    <w:uiPriority w:val="99"/>
    <w:pPr>
      <w:spacing w:after="0" w:line="240" w:lineRule="auto"/>
    </w:pPr>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auto"/>
        <w:tcBorders>
          <w:top w:val="none" w:color="000000" w:sz="4" w:space="0"/>
          <w:left w:val="none" w:color="000000" w:sz="4" w:space="0"/>
          <w:bottom w:val="none" w:color="000000" w:sz="4" w:space="0"/>
          <w:right w:val="single" w:color="95AFDD" w:themeColor="accent5" w:themeTint="90" w:sz="4" w:space="0"/>
        </w:tcBorders>
      </w:tcPr>
    </w:tblStylePr>
    <w:tblStylePr w:type="firstRow">
      <w:rPr>
        <w:rFonts w:ascii="Arial" w:hAnsi="Arial"/>
        <w:b/>
        <w:color w:val="254175" w:themeColor="accent5" w:themeShade="95"/>
        <w:sz w:val="22"/>
      </w:rPr>
      <w:tcPr>
        <w:shd w:val="clear" w:color="ffffff" w:themeColor="light1" w:fill="ffffff" w:themeFill="light1"/>
        <w:tcBorders>
          <w:top w:val="none" w:color="000000" w:sz="4" w:space="0"/>
          <w:left w:val="none" w:color="000000" w:sz="4" w:space="0"/>
          <w:bottom w:val="single" w:color="95AFDD" w:themeColor="accent5" w:themeTint="90" w:sz="4" w:space="0"/>
          <w:right w:val="none" w:color="000000" w:sz="4" w:space="0"/>
        </w:tcBorders>
      </w:tcPr>
    </w:tblStylePr>
    <w:tblStylePr w:type="lastCol">
      <w:rPr>
        <w:rFonts w:ascii="Arial" w:hAnsi="Arial"/>
        <w:i/>
        <w:color w:val="254175" w:themeColor="accent5" w:themeShade="95"/>
        <w:sz w:val="22"/>
      </w:rPr>
      <w:tcPr>
        <w:shd w:val="clear" w:color="ffffff" w:fill="auto"/>
        <w:tcBorders>
          <w:top w:val="none" w:color="000000" w:sz="4" w:space="0"/>
          <w:left w:val="single" w:color="95AFDD" w:themeColor="accent5" w:themeTint="90" w:sz="4" w:space="0"/>
          <w:bottom w:val="none" w:color="000000" w:sz="4" w:space="0"/>
          <w:right w:val="none" w:color="000000" w:sz="4" w:space="0"/>
        </w:tcBorders>
      </w:tcPr>
    </w:tblStylePr>
    <w:tblStylePr w:type="lastRow">
      <w:rPr>
        <w:rFonts w:ascii="Arial" w:hAnsi="Arial"/>
        <w:b/>
        <w:color w:val="254175" w:themeColor="accent5" w:themeShade="95"/>
        <w:sz w:val="22"/>
      </w:rPr>
      <w:tcPr>
        <w:shd w:val="clear" w:color="ffffff" w:themeColor="light1" w:fill="ffffff" w:themeFill="light1"/>
        <w:tcBorders>
          <w:top w:val="single" w:color="95AFDD" w:themeColor="accent5" w:themeTint="90" w:sz="4" w:space="0"/>
          <w:left w:val="none" w:color="000000" w:sz="4" w:space="0"/>
          <w:bottom w:val="none" w:color="000000" w:sz="4" w:space="0"/>
          <w:right w:val="none" w:color="000000" w:sz="4" w:space="0"/>
        </w:tcBorders>
      </w:tcPr>
    </w:tblStylePr>
  </w:style>
  <w:style w:type="table" w:styleId="876" w:customStyle="1">
    <w:name w:val="Grid Table 7 Colorful - Accent 6"/>
    <w:basedOn w:val="797"/>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877">
    <w:name w:val="List Table 1 Light"/>
    <w:basedOn w:val="797"/>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78" w:customStyle="1">
    <w:name w:val="List Table 1 Light - Accent 1"/>
    <w:basedOn w:val="797"/>
    <w:uiPriority w:val="99"/>
    <w:pPr>
      <w:spacing w:after="0" w:line="240" w:lineRule="auto"/>
    </w:pPr>
    <w:tblPr>
      <w:tblStyleRowBandSize w:val="1"/>
      <w:tblStyleColBandSize w:val="1"/>
    </w:tblPr>
    <w:tblStylePr w:type="band1Horz">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879" w:customStyle="1">
    <w:name w:val="List Table 1 Light - Accent 2"/>
    <w:basedOn w:val="797"/>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80" w:customStyle="1">
    <w:name w:val="List Table 1 Light - Accent 3"/>
    <w:basedOn w:val="797"/>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81" w:customStyle="1">
    <w:name w:val="List Table 1 Light - Accent 4"/>
    <w:basedOn w:val="797"/>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82" w:customStyle="1">
    <w:name w:val="List Table 1 Light - Accent 5"/>
    <w:basedOn w:val="797"/>
    <w:uiPriority w:val="99"/>
    <w:pPr>
      <w:spacing w:after="0" w:line="240" w:lineRule="auto"/>
    </w:pPr>
    <w:tblPr>
      <w:tblStyleRowBandSize w:val="1"/>
      <w:tblStyleColBandSize w:val="1"/>
    </w:tblPr>
    <w:tblStylePr w:type="band1Horz">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883" w:customStyle="1">
    <w:name w:val="List Table 1 Light - Accent 6"/>
    <w:basedOn w:val="797"/>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84">
    <w:name w:val="List Table 2"/>
    <w:basedOn w:val="797"/>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85" w:customStyle="1">
    <w:name w:val="List Table 2 - Accent 1"/>
    <w:basedOn w:val="797"/>
    <w:uiPriority w:val="99"/>
    <w:pPr>
      <w:spacing w:after="0" w:line="240" w:lineRule="auto"/>
    </w:pPr>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886" w:customStyle="1">
    <w:name w:val="List Table 2 - Accent 2"/>
    <w:basedOn w:val="797"/>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87" w:customStyle="1">
    <w:name w:val="List Table 2 - Accent 3"/>
    <w:basedOn w:val="797"/>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88" w:customStyle="1">
    <w:name w:val="List Table 2 - Accent 4"/>
    <w:basedOn w:val="797"/>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89" w:customStyle="1">
    <w:name w:val="List Table 2 - Accent 5"/>
    <w:basedOn w:val="797"/>
    <w:uiPriority w:val="99"/>
    <w:pPr>
      <w:spacing w:after="0" w:line="240" w:lineRule="auto"/>
    </w:pPr>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890" w:customStyle="1">
    <w:name w:val="List Table 2 - Accent 6"/>
    <w:basedOn w:val="797"/>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91">
    <w:name w:val="List Table 3"/>
    <w:basedOn w:val="797"/>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92" w:customStyle="1">
    <w:name w:val="List Table 3 - Accent 1"/>
    <w:basedOn w:val="797"/>
    <w:uiPriority w:val="99"/>
    <w:pPr>
      <w:spacing w:after="0" w:line="240" w:lineRule="auto"/>
    </w:p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93" w:customStyle="1">
    <w:name w:val="List Table 3 - Accent 2"/>
    <w:basedOn w:val="797"/>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894" w:customStyle="1">
    <w:name w:val="List Table 3 - Accent 3"/>
    <w:basedOn w:val="797"/>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95" w:customStyle="1">
    <w:name w:val="List Table 3 - Accent 4"/>
    <w:basedOn w:val="797"/>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96" w:customStyle="1">
    <w:name w:val="List Table 3 - Accent 5"/>
    <w:basedOn w:val="797"/>
    <w:uiPriority w:val="99"/>
    <w:pPr>
      <w:spacing w:after="0" w:line="240" w:lineRule="auto"/>
    </w:pPr>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Arial" w:hAnsi="Arial"/>
        <w:b/>
        <w:color w:val="ffffff"/>
        <w:sz w:val="22"/>
      </w:rPr>
      <w:tcPr>
        <w:shd w:val="clear" w:color="8da9db" w:themeColor="accent5" w:themeTint="9A" w:fill="8da9db" w:themeFill="accent5" w:themeFillTint="9A"/>
      </w:tcPr>
    </w:tblStylePr>
    <w:tblStylePr w:type="lastCol">
      <w:rPr>
        <w:b/>
        <w:color w:val="404040"/>
      </w:rPr>
    </w:tblStylePr>
    <w:tblStylePr w:type="lastRow">
      <w:rPr>
        <w:b/>
        <w:color w:val="404040"/>
      </w:rPr>
    </w:tblStylePr>
  </w:style>
  <w:style w:type="table" w:styleId="897" w:customStyle="1">
    <w:name w:val="List Table 3 - Accent 6"/>
    <w:basedOn w:val="797"/>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98">
    <w:name w:val="List Table 4"/>
    <w:basedOn w:val="797"/>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99" w:customStyle="1">
    <w:name w:val="List Table 4 - Accent 1"/>
    <w:basedOn w:val="797"/>
    <w:uiPriority w:val="9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900" w:customStyle="1">
    <w:name w:val="List Table 4 - Accent 2"/>
    <w:basedOn w:val="797"/>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901" w:customStyle="1">
    <w:name w:val="List Table 4 - Accent 3"/>
    <w:basedOn w:val="797"/>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902" w:customStyle="1">
    <w:name w:val="List Table 4 - Accent 4"/>
    <w:basedOn w:val="797"/>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903" w:customStyle="1">
    <w:name w:val="List Table 4 - Accent 5"/>
    <w:basedOn w:val="797"/>
    <w:uiPriority w:val="9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b/>
        <w:color w:val="404040"/>
      </w:rPr>
    </w:tblStylePr>
    <w:tblStylePr w:type="firstRow">
      <w:rPr>
        <w:rFonts w:ascii="Arial" w:hAnsi="Arial"/>
        <w:b/>
        <w:color w:val="ffffff"/>
        <w:sz w:val="22"/>
      </w:rPr>
      <w:tcPr>
        <w:shd w:val="clear" w:color="4472c4" w:themeColor="accent5" w:fill="4472c4" w:themeFill="accent5"/>
      </w:tcPr>
    </w:tblStylePr>
    <w:tblStylePr w:type="lastCol">
      <w:rPr>
        <w:b/>
        <w:color w:val="404040"/>
      </w:rPr>
    </w:tblStylePr>
    <w:tblStylePr w:type="lastRow">
      <w:rPr>
        <w:b/>
        <w:color w:val="404040"/>
      </w:rPr>
    </w:tblStylePr>
  </w:style>
  <w:style w:type="table" w:styleId="904" w:customStyle="1">
    <w:name w:val="List Table 4 - Accent 6"/>
    <w:basedOn w:val="797"/>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905">
    <w:name w:val="List Table 5 Dark"/>
    <w:basedOn w:val="797"/>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906" w:customStyle="1">
    <w:name w:val="List Table 5 Dark - Accent 1"/>
    <w:basedOn w:val="797"/>
    <w:uiPriority w:val="99"/>
    <w:pPr>
      <w:spacing w:after="0" w:line="240" w:lineRule="auto"/>
    </w:pPr>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Pr>
    <w:tblStylePr w:type="band1Horz">
      <w:tcPr>
        <w:shd w:val="clear" w:color="5b9bd5" w:themeColor="accent1" w:fill="5b9bd5" w:themeFill="accent1"/>
        <w:tcBorders>
          <w:top w:val="single" w:color="FFFFFF" w:themeColor="light1" w:sz="4" w:space="0"/>
          <w:bottom w:val="single" w:color="FFFFFF" w:themeColor="light1" w:sz="4" w:space="0"/>
        </w:tcBorders>
      </w:tcPr>
    </w:tblStylePr>
    <w:tblStylePr w:type="band1Vert">
      <w:tcPr>
        <w:shd w:val="clear" w:color="5b9bd5" w:themeColor="accent1" w:fill="5b9bd5" w:themeFill="accent1"/>
        <w:tcBorders>
          <w:left w:val="single" w:color="FFFFFF" w:themeColor="light1" w:sz="4" w:space="0"/>
          <w:right w:val="single" w:color="FFFFFF" w:themeColor="light1" w:sz="4" w:space="0"/>
        </w:tcBorders>
      </w:tcPr>
    </w:tblStylePr>
    <w:tblStylePr w:type="band2Horz">
      <w:tcPr>
        <w:shd w:val="clear" w:color="5b9bd5" w:themeColor="accent1" w:fill="5b9bd5"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tcPr>
        <w:shd w:val="clear" w:color="5b9bd5" w:themeColor="accent1" w:fill="5b9bd5" w:themeFill="accent1"/>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tblStylePr>
  </w:style>
  <w:style w:type="table" w:styleId="907" w:customStyle="1">
    <w:name w:val="List Table 5 Dark - Accent 2"/>
    <w:basedOn w:val="797"/>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908" w:customStyle="1">
    <w:name w:val="List Table 5 Dark - Accent 3"/>
    <w:basedOn w:val="797"/>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909" w:customStyle="1">
    <w:name w:val="List Table 5 Dark - Accent 4"/>
    <w:basedOn w:val="797"/>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910" w:customStyle="1">
    <w:name w:val="List Table 5 Dark - Accent 5"/>
    <w:basedOn w:val="797"/>
    <w:uiPriority w:val="99"/>
    <w:pPr>
      <w:spacing w:after="0" w:line="240" w:lineRule="auto"/>
    </w:pPr>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Pr>
    <w:tblStylePr w:type="band1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tblStylePr>
  </w:style>
  <w:style w:type="table" w:styleId="911" w:customStyle="1">
    <w:name w:val="List Table 5 Dark - Accent 6"/>
    <w:basedOn w:val="797"/>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912">
    <w:name w:val="List Table 6 Colorful"/>
    <w:basedOn w:val="797"/>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913" w:customStyle="1">
    <w:name w:val="List Table 6 Colorful - Accent 1"/>
    <w:basedOn w:val="797"/>
    <w:uiPriority w:val="99"/>
    <w:pPr>
      <w:spacing w:after="0" w:line="240" w:lineRule="auto"/>
    </w:pPr>
    <w:tblPr>
      <w:tblStyleRowBandSize w:val="1"/>
      <w:tblStyleColBandSize w:val="1"/>
      <w:tblBorders>
        <w:top w:val="single" w:color="5B9BD5" w:themeColor="accent1" w:sz="4" w:space="0"/>
        <w:bottom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914" w:customStyle="1">
    <w:name w:val="List Table 6 Colorful - Accent 2"/>
    <w:basedOn w:val="797"/>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915" w:customStyle="1">
    <w:name w:val="List Table 6 Colorful - Accent 3"/>
    <w:basedOn w:val="797"/>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916" w:customStyle="1">
    <w:name w:val="List Table 6 Colorful - Accent 4"/>
    <w:basedOn w:val="797"/>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917" w:customStyle="1">
    <w:name w:val="List Table 6 Colorful - Accent 5"/>
    <w:basedOn w:val="797"/>
    <w:uiPriority w:val="99"/>
    <w:pPr>
      <w:spacing w:after="0" w:line="240" w:lineRule="auto"/>
    </w:pPr>
    <w:tblPr>
      <w:tblStyleRowBandSize w:val="1"/>
      <w:tblStyleColBandSize w:val="1"/>
      <w:tblBorders>
        <w:top w:val="single" w:color="8DA9DB" w:themeColor="accent5" w:themeTint="9A" w:sz="4" w:space="0"/>
        <w:bottom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themeColor="accent5" w:themeTint="9A"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themeColor="accent5" w:themeTint="9A" w:sz="4" w:space="0"/>
        </w:tcBorders>
      </w:tcPr>
    </w:tblStylePr>
  </w:style>
  <w:style w:type="table" w:styleId="918" w:customStyle="1">
    <w:name w:val="List Table 6 Colorful - Accent 6"/>
    <w:basedOn w:val="797"/>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919">
    <w:name w:val="List Table 7 Colorful"/>
    <w:basedOn w:val="797"/>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920" w:customStyle="1">
    <w:name w:val="List Table 7 Colorful - Accent 1"/>
    <w:basedOn w:val="797"/>
    <w:uiPriority w:val="99"/>
    <w:pPr>
      <w:spacing w:after="0" w:line="240" w:lineRule="auto"/>
    </w:pPr>
    <w:tblPr>
      <w:tblStyleRowBandSize w:val="1"/>
      <w:tblStyleColBandSize w:val="1"/>
      <w:tblBorders>
        <w:right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auto"/>
        <w:tcBorders>
          <w:top w:val="none" w:color="000000" w:sz="4" w:space="0"/>
          <w:left w:val="none" w:color="000000" w:sz="4" w:space="0"/>
          <w:bottom w:val="none" w:color="000000" w:sz="4" w:space="0"/>
          <w:right w:val="single" w:color="5B9BD5" w:themeColor="accent1" w:sz="4" w:space="0"/>
        </w:tcBorders>
      </w:tcPr>
    </w:tblStylePr>
    <w:tblStylePr w:type="firstRow">
      <w:rPr>
        <w:rFonts w:ascii="Arial" w:hAnsi="Arial"/>
        <w:i/>
        <w:color w:val="245a8d" w:themeColor="accent1" w:themeShade="95"/>
        <w:sz w:val="22"/>
      </w:rPr>
      <w:tcPr>
        <w:shd w:val="clear" w:color="ffffff" w:themeColor="light1" w:fill="ffffff" w:themeFill="light1"/>
        <w:tcBorders>
          <w:top w:val="none" w:color="000000" w:sz="4" w:space="0"/>
          <w:left w:val="none" w:color="000000" w:sz="4" w:space="0"/>
          <w:bottom w:val="single" w:color="5B9BD5" w:themeColor="accent1" w:sz="4" w:space="0"/>
          <w:right w:val="none" w:color="000000" w:sz="4" w:space="0"/>
        </w:tcBorders>
      </w:tcPr>
    </w:tblStylePr>
    <w:tblStylePr w:type="lastCol">
      <w:rPr>
        <w:rFonts w:ascii="Arial" w:hAnsi="Arial"/>
        <w:i/>
        <w:color w:val="245a8d" w:themeColor="accent1" w:themeShade="95"/>
        <w:sz w:val="22"/>
      </w:rPr>
      <w:tcPr>
        <w:shd w:val="clear" w:color="ffffff" w:fill="auto"/>
        <w:tcBorders>
          <w:top w:val="none" w:color="000000" w:sz="4" w:space="0"/>
          <w:left w:val="single" w:color="5B9BD5" w:themeColor="accent1" w:sz="4" w:space="0"/>
          <w:bottom w:val="none" w:color="000000" w:sz="4" w:space="0"/>
          <w:right w:val="none" w:color="000000" w:sz="4" w:space="0"/>
        </w:tcBorders>
      </w:tcPr>
    </w:tblStylePr>
    <w:tblStylePr w:type="lastRow">
      <w:rPr>
        <w:rFonts w:ascii="Arial" w:hAnsi="Arial"/>
        <w:i/>
        <w:color w:val="245a8d" w:themeColor="accent1" w:themeShade="95"/>
        <w:sz w:val="22"/>
      </w:rPr>
      <w:tcPr>
        <w:shd w:val="clear" w:color="ffffff" w:themeColor="light1" w:fill="ffffff" w:themeFill="light1"/>
        <w:tcBorders>
          <w:top w:val="single" w:color="5B9BD5" w:themeColor="accent1" w:sz="4" w:space="0"/>
          <w:left w:val="none" w:color="000000" w:sz="4" w:space="0"/>
          <w:bottom w:val="none" w:color="000000" w:sz="4" w:space="0"/>
          <w:right w:val="none" w:color="000000" w:sz="4" w:space="0"/>
        </w:tcBorders>
      </w:tcPr>
    </w:tblStylePr>
  </w:style>
  <w:style w:type="table" w:styleId="921" w:customStyle="1">
    <w:name w:val="List Table 7 Colorful - Accent 2"/>
    <w:basedOn w:val="797"/>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922" w:customStyle="1">
    <w:name w:val="List Table 7 Colorful - Accent 3"/>
    <w:basedOn w:val="797"/>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923" w:customStyle="1">
    <w:name w:val="List Table 7 Colorful - Accent 4"/>
    <w:basedOn w:val="797"/>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924" w:customStyle="1">
    <w:name w:val="List Table 7 Colorful - Accent 5"/>
    <w:basedOn w:val="797"/>
    <w:uiPriority w:val="99"/>
    <w:pPr>
      <w:spacing w:after="0" w:line="240" w:lineRule="auto"/>
    </w:pPr>
    <w:tblPr>
      <w:tblStyleRowBandSize w:val="1"/>
      <w:tblStyleColBandSize w:val="1"/>
      <w:tblBorders>
        <w:right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8DA9DB" w:themeColor="accent5" w:themeTint="9A" w:sz="4" w:space="0"/>
        </w:tcBorders>
      </w:tcPr>
    </w:tblStylePr>
    <w:tblStylePr w:type="firstRow">
      <w:rPr>
        <w:rFonts w:ascii="Arial" w:hAnsi="Arial"/>
        <w:i/>
        <w:color w:val="8da9db" w:themeColor="accent5" w:themeTint="9A" w:themeShade="95"/>
        <w:sz w:val="22"/>
      </w:rPr>
      <w:tcPr>
        <w:shd w:val="clear" w:color="ffffff" w:themeColor="light1" w:fill="ffffff" w:themeFill="light1"/>
        <w:tcBorders>
          <w:top w:val="none" w:color="000000" w:sz="4" w:space="0"/>
          <w:left w:val="none" w:color="000000" w:sz="4" w:space="0"/>
          <w:bottom w:val="single" w:color="8DA9DB" w:themeColor="accent5" w:themeTint="9A" w:sz="4" w:space="0"/>
          <w:right w:val="none" w:color="000000" w:sz="4" w:space="0"/>
        </w:tcBorders>
      </w:tcPr>
    </w:tblStylePr>
    <w:tblStylePr w:type="lastCol">
      <w:rPr>
        <w:rFonts w:ascii="Arial" w:hAnsi="Arial"/>
        <w:i/>
        <w:color w:val="8da9db" w:themeColor="accent5" w:themeTint="9A" w:themeShade="95"/>
        <w:sz w:val="22"/>
      </w:rPr>
      <w:tcPr>
        <w:shd w:val="clear" w:color="ffffff" w:fill="auto"/>
        <w:tcBorders>
          <w:top w:val="none" w:color="000000" w:sz="4" w:space="0"/>
          <w:left w:val="single" w:color="8DA9DB" w:themeColor="accent5" w:themeTint="9A" w:sz="4" w:space="0"/>
          <w:bottom w:val="none" w:color="000000" w:sz="4" w:space="0"/>
          <w:right w:val="none" w:color="000000" w:sz="4" w:space="0"/>
        </w:tcBorders>
      </w:tcPr>
    </w:tblStylePr>
    <w:tblStylePr w:type="lastRow">
      <w:rPr>
        <w:rFonts w:ascii="Arial" w:hAnsi="Arial"/>
        <w:i/>
        <w:color w:val="8da9db" w:themeColor="accent5" w:themeTint="9A" w:themeShade="95"/>
        <w:sz w:val="22"/>
      </w:rPr>
      <w:tcPr>
        <w:shd w:val="clear" w:color="ffffff" w:themeColor="light1" w:fill="ffffff" w:themeFill="light1"/>
        <w:tcBorders>
          <w:top w:val="single" w:color="8DA9DB" w:themeColor="accent5" w:themeTint="9A" w:sz="4" w:space="0"/>
          <w:left w:val="none" w:color="000000" w:sz="4" w:space="0"/>
          <w:bottom w:val="none" w:color="000000" w:sz="4" w:space="0"/>
          <w:right w:val="none" w:color="000000" w:sz="4" w:space="0"/>
        </w:tcBorders>
      </w:tcPr>
    </w:tblStylePr>
  </w:style>
  <w:style w:type="table" w:styleId="925" w:customStyle="1">
    <w:name w:val="List Table 7 Colorful - Accent 6"/>
    <w:basedOn w:val="797"/>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926" w:customStyle="1">
    <w:name w:val="Lined - Accent"/>
    <w:basedOn w:val="797"/>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27" w:customStyle="1">
    <w:name w:val="Lined - Accent 1"/>
    <w:basedOn w:val="797"/>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928" w:customStyle="1">
    <w:name w:val="Lined - Accent 2"/>
    <w:basedOn w:val="797"/>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929" w:customStyle="1">
    <w:name w:val="Lined - Accent 3"/>
    <w:basedOn w:val="797"/>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930" w:customStyle="1">
    <w:name w:val="Lined - Accent 4"/>
    <w:basedOn w:val="797"/>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931" w:customStyle="1">
    <w:name w:val="Lined - Accent 5"/>
    <w:basedOn w:val="797"/>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932" w:customStyle="1">
    <w:name w:val="Lined - Accent 6"/>
    <w:basedOn w:val="797"/>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33" w:customStyle="1">
    <w:name w:val="Bordered &amp; Lined - Accent"/>
    <w:basedOn w:val="797"/>
    <w:uiPriority w:val="99"/>
    <w:pPr>
      <w:spacing w:after="0" w:line="240" w:lineRule="auto"/>
    </w:pPr>
    <w:rPr>
      <w:color w:val="404040"/>
      <w:sz w:val="20"/>
      <w:szCs w:val="20"/>
      <w:lang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34" w:customStyle="1">
    <w:name w:val="Bordered &amp; Lined - Accent 1"/>
    <w:basedOn w:val="797"/>
    <w:uiPriority w:val="99"/>
    <w:pPr>
      <w:spacing w:after="0" w:line="240" w:lineRule="auto"/>
    </w:pPr>
    <w:rPr>
      <w:color w:val="404040"/>
      <w:sz w:val="20"/>
      <w:szCs w:val="20"/>
      <w:lang w:eastAsia="ru-RU"/>
    </w:rPr>
    <w:tblPr>
      <w:tblStyleRowBandSize w:val="1"/>
      <w:tblStyleColBandSize w:val="1"/>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935" w:customStyle="1">
    <w:name w:val="Bordered &amp; Lined - Accent 2"/>
    <w:basedOn w:val="797"/>
    <w:uiPriority w:val="99"/>
    <w:pPr>
      <w:spacing w:after="0" w:line="240" w:lineRule="auto"/>
    </w:pPr>
    <w:rPr>
      <w:color w:val="404040"/>
      <w:sz w:val="20"/>
      <w:szCs w:val="20"/>
      <w:lang w:eastAsia="ru-RU"/>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936" w:customStyle="1">
    <w:name w:val="Bordered &amp; Lined - Accent 3"/>
    <w:basedOn w:val="797"/>
    <w:uiPriority w:val="99"/>
    <w:pPr>
      <w:spacing w:after="0" w:line="240" w:lineRule="auto"/>
    </w:pPr>
    <w:rPr>
      <w:color w:val="404040"/>
      <w:sz w:val="20"/>
      <w:szCs w:val="20"/>
      <w:lang w:eastAsia="ru-RU"/>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937" w:customStyle="1">
    <w:name w:val="Bordered &amp; Lined - Accent 4"/>
    <w:basedOn w:val="797"/>
    <w:uiPriority w:val="99"/>
    <w:pPr>
      <w:spacing w:after="0" w:line="240" w:lineRule="auto"/>
    </w:pPr>
    <w:rPr>
      <w:color w:val="404040"/>
      <w:sz w:val="20"/>
      <w:szCs w:val="20"/>
      <w:lang w:eastAsia="ru-RU"/>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938" w:customStyle="1">
    <w:name w:val="Bordered &amp; Lined - Accent 5"/>
    <w:basedOn w:val="797"/>
    <w:uiPriority w:val="99"/>
    <w:pPr>
      <w:spacing w:after="0" w:line="240" w:lineRule="auto"/>
    </w:pPr>
    <w:rPr>
      <w:color w:val="404040"/>
      <w:sz w:val="20"/>
      <w:szCs w:val="20"/>
      <w:lang w:eastAsia="ru-RU"/>
    </w:rPr>
    <w:tblPr>
      <w:tblStyleRowBandSize w:val="1"/>
      <w:tblStyleColBandSize w:val="1"/>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939" w:customStyle="1">
    <w:name w:val="Bordered &amp; Lined - Accent 6"/>
    <w:basedOn w:val="797"/>
    <w:uiPriority w:val="99"/>
    <w:pPr>
      <w:spacing w:after="0" w:line="240" w:lineRule="auto"/>
    </w:pPr>
    <w:rPr>
      <w:color w:val="404040"/>
      <w:sz w:val="20"/>
      <w:szCs w:val="20"/>
      <w:lang w:eastAsia="ru-RU"/>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40" w:customStyle="1">
    <w:name w:val="Bordered"/>
    <w:basedOn w:val="797"/>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941" w:customStyle="1">
    <w:name w:val="Bordered - Accent 1"/>
    <w:basedOn w:val="797"/>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themeColor="accent1" w:sz="12" w:space="0"/>
        </w:tcBorders>
      </w:tcPr>
    </w:tblStylePr>
    <w:tblStylePr w:type="lastCol">
      <w:rPr>
        <w:rFonts w:ascii="Arial" w:hAnsi="Arial"/>
        <w:color w:val="404040"/>
        <w:sz w:val="22"/>
      </w:rPr>
      <w:tcPr>
        <w:tcBorders>
          <w:left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style>
  <w:style w:type="table" w:styleId="942" w:customStyle="1">
    <w:name w:val="Bordered - Accent 2"/>
    <w:basedOn w:val="797"/>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943" w:customStyle="1">
    <w:name w:val="Bordered - Accent 3"/>
    <w:basedOn w:val="797"/>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944" w:customStyle="1">
    <w:name w:val="Bordered - Accent 4"/>
    <w:basedOn w:val="797"/>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945" w:customStyle="1">
    <w:name w:val="Bordered - Accent 5"/>
    <w:basedOn w:val="797"/>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themeColor="accent5" w:themeTint="9A" w:sz="12" w:space="0"/>
        </w:tcBorders>
      </w:tcPr>
    </w:tblStylePr>
    <w:tblStylePr w:type="lastCol">
      <w:rPr>
        <w:rFonts w:ascii="Arial" w:hAnsi="Arial"/>
        <w:color w:val="404040"/>
        <w:sz w:val="22"/>
      </w:rPr>
      <w:tcPr>
        <w:tcBorders>
          <w:left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style>
  <w:style w:type="table" w:styleId="946" w:customStyle="1">
    <w:name w:val="Bordered - Accent 6"/>
    <w:basedOn w:val="797"/>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paragraph" w:styleId="947">
    <w:name w:val="footnote text"/>
    <w:basedOn w:val="786"/>
    <w:link w:val="948"/>
    <w:uiPriority w:val="99"/>
    <w:unhideWhenUsed/>
    <w:qFormat/>
    <w:pPr>
      <w:spacing w:after="40"/>
    </w:pPr>
    <w:rPr>
      <w:sz w:val="18"/>
    </w:rPr>
  </w:style>
  <w:style w:type="character" w:styleId="948" w:customStyle="1">
    <w:name w:val="Текст сноски Знак"/>
    <w:link w:val="947"/>
    <w:uiPriority w:val="99"/>
    <w:rPr>
      <w:sz w:val="18"/>
    </w:rPr>
  </w:style>
  <w:style w:type="character" w:styleId="949">
    <w:name w:val="footnote reference"/>
    <w:basedOn w:val="796"/>
    <w:uiPriority w:val="99"/>
    <w:unhideWhenUsed/>
    <w:qFormat/>
    <w:rPr>
      <w:vertAlign w:val="superscript"/>
    </w:rPr>
  </w:style>
  <w:style w:type="paragraph" w:styleId="950">
    <w:name w:val="endnote text"/>
    <w:basedOn w:val="786"/>
    <w:link w:val="951"/>
    <w:uiPriority w:val="99"/>
    <w:semiHidden/>
    <w:unhideWhenUsed/>
    <w:pPr>
      <w:spacing w:after="0"/>
    </w:pPr>
    <w:rPr>
      <w:sz w:val="20"/>
    </w:rPr>
  </w:style>
  <w:style w:type="character" w:styleId="951" w:customStyle="1">
    <w:name w:val="Текст концевой сноски Знак"/>
    <w:link w:val="950"/>
    <w:uiPriority w:val="99"/>
    <w:rPr>
      <w:sz w:val="20"/>
    </w:rPr>
  </w:style>
  <w:style w:type="character" w:styleId="952">
    <w:name w:val="endnote reference"/>
    <w:basedOn w:val="796"/>
    <w:uiPriority w:val="99"/>
    <w:semiHidden/>
    <w:unhideWhenUsed/>
    <w:rPr>
      <w:vertAlign w:val="superscript"/>
    </w:rPr>
  </w:style>
  <w:style w:type="paragraph" w:styleId="953">
    <w:name w:val="toc 1"/>
    <w:basedOn w:val="786"/>
    <w:next w:val="786"/>
    <w:uiPriority w:val="39"/>
    <w:unhideWhenUsed/>
    <w:pPr>
      <w:spacing w:after="57"/>
    </w:pPr>
  </w:style>
  <w:style w:type="paragraph" w:styleId="954">
    <w:name w:val="toc 2"/>
    <w:basedOn w:val="786"/>
    <w:next w:val="786"/>
    <w:uiPriority w:val="39"/>
    <w:unhideWhenUsed/>
    <w:pPr>
      <w:ind w:left="283"/>
      <w:spacing w:after="57"/>
    </w:pPr>
  </w:style>
  <w:style w:type="paragraph" w:styleId="955">
    <w:name w:val="toc 3"/>
    <w:basedOn w:val="786"/>
    <w:next w:val="786"/>
    <w:uiPriority w:val="39"/>
    <w:unhideWhenUsed/>
    <w:pPr>
      <w:ind w:left="567"/>
      <w:spacing w:after="57"/>
    </w:pPr>
  </w:style>
  <w:style w:type="paragraph" w:styleId="956">
    <w:name w:val="toc 4"/>
    <w:basedOn w:val="786"/>
    <w:next w:val="786"/>
    <w:uiPriority w:val="39"/>
    <w:unhideWhenUsed/>
    <w:pPr>
      <w:ind w:left="850"/>
      <w:spacing w:after="57"/>
    </w:pPr>
  </w:style>
  <w:style w:type="paragraph" w:styleId="957">
    <w:name w:val="toc 5"/>
    <w:basedOn w:val="786"/>
    <w:next w:val="786"/>
    <w:uiPriority w:val="39"/>
    <w:unhideWhenUsed/>
    <w:pPr>
      <w:ind w:left="1134"/>
      <w:spacing w:after="57"/>
    </w:pPr>
  </w:style>
  <w:style w:type="paragraph" w:styleId="958">
    <w:name w:val="toc 6"/>
    <w:basedOn w:val="786"/>
    <w:next w:val="786"/>
    <w:uiPriority w:val="39"/>
    <w:unhideWhenUsed/>
    <w:pPr>
      <w:ind w:left="1417"/>
      <w:spacing w:after="57"/>
    </w:pPr>
  </w:style>
  <w:style w:type="paragraph" w:styleId="959">
    <w:name w:val="toc 7"/>
    <w:basedOn w:val="786"/>
    <w:next w:val="786"/>
    <w:uiPriority w:val="39"/>
    <w:unhideWhenUsed/>
    <w:pPr>
      <w:ind w:left="1701"/>
      <w:spacing w:after="57"/>
    </w:pPr>
  </w:style>
  <w:style w:type="paragraph" w:styleId="960">
    <w:name w:val="toc 8"/>
    <w:basedOn w:val="786"/>
    <w:next w:val="786"/>
    <w:uiPriority w:val="39"/>
    <w:unhideWhenUsed/>
    <w:pPr>
      <w:ind w:left="1984"/>
      <w:spacing w:after="57"/>
    </w:pPr>
  </w:style>
  <w:style w:type="paragraph" w:styleId="961">
    <w:name w:val="toc 9"/>
    <w:basedOn w:val="786"/>
    <w:next w:val="786"/>
    <w:uiPriority w:val="39"/>
    <w:unhideWhenUsed/>
    <w:pPr>
      <w:ind w:left="2268"/>
      <w:spacing w:after="57"/>
    </w:pPr>
  </w:style>
  <w:style w:type="paragraph" w:styleId="962">
    <w:name w:val="TOC Heading"/>
    <w:uiPriority w:val="39"/>
    <w:unhideWhenUsed/>
  </w:style>
  <w:style w:type="paragraph" w:styleId="963">
    <w:name w:val="table of figures"/>
    <w:basedOn w:val="786"/>
    <w:next w:val="786"/>
    <w:uiPriority w:val="99"/>
    <w:unhideWhenUsed/>
    <w:pPr>
      <w:spacing w:after="0"/>
    </w:pPr>
  </w:style>
  <w:style w:type="character" w:styleId="964">
    <w:name w:val="Hyperlink"/>
    <w:uiPriority w:val="99"/>
    <w:rPr>
      <w:color w:val="0000ff"/>
      <w:u w:val="single"/>
    </w:rPr>
  </w:style>
  <w:style w:type="paragraph" w:styleId="965" w:customStyle="1">
    <w:name w:val="ConsPlusNormal"/>
    <w:link w:val="967"/>
    <w:qFormat/>
    <w:pPr>
      <w:ind w:firstLine="720"/>
      <w:spacing w:after="0" w:line="240" w:lineRule="auto"/>
      <w:widowControl w:val="off"/>
    </w:pPr>
    <w:rPr>
      <w:rFonts w:ascii="Arial" w:hAnsi="Arial" w:eastAsia="Times New Roman" w:cs="Arial"/>
      <w:sz w:val="20"/>
      <w:szCs w:val="20"/>
      <w:lang w:eastAsia="ru-RU"/>
    </w:rPr>
  </w:style>
  <w:style w:type="paragraph" w:styleId="966">
    <w:name w:val="List Paragraph"/>
    <w:basedOn w:val="786"/>
    <w:link w:val="968"/>
    <w:uiPriority w:val="1"/>
    <w:qFormat/>
    <w:pPr>
      <w:contextualSpacing/>
      <w:ind w:left="720"/>
    </w:pPr>
  </w:style>
  <w:style w:type="character" w:styleId="967" w:customStyle="1">
    <w:name w:val="ConsPlusNormal Знак"/>
    <w:link w:val="965"/>
    <w:rPr>
      <w:rFonts w:ascii="Arial" w:hAnsi="Arial" w:eastAsia="Times New Roman" w:cs="Arial"/>
      <w:sz w:val="20"/>
      <w:szCs w:val="20"/>
      <w:lang w:eastAsia="ru-RU"/>
    </w:rPr>
  </w:style>
  <w:style w:type="character" w:styleId="968" w:customStyle="1">
    <w:name w:val="Абзац списка Знак"/>
    <w:link w:val="966"/>
    <w:uiPriority w:val="1"/>
    <w:qFormat/>
    <w:rPr>
      <w:rFonts w:ascii="Times New Roman" w:hAnsi="Times New Roman" w:eastAsia="Times New Roman" w:cs="Times New Roman"/>
      <w:sz w:val="24"/>
      <w:szCs w:val="24"/>
      <w:lang w:eastAsia="ru-RU"/>
    </w:rPr>
  </w:style>
  <w:style w:type="paragraph" w:styleId="969" w:customStyle="1">
    <w:name w:val="Обычный + по ширине"/>
    <w:basedOn w:val="786"/>
    <w:qFormat/>
    <w:pPr>
      <w:spacing w:after="0"/>
    </w:pPr>
  </w:style>
  <w:style w:type="paragraph" w:styleId="970" w:customStyle="1">
    <w:name w:val="Обычный.Нормальный абзац"/>
    <w:pPr>
      <w:ind w:firstLine="709"/>
      <w:jc w:val="both"/>
      <w:spacing w:after="0" w:line="240" w:lineRule="auto"/>
      <w:widowControl w:val="off"/>
    </w:pPr>
    <w:rPr>
      <w:rFonts w:ascii="Times New Roman" w:hAnsi="Times New Roman" w:eastAsia="Times New Roman" w:cs="Times New Roman"/>
      <w:sz w:val="24"/>
      <w:szCs w:val="24"/>
      <w:lang w:eastAsia="ru-RU"/>
    </w:rPr>
  </w:style>
  <w:style w:type="paragraph" w:styleId="971">
    <w:name w:val="Header"/>
    <w:basedOn w:val="786"/>
    <w:link w:val="972"/>
    <w:uiPriority w:val="99"/>
    <w:unhideWhenUsed/>
    <w:pPr>
      <w:spacing w:after="0"/>
      <w:tabs>
        <w:tab w:val="center" w:pos="4677" w:leader="none"/>
        <w:tab w:val="right" w:pos="9355" w:leader="none"/>
      </w:tabs>
    </w:pPr>
  </w:style>
  <w:style w:type="character" w:styleId="972" w:customStyle="1">
    <w:name w:val="Верхний колонтитул Знак"/>
    <w:basedOn w:val="796"/>
    <w:link w:val="971"/>
    <w:uiPriority w:val="99"/>
    <w:rPr>
      <w:rFonts w:ascii="Times New Roman" w:hAnsi="Times New Roman" w:eastAsia="Times New Roman" w:cs="Times New Roman"/>
      <w:sz w:val="24"/>
      <w:szCs w:val="24"/>
      <w:lang w:eastAsia="ru-RU"/>
    </w:rPr>
  </w:style>
  <w:style w:type="paragraph" w:styleId="973">
    <w:name w:val="Footer"/>
    <w:basedOn w:val="786"/>
    <w:link w:val="974"/>
    <w:uiPriority w:val="99"/>
    <w:unhideWhenUsed/>
    <w:pPr>
      <w:spacing w:after="0"/>
      <w:tabs>
        <w:tab w:val="center" w:pos="4677" w:leader="none"/>
        <w:tab w:val="right" w:pos="9355" w:leader="none"/>
      </w:tabs>
    </w:pPr>
  </w:style>
  <w:style w:type="character" w:styleId="974" w:customStyle="1">
    <w:name w:val="Нижний колонтитул Знак"/>
    <w:basedOn w:val="796"/>
    <w:link w:val="973"/>
    <w:uiPriority w:val="99"/>
    <w:rPr>
      <w:rFonts w:ascii="Times New Roman" w:hAnsi="Times New Roman" w:eastAsia="Times New Roman" w:cs="Times New Roman"/>
      <w:sz w:val="24"/>
      <w:szCs w:val="24"/>
      <w:lang w:eastAsia="ru-RU"/>
    </w:rPr>
  </w:style>
  <w:style w:type="paragraph" w:styleId="975">
    <w:name w:val="Balloon Text"/>
    <w:basedOn w:val="786"/>
    <w:link w:val="976"/>
    <w:uiPriority w:val="99"/>
    <w:semiHidden/>
    <w:unhideWhenUsed/>
    <w:pPr>
      <w:spacing w:after="0"/>
    </w:pPr>
    <w:rPr>
      <w:rFonts w:ascii="Segoe UI" w:hAnsi="Segoe UI" w:cs="Segoe UI"/>
      <w:sz w:val="18"/>
      <w:szCs w:val="18"/>
    </w:rPr>
  </w:style>
  <w:style w:type="character" w:styleId="976" w:customStyle="1">
    <w:name w:val="Текст выноски Знак"/>
    <w:basedOn w:val="796"/>
    <w:link w:val="975"/>
    <w:uiPriority w:val="99"/>
    <w:semiHidden/>
    <w:rPr>
      <w:rFonts w:ascii="Segoe UI" w:hAnsi="Segoe UI" w:eastAsia="Times New Roman" w:cs="Segoe UI"/>
      <w:sz w:val="18"/>
      <w:szCs w:val="18"/>
      <w:lang w:eastAsia="ru-RU"/>
    </w:rPr>
  </w:style>
  <w:style w:type="paragraph" w:styleId="977" w:customStyle="1">
    <w:name w:val="Основной текст формы"/>
    <w:qFormat/>
    <w:pPr>
      <w:jc w:val="both"/>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ahoma" w:hAnsi="Tahoma" w:eastAsia="Times New Roman" w:cs="Times New Roman"/>
      <w:sz w:val="20"/>
    </w:rPr>
  </w:style>
  <w:style w:type="character" w:styleId="978" w:customStyle="1">
    <w:name w:val="Строгий1"/>
    <w:uiPriority w:val="22"/>
    <w:qFormat/>
    <w:rPr>
      <w:rFonts w:cs="Times New Roman"/>
      <w:b/>
      <w:bCs/>
    </w:rPr>
  </w:style>
  <w:style w:type="character" w:styleId="979" w:customStyle="1">
    <w:name w:val="Текст сноски Знак2"/>
    <w:uiPriority w:val="99"/>
    <w:rPr>
      <w:sz w:val="18"/>
    </w:rPr>
  </w:style>
  <w:style w:type="character" w:styleId="980" w:customStyle="1">
    <w:name w:val="Strong"/>
    <w:uiPriority w:val="22"/>
    <w:qFormat/>
    <w:rPr>
      <w:rFonts w:cs="Times New Roman"/>
      <w:b/>
      <w:b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hyperlink" Target="https://login.consultant.ru/link/?req=doc&amp;base=LAW&amp;n=413154&amp;dst=1123&amp;field=134&amp;date=17.02.2023" TargetMode="External"/><Relationship Id="rId11" Type="http://schemas.openxmlformats.org/officeDocument/2006/relationships/hyperlink" Target="https://login.consultant.ru/link/?req=doc&amp;base=LAW&amp;n=413154&amp;dst=1104&amp;field=134&amp;date=17.02.2023" TargetMode="External"/><Relationship Id="rId12" Type="http://schemas.openxmlformats.org/officeDocument/2006/relationships/hyperlink" Target="http://www.consultant.ru/cons/cgi/online.cgi?req=doc&amp;base=LAW&amp;n=209092&amp;rnd=242442.26397135&amp;dst=101897&amp;fld=134" TargetMode="External"/><Relationship Id="rId13" Type="http://schemas.openxmlformats.org/officeDocument/2006/relationships/hyperlink" Target="http://www.consultant.ru/cons/cgi/online.cgi?req=doc&amp;base=LAW&amp;n=209092&amp;rnd=242442.209701084&amp;dst=2054&amp;fld=134" TargetMode="External"/><Relationship Id="rId14" Type="http://schemas.openxmlformats.org/officeDocument/2006/relationships/hyperlink" Target="http://www.consultant.ru/cons/cgi/online.cgi?req=doc&amp;base=LAW&amp;n=209092&amp;rnd=242442.1844729362&amp;dst=2072&amp;fld=134" TargetMode="External"/><Relationship Id="rId15" Type="http://schemas.openxmlformats.org/officeDocument/2006/relationships/hyperlink" Target="http://www.consultant.ru/cons/cgi/online.cgi?req=doc&amp;base=LAW&amp;n=209092&amp;rnd=242442.1852124906&amp;dst=2086&amp;fld=134"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Р7-Офис/2025.3.1.923</Application>
  <Company>SPecialiST RePack</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chalovamv</dc:creator>
  <cp:keywords/>
  <dc:description/>
  <cp:lastModifiedBy>p.mukhin</cp:lastModifiedBy>
  <cp:revision>6</cp:revision>
  <dcterms:created xsi:type="dcterms:W3CDTF">2025-09-05T09:29:00Z</dcterms:created>
  <dcterms:modified xsi:type="dcterms:W3CDTF">2026-07-23T08:04:21Z</dcterms:modified>
</cp:coreProperties>
</file>