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b/>
        </w:rPr>
      </w:pPr>
      <w:r>
        <w:rPr>
          <w:b/>
        </w:rPr>
        <w:t xml:space="preserve">ТЕХНИЧЕСКОЕ ЗАДАНИЕ</w:t>
      </w:r>
      <w:r>
        <w:rPr>
          <w:b/>
        </w:rPr>
      </w:r>
    </w:p>
    <w:p>
      <w:pPr>
        <w:jc w:val="center"/>
        <w:spacing w:after="0"/>
        <w:rPr>
          <w:b/>
        </w:rPr>
      </w:pPr>
      <w:r>
        <w:rPr>
          <w:b/>
        </w:rPr>
        <w:t xml:space="preserve">на оказание услуг по передаче сертификата на адаптацию и сопровождение </w:t>
      </w:r>
      <w:r>
        <w:rPr>
          <w:b/>
          <w:bCs/>
        </w:rPr>
        <w:t xml:space="preserve">экземпляров Систем </w:t>
      </w:r>
      <w:r>
        <w:rPr>
          <w:b/>
          <w:bCs/>
        </w:rPr>
        <w:t xml:space="preserve">КонсультантПлюс</w:t>
      </w:r>
      <w:r>
        <w:rPr>
          <w:b/>
        </w:rPr>
        <w:t xml:space="preserve"> </w:t>
      </w:r>
      <w:r>
        <w:rPr>
          <w:b/>
        </w:rPr>
      </w:r>
    </w:p>
    <w:p>
      <w:pPr>
        <w:jc w:val="center"/>
        <w:spacing w:after="0"/>
        <w:rPr>
          <w:b/>
        </w:rPr>
      </w:pPr>
      <w:r>
        <w:rPr>
          <w:b/>
        </w:rPr>
      </w:r>
      <w:r>
        <w:rPr>
          <w:b/>
        </w:rPr>
      </w:r>
    </w:p>
    <w:p>
      <w:pPr>
        <w:numPr>
          <w:ilvl w:val="0"/>
          <w:numId w:val="10"/>
        </w:numPr>
        <w:spacing w:after="0"/>
        <w:rPr>
          <w:b/>
        </w:rPr>
      </w:pPr>
      <w:r>
        <w:rPr>
          <w:b/>
        </w:rPr>
        <w:t xml:space="preserve">Общие положения:</w:t>
      </w:r>
      <w:r>
        <w:rPr>
          <w:b/>
        </w:rPr>
      </w:r>
    </w:p>
    <w:p>
      <w:pPr>
        <w:numPr>
          <w:ilvl w:val="1"/>
          <w:numId w:val="10"/>
        </w:numPr>
        <w:ind w:left="0" w:firstLine="709"/>
        <w:spacing w:after="0"/>
      </w:pPr>
      <w:r>
        <w:t xml:space="preserve">Наименование объекта закупки: </w:t>
      </w:r>
      <w:r>
        <w:t xml:space="preserve">оказание услуг по передаче сертификата на адаптацию и сопровождение </w:t>
      </w:r>
      <w:r>
        <w:rPr>
          <w:bCs/>
        </w:rPr>
        <w:t xml:space="preserve">экземпляров Систем </w:t>
      </w:r>
      <w:r>
        <w:rPr>
          <w:bCs/>
        </w:rPr>
        <w:t xml:space="preserve">КонсультантПлюс</w:t>
      </w:r>
      <w:r>
        <w:rPr>
          <w:bCs/>
        </w:rPr>
        <w:t xml:space="preserve"> и </w:t>
      </w:r>
      <w:r>
        <w:t xml:space="preserve">проведение </w:t>
      </w:r>
      <w:r>
        <w:t xml:space="preserve">адаптаци</w:t>
      </w:r>
      <w:r>
        <w:t xml:space="preserve">и</w:t>
      </w:r>
      <w:r>
        <w:t xml:space="preserve"> и сопровождени</w:t>
      </w:r>
      <w:r>
        <w:t xml:space="preserve">я</w:t>
      </w:r>
      <w:r>
        <w:t xml:space="preserve"> экземпляров Систем </w:t>
      </w:r>
      <w:r>
        <w:t xml:space="preserve">КонсультантПлюс</w:t>
      </w:r>
      <w:r>
        <w:t xml:space="preserve"> в период действия переданного сертификата</w:t>
      </w:r>
      <w:r>
        <w:t xml:space="preserve">.</w:t>
      </w:r>
      <w:r/>
    </w:p>
    <w:p>
      <w:pPr>
        <w:numPr>
          <w:ilvl w:val="1"/>
          <w:numId w:val="10"/>
        </w:numPr>
        <w:ind w:left="0" w:firstLine="709"/>
        <w:spacing w:after="0"/>
      </w:pPr>
      <w:r>
        <w:rPr>
          <w:highlight w:val="white"/>
        </w:rPr>
        <w:t xml:space="preserve">ОКПД2: 62.02.30.000 - Услуги по технической поддержке информационных технологий.</w:t>
      </w:r>
      <w:r/>
    </w:p>
    <w:p>
      <w:pPr>
        <w:numPr>
          <w:ilvl w:val="1"/>
          <w:numId w:val="10"/>
        </w:numPr>
        <w:ind w:left="0" w:firstLine="709"/>
        <w:spacing w:after="0"/>
        <w:rPr>
          <w:b/>
        </w:rPr>
      </w:pPr>
      <w:r>
        <w:t xml:space="preserve"> Место оказания Услуг:</w:t>
      </w:r>
      <w:r>
        <w:rPr>
          <w:b/>
        </w:rPr>
        <w:t xml:space="preserve"> </w:t>
      </w:r>
      <w:r>
        <w:rPr>
          <w:color w:val="000000" w:themeColor="text1"/>
          <w:highlight w:val="white"/>
        </w:rPr>
        <w:t xml:space="preserve">105082, г. Москва, ул. Большая Почтовая, д. 26</w:t>
      </w:r>
      <w:r>
        <w:rPr>
          <w:color w:val="000000" w:themeColor="text1"/>
        </w:rPr>
        <w:t xml:space="preserve">, стр. 1</w:t>
      </w:r>
      <w:r>
        <w:t xml:space="preserve">.</w:t>
      </w:r>
      <w:r>
        <w:rPr>
          <w:b/>
        </w:rPr>
      </w:r>
    </w:p>
    <w:p>
      <w:pPr>
        <w:numPr>
          <w:ilvl w:val="1"/>
          <w:numId w:val="10"/>
        </w:numPr>
        <w:ind w:left="0" w:firstLine="709"/>
        <w:spacing w:after="0"/>
      </w:pPr>
      <w:r>
        <w:t xml:space="preserve">Срок оказания услуг: </w:t>
      </w:r>
      <w:r>
        <w:t xml:space="preserve">в течение </w:t>
      </w:r>
      <w:r>
        <w:t xml:space="preserve">20</w:t>
      </w:r>
      <w:r>
        <w:t xml:space="preserve"> (</w:t>
      </w:r>
      <w:r>
        <w:t xml:space="preserve">двадцати</w:t>
      </w:r>
      <w:r>
        <w:t xml:space="preserve">) рабочих дней с даты заключения Контракта Исполнитель передает Заказчику сертификат на адаптацию и сопровождение </w:t>
      </w:r>
      <w:r>
        <w:t xml:space="preserve">экземпляров Систем </w:t>
      </w:r>
      <w:r>
        <w:t xml:space="preserve">КонсультантПлюс</w:t>
      </w:r>
      <w:r>
        <w:t xml:space="preserve"> </w:t>
      </w:r>
      <w:r>
        <w:t xml:space="preserve">на 12 месяцев (с </w:t>
      </w:r>
      <w:r>
        <w:t xml:space="preserve">01</w:t>
      </w:r>
      <w:r>
        <w:t xml:space="preserve">.</w:t>
      </w:r>
      <w:r>
        <w:t xml:space="preserve">10</w:t>
      </w:r>
      <w:r>
        <w:t xml:space="preserve">.202</w:t>
      </w:r>
      <w:r>
        <w:t xml:space="preserve">6</w:t>
      </w:r>
      <w:r>
        <w:t xml:space="preserve"> по </w:t>
      </w:r>
      <w:r>
        <w:t xml:space="preserve">30</w:t>
      </w:r>
      <w:r>
        <w:t xml:space="preserve">.</w:t>
      </w:r>
      <w:r>
        <w:t xml:space="preserve">09</w:t>
      </w:r>
      <w:r>
        <w:t xml:space="preserve">.202</w:t>
      </w:r>
      <w:r>
        <w:t xml:space="preserve">7</w:t>
      </w:r>
      <w:r>
        <w:t xml:space="preserve"> (включительно</w:t>
      </w:r>
      <w:r>
        <w:t xml:space="preserve">)</w:t>
      </w:r>
      <w:r>
        <w:t xml:space="preserve">)</w:t>
      </w:r>
      <w:r>
        <w:t xml:space="preserve">.</w:t>
      </w:r>
      <w:r/>
    </w:p>
    <w:p>
      <w:pPr>
        <w:numPr>
          <w:ilvl w:val="1"/>
          <w:numId w:val="10"/>
        </w:numPr>
        <w:ind w:left="0" w:firstLine="709"/>
        <w:spacing w:after="0"/>
      </w:pPr>
      <w:r>
        <w:t xml:space="preserve">Перечень предоставляемых экземпляров Систем </w:t>
      </w:r>
      <w:r>
        <w:t xml:space="preserve">КонсультантПлюс</w:t>
      </w:r>
      <w:r>
        <w:t xml:space="preserve">:</w:t>
      </w:r>
      <w:r/>
    </w:p>
    <w:tbl>
      <w:tblPr>
        <w:tblW w:w="1024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3"/>
        <w:gridCol w:w="6070"/>
        <w:gridCol w:w="2693"/>
        <w:gridCol w:w="900"/>
      </w:tblGrid>
      <w:tr>
        <w:tblPrEx/>
        <w:trPr>
          <w:cantSplit/>
          <w:trHeight w:val="270"/>
        </w:trPr>
        <w:tc>
          <w:tcPr>
            <w:tcW w:w="58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№</w:t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spacing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п/п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6070" w:type="dxa"/>
            <w:vAlign w:val="center"/>
            <w:textDirection w:val="lrTb"/>
            <w:noWrap/>
          </w:tcPr>
          <w:p>
            <w:pPr>
              <w:ind w:left="127"/>
              <w:jc w:val="center"/>
              <w:spacing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Наименование Системы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ind w:left="127"/>
              <w:jc w:val="center"/>
              <w:spacing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Версия / число одновременных доступов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900" w:type="dxa"/>
            <w:vAlign w:val="center"/>
            <w:textDirection w:val="lrTb"/>
            <w:noWrap w:val="false"/>
          </w:tcPr>
          <w:p>
            <w:pPr>
              <w:ind w:left="127"/>
              <w:jc w:val="center"/>
              <w:spacing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Кол, экз.</w:t>
            </w:r>
            <w:r>
              <w:rPr>
                <w:bCs/>
                <w:sz w:val="20"/>
                <w:szCs w:val="20"/>
              </w:rPr>
            </w:r>
          </w:p>
        </w:tc>
      </w:tr>
      <w:tr>
        <w:tblPrEx/>
        <w:trPr>
          <w:cantSplit/>
          <w:trHeight w:val="255"/>
        </w:trPr>
        <w:tc>
          <w:tcPr>
            <w:tcW w:w="58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1</w:t>
            </w:r>
            <w:r>
              <w:rPr>
                <w:rFonts w:eastAsia="Arial Unicode MS"/>
                <w:bCs/>
                <w:sz w:val="20"/>
                <w:szCs w:val="20"/>
              </w:rPr>
            </w:r>
          </w:p>
        </w:tc>
        <w:tc>
          <w:tcPr>
            <w:tcW w:w="6070" w:type="dxa"/>
            <w:vAlign w:val="center"/>
            <w:textDirection w:val="lrTb"/>
            <w:noWrap/>
          </w:tcPr>
          <w:p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 </w:t>
            </w:r>
            <w:r>
              <w:rPr>
                <w:sz w:val="20"/>
                <w:szCs w:val="20"/>
              </w:rPr>
              <w:t xml:space="preserve">КонсультантПлюс</w:t>
            </w:r>
            <w:r>
              <w:rPr>
                <w:sz w:val="20"/>
                <w:szCs w:val="20"/>
              </w:rPr>
              <w:t xml:space="preserve">: Консультации для бюджетных организаций</w:t>
            </w:r>
            <w:r>
              <w:rPr>
                <w:sz w:val="20"/>
                <w:szCs w:val="20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eastAsia="Arial Unicode MS"/>
                <w:bCs/>
                <w:sz w:val="20"/>
                <w:szCs w:val="20"/>
                <w:lang w:val="en-US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ОВМ/10</w:t>
            </w:r>
            <w:r>
              <w:rPr>
                <w:rFonts w:eastAsia="Arial Unicode MS"/>
                <w:bCs/>
                <w:sz w:val="20"/>
                <w:szCs w:val="20"/>
                <w:lang w:val="en-US"/>
              </w:rPr>
            </w:r>
          </w:p>
        </w:tc>
        <w:tc>
          <w:tcPr>
            <w:tcW w:w="90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1</w:t>
            </w:r>
            <w:r>
              <w:rPr>
                <w:rFonts w:eastAsia="Arial Unicode MS"/>
                <w:bCs/>
                <w:sz w:val="20"/>
                <w:szCs w:val="20"/>
              </w:rPr>
            </w:r>
          </w:p>
        </w:tc>
      </w:tr>
      <w:tr>
        <w:tblPrEx/>
        <w:trPr>
          <w:cantSplit/>
          <w:trHeight w:val="255"/>
        </w:trPr>
        <w:tc>
          <w:tcPr>
            <w:tcW w:w="58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2</w:t>
            </w:r>
            <w:r>
              <w:rPr>
                <w:rFonts w:eastAsia="Arial Unicode MS"/>
                <w:bCs/>
                <w:sz w:val="20"/>
                <w:szCs w:val="20"/>
              </w:rPr>
            </w:r>
          </w:p>
        </w:tc>
        <w:tc>
          <w:tcPr>
            <w:tcW w:w="6070" w:type="dxa"/>
            <w:vAlign w:val="center"/>
            <w:textDirection w:val="lrTb"/>
            <w:noWrap/>
          </w:tcPr>
          <w:p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 </w:t>
            </w:r>
            <w:r>
              <w:rPr>
                <w:sz w:val="20"/>
                <w:szCs w:val="20"/>
              </w:rPr>
              <w:t xml:space="preserve">КонсультантАрбитраж</w:t>
            </w:r>
            <w:r>
              <w:rPr>
                <w:sz w:val="20"/>
                <w:szCs w:val="20"/>
              </w:rPr>
              <w:t xml:space="preserve">: Арбитражные суды всех округов</w:t>
            </w:r>
            <w:r>
              <w:rPr>
                <w:sz w:val="20"/>
                <w:szCs w:val="20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eastAsia="Arial Unicode MS"/>
                <w:bCs/>
                <w:sz w:val="20"/>
                <w:szCs w:val="20"/>
                <w:lang w:val="en-US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ОВМ/10</w:t>
            </w:r>
            <w:r>
              <w:rPr>
                <w:rFonts w:eastAsia="Arial Unicode MS"/>
                <w:bCs/>
                <w:sz w:val="20"/>
                <w:szCs w:val="20"/>
                <w:lang w:val="en-US"/>
              </w:rPr>
            </w:r>
          </w:p>
        </w:tc>
        <w:tc>
          <w:tcPr>
            <w:tcW w:w="90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1</w:t>
            </w:r>
            <w:r>
              <w:rPr>
                <w:rFonts w:eastAsia="Arial Unicode MS"/>
                <w:bCs/>
                <w:sz w:val="20"/>
                <w:szCs w:val="20"/>
              </w:rPr>
            </w:r>
          </w:p>
        </w:tc>
      </w:tr>
      <w:tr>
        <w:tblPrEx/>
        <w:trPr>
          <w:cantSplit/>
          <w:trHeight w:val="255"/>
        </w:trPr>
        <w:tc>
          <w:tcPr>
            <w:tcW w:w="58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3</w:t>
            </w:r>
            <w:r>
              <w:rPr>
                <w:rFonts w:eastAsia="Arial Unicode MS"/>
                <w:bCs/>
                <w:sz w:val="20"/>
                <w:szCs w:val="20"/>
              </w:rPr>
            </w:r>
          </w:p>
        </w:tc>
        <w:tc>
          <w:tcPr>
            <w:tcW w:w="6070" w:type="dxa"/>
            <w:vAlign w:val="center"/>
            <w:textDirection w:val="lrTb"/>
            <w:noWrap/>
          </w:tcPr>
          <w:p>
            <w:pPr>
              <w:spacing w:after="0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СПС </w:t>
            </w:r>
            <w:r>
              <w:rPr>
                <w:sz w:val="20"/>
                <w:szCs w:val="20"/>
              </w:rPr>
              <w:t xml:space="preserve">КонсультантПлюс</w:t>
            </w:r>
            <w:r>
              <w:rPr>
                <w:sz w:val="20"/>
                <w:szCs w:val="20"/>
              </w:rPr>
              <w:t xml:space="preserve">: Московский выпуск</w:t>
            </w:r>
            <w:r>
              <w:rPr>
                <w:rFonts w:eastAsia="Arial Unicode MS"/>
                <w:bCs/>
                <w:sz w:val="20"/>
                <w:szCs w:val="20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ОВМ/10</w:t>
            </w:r>
            <w:r>
              <w:rPr>
                <w:rFonts w:eastAsia="Arial Unicode MS"/>
                <w:bCs/>
                <w:sz w:val="20"/>
                <w:szCs w:val="20"/>
              </w:rPr>
            </w:r>
          </w:p>
        </w:tc>
        <w:tc>
          <w:tcPr>
            <w:tcW w:w="90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1</w:t>
            </w:r>
            <w:r>
              <w:rPr>
                <w:rFonts w:eastAsia="Arial Unicode MS"/>
                <w:bCs/>
                <w:sz w:val="20"/>
                <w:szCs w:val="20"/>
              </w:rPr>
            </w:r>
          </w:p>
        </w:tc>
      </w:tr>
      <w:tr>
        <w:tblPrEx/>
        <w:trPr>
          <w:cantSplit/>
          <w:trHeight w:val="255"/>
        </w:trPr>
        <w:tc>
          <w:tcPr>
            <w:tcW w:w="58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4</w:t>
            </w:r>
            <w:r>
              <w:rPr>
                <w:rFonts w:eastAsia="Arial Unicode MS"/>
                <w:bCs/>
                <w:sz w:val="20"/>
                <w:szCs w:val="20"/>
              </w:rPr>
            </w:r>
          </w:p>
        </w:tc>
        <w:tc>
          <w:tcPr>
            <w:tcW w:w="6070" w:type="dxa"/>
            <w:vAlign w:val="center"/>
            <w:textDirection w:val="lrTb"/>
            <w:noWrap/>
          </w:tcPr>
          <w:p>
            <w:pPr>
              <w:spacing w:after="0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СПС Консультант Юрист: Версия </w:t>
            </w:r>
            <w:r>
              <w:rPr>
                <w:sz w:val="20"/>
                <w:szCs w:val="20"/>
              </w:rPr>
              <w:t xml:space="preserve">Проф</w:t>
            </w:r>
            <w:r>
              <w:rPr>
                <w:rFonts w:eastAsia="Arial Unicode MS"/>
                <w:bCs/>
                <w:sz w:val="20"/>
                <w:szCs w:val="20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eastAsia="Arial Unicode MS"/>
                <w:bCs/>
                <w:sz w:val="20"/>
                <w:szCs w:val="20"/>
                <w:lang w:val="en-US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ОВМ/10</w:t>
            </w:r>
            <w:r>
              <w:rPr>
                <w:rFonts w:eastAsia="Arial Unicode MS"/>
                <w:bCs/>
                <w:sz w:val="20"/>
                <w:szCs w:val="20"/>
                <w:lang w:val="en-US"/>
              </w:rPr>
            </w:r>
          </w:p>
        </w:tc>
        <w:tc>
          <w:tcPr>
            <w:tcW w:w="90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1</w:t>
            </w:r>
            <w:r>
              <w:rPr>
                <w:rFonts w:eastAsia="Arial Unicode MS"/>
                <w:bCs/>
                <w:sz w:val="20"/>
                <w:szCs w:val="20"/>
              </w:rPr>
            </w:r>
          </w:p>
        </w:tc>
      </w:tr>
      <w:tr>
        <w:tblPrEx/>
        <w:trPr>
          <w:cantSplit/>
          <w:trHeight w:val="255"/>
        </w:trPr>
        <w:tc>
          <w:tcPr>
            <w:tcW w:w="58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5</w:t>
            </w:r>
            <w:r>
              <w:rPr>
                <w:rFonts w:eastAsia="Arial Unicode MS"/>
                <w:bCs/>
                <w:sz w:val="20"/>
                <w:szCs w:val="20"/>
              </w:rPr>
            </w:r>
          </w:p>
        </w:tc>
        <w:tc>
          <w:tcPr>
            <w:tcW w:w="6070" w:type="dxa"/>
            <w:vAlign w:val="center"/>
            <w:textDirection w:val="lrTb"/>
            <w:noWrap/>
          </w:tcPr>
          <w:p>
            <w:pPr>
              <w:spacing w:after="0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 </w:t>
            </w:r>
            <w:r>
              <w:rPr>
                <w:sz w:val="20"/>
                <w:szCs w:val="20"/>
              </w:rPr>
              <w:t xml:space="preserve">КонсультантАрбитраж</w:t>
            </w:r>
            <w:r>
              <w:rPr>
                <w:sz w:val="20"/>
                <w:szCs w:val="20"/>
              </w:rPr>
              <w:t xml:space="preserve">: Все апелляционные суды</w:t>
            </w:r>
            <w:r>
              <w:rPr>
                <w:rFonts w:eastAsia="Arial Unicode MS"/>
                <w:bCs/>
                <w:sz w:val="20"/>
                <w:szCs w:val="20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eastAsia="Arial Unicode MS"/>
                <w:bCs/>
                <w:sz w:val="20"/>
                <w:szCs w:val="20"/>
                <w:lang w:val="en-US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ОВМ/10</w:t>
            </w:r>
            <w:r>
              <w:rPr>
                <w:rFonts w:eastAsia="Arial Unicode MS"/>
                <w:bCs/>
                <w:sz w:val="20"/>
                <w:szCs w:val="20"/>
                <w:lang w:val="en-US"/>
              </w:rPr>
            </w:r>
          </w:p>
        </w:tc>
        <w:tc>
          <w:tcPr>
            <w:tcW w:w="90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1</w:t>
            </w:r>
            <w:r>
              <w:rPr>
                <w:rFonts w:eastAsia="Arial Unicode MS"/>
                <w:bCs/>
                <w:sz w:val="20"/>
                <w:szCs w:val="20"/>
              </w:rPr>
            </w:r>
          </w:p>
        </w:tc>
      </w:tr>
      <w:tr>
        <w:tblPrEx/>
        <w:trPr>
          <w:cantSplit/>
          <w:trHeight w:val="255"/>
        </w:trPr>
        <w:tc>
          <w:tcPr>
            <w:tcW w:w="58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6</w:t>
            </w:r>
            <w:r>
              <w:rPr>
                <w:rFonts w:eastAsia="Arial Unicode MS"/>
                <w:bCs/>
                <w:sz w:val="20"/>
                <w:szCs w:val="20"/>
              </w:rPr>
            </w:r>
          </w:p>
        </w:tc>
        <w:tc>
          <w:tcPr>
            <w:tcW w:w="6070" w:type="dxa"/>
            <w:vAlign w:val="center"/>
            <w:textDirection w:val="lrTb"/>
            <w:noWrap/>
          </w:tcPr>
          <w:p>
            <w:pPr>
              <w:spacing w:after="0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 </w:t>
            </w:r>
            <w:r>
              <w:rPr>
                <w:sz w:val="20"/>
                <w:szCs w:val="20"/>
              </w:rPr>
              <w:t xml:space="preserve">КонсультантПлюс</w:t>
            </w:r>
            <w:r>
              <w:rPr>
                <w:sz w:val="20"/>
                <w:szCs w:val="20"/>
              </w:rPr>
              <w:t xml:space="preserve">: Технические нормы</w:t>
            </w:r>
            <w:r>
              <w:rPr>
                <w:rFonts w:eastAsia="Arial Unicode MS"/>
                <w:bCs/>
                <w:sz w:val="20"/>
                <w:szCs w:val="20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eastAsia="Arial Unicode MS"/>
                <w:bCs/>
                <w:sz w:val="20"/>
                <w:szCs w:val="20"/>
                <w:lang w:val="en-US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ОВМ/10</w:t>
            </w:r>
            <w:r>
              <w:rPr>
                <w:rFonts w:eastAsia="Arial Unicode MS"/>
                <w:bCs/>
                <w:sz w:val="20"/>
                <w:szCs w:val="20"/>
                <w:lang w:val="en-US"/>
              </w:rPr>
            </w:r>
          </w:p>
        </w:tc>
        <w:tc>
          <w:tcPr>
            <w:tcW w:w="90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1</w:t>
            </w:r>
            <w:r>
              <w:rPr>
                <w:rFonts w:eastAsia="Arial Unicode MS"/>
                <w:bCs/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tcW w:w="58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7</w:t>
            </w:r>
            <w:r>
              <w:rPr>
                <w:rFonts w:eastAsia="Arial Unicode MS"/>
                <w:bCs/>
                <w:sz w:val="20"/>
                <w:szCs w:val="20"/>
              </w:rPr>
            </w:r>
          </w:p>
        </w:tc>
        <w:tc>
          <w:tcPr>
            <w:tcW w:w="6070" w:type="dxa"/>
            <w:vAlign w:val="center"/>
            <w:textDirection w:val="lrTb"/>
            <w:noWrap/>
          </w:tcPr>
          <w:p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 Изменения в регулировании </w:t>
            </w:r>
            <w:r>
              <w:rPr>
                <w:sz w:val="20"/>
                <w:szCs w:val="20"/>
              </w:rPr>
              <w:t xml:space="preserve">госзакупок</w:t>
            </w:r>
            <w:r>
              <w:rPr>
                <w:sz w:val="20"/>
                <w:szCs w:val="20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eastAsia="Arial Unicode MS"/>
                <w:bCs/>
                <w:sz w:val="20"/>
                <w:szCs w:val="20"/>
                <w:lang w:val="en-US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ОВМ/10</w:t>
            </w:r>
            <w:r>
              <w:rPr>
                <w:rFonts w:eastAsia="Arial Unicode MS"/>
                <w:bCs/>
                <w:sz w:val="20"/>
                <w:szCs w:val="20"/>
                <w:lang w:val="en-US"/>
              </w:rPr>
            </w:r>
          </w:p>
        </w:tc>
        <w:tc>
          <w:tcPr>
            <w:tcW w:w="90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1</w:t>
            </w:r>
            <w:r>
              <w:rPr>
                <w:rFonts w:eastAsia="Arial Unicode MS"/>
                <w:bCs/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tcW w:w="58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8</w:t>
            </w:r>
            <w:r>
              <w:rPr>
                <w:rFonts w:eastAsia="Arial Unicode MS"/>
                <w:bCs/>
                <w:sz w:val="20"/>
                <w:szCs w:val="20"/>
              </w:rPr>
            </w:r>
          </w:p>
        </w:tc>
        <w:tc>
          <w:tcPr>
            <w:tcW w:w="6070" w:type="dxa"/>
            <w:vAlign w:val="center"/>
            <w:textDirection w:val="lrTb"/>
            <w:noWrap/>
          </w:tcPr>
          <w:p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 Позиции судов по спорным вопросам. Арбитражный процесс</w:t>
            </w:r>
            <w:r>
              <w:rPr>
                <w:sz w:val="20"/>
                <w:szCs w:val="20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eastAsia="Arial Unicode MS"/>
                <w:bCs/>
                <w:sz w:val="20"/>
                <w:szCs w:val="20"/>
                <w:lang w:val="en-US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ОВМ/10</w:t>
            </w:r>
            <w:r>
              <w:rPr>
                <w:rFonts w:eastAsia="Arial Unicode MS"/>
                <w:bCs/>
                <w:sz w:val="20"/>
                <w:szCs w:val="20"/>
                <w:lang w:val="en-US"/>
              </w:rPr>
            </w:r>
          </w:p>
        </w:tc>
        <w:tc>
          <w:tcPr>
            <w:tcW w:w="90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1</w:t>
            </w:r>
            <w:r>
              <w:rPr>
                <w:rFonts w:eastAsia="Arial Unicode MS"/>
                <w:bCs/>
                <w:sz w:val="20"/>
                <w:szCs w:val="20"/>
              </w:rPr>
            </w:r>
          </w:p>
        </w:tc>
      </w:tr>
      <w:tr>
        <w:tblPrEx/>
        <w:trPr>
          <w:trHeight w:val="276"/>
        </w:trPr>
        <w:tc>
          <w:tcPr>
            <w:tcW w:w="58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9</w:t>
            </w:r>
            <w:r>
              <w:rPr>
                <w:rFonts w:eastAsia="Arial Unicode MS"/>
                <w:bCs/>
                <w:sz w:val="20"/>
                <w:szCs w:val="20"/>
              </w:rPr>
            </w:r>
          </w:p>
        </w:tc>
        <w:tc>
          <w:tcPr>
            <w:tcW w:w="6070" w:type="dxa"/>
            <w:vAlign w:val="center"/>
            <w:textDirection w:val="lrTb"/>
            <w:noWrap/>
          </w:tcPr>
          <w:p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 Позиции судов по спорным вопросам. Бюджетные организации</w:t>
            </w:r>
            <w:r>
              <w:rPr>
                <w:sz w:val="20"/>
                <w:szCs w:val="20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eastAsia="Arial Unicode MS"/>
                <w:bCs/>
                <w:sz w:val="20"/>
                <w:szCs w:val="20"/>
                <w:lang w:val="en-US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ОВМ/10</w:t>
            </w:r>
            <w:r>
              <w:rPr>
                <w:rFonts w:eastAsia="Arial Unicode MS"/>
                <w:bCs/>
                <w:sz w:val="20"/>
                <w:szCs w:val="20"/>
                <w:lang w:val="en-US"/>
              </w:rPr>
            </w:r>
          </w:p>
        </w:tc>
        <w:tc>
          <w:tcPr>
            <w:tcW w:w="90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1</w:t>
            </w:r>
            <w:r>
              <w:rPr>
                <w:rFonts w:eastAsia="Arial Unicode MS"/>
                <w:bCs/>
                <w:sz w:val="20"/>
                <w:szCs w:val="20"/>
              </w:rPr>
            </w:r>
          </w:p>
        </w:tc>
      </w:tr>
    </w:tbl>
    <w:p>
      <w:pPr>
        <w:ind w:firstLine="709"/>
        <w:spacing w:after="0"/>
      </w:pPr>
      <w:r/>
      <w:r/>
    </w:p>
    <w:p>
      <w:pPr>
        <w:ind w:firstLine="709"/>
        <w:spacing w:after="0"/>
        <w:rPr>
          <w:b/>
        </w:rPr>
      </w:pPr>
      <w:r>
        <w:rPr>
          <w:b/>
        </w:rPr>
        <w:t xml:space="preserve">2. Основные понятия</w:t>
      </w:r>
      <w:r>
        <w:rPr>
          <w:b/>
        </w:rPr>
      </w:r>
    </w:p>
    <w:p>
      <w:pPr>
        <w:ind w:firstLine="709"/>
        <w:spacing w:after="0"/>
      </w:pPr>
      <w:r>
        <w:t xml:space="preserve">2.1. Справочная Правовая Система </w:t>
      </w:r>
      <w:r>
        <w:t xml:space="preserve">КонсультантПлюс</w:t>
      </w:r>
      <w:r>
        <w:t xml:space="preserve"> (далее - Система </w:t>
      </w:r>
      <w:r>
        <w:t xml:space="preserve">КонсультантПлюс</w:t>
      </w:r>
      <w:r>
        <w:t xml:space="preserve"> или Система) - совокупность многофункционально</w:t>
      </w:r>
      <w:bookmarkStart w:id="0" w:name="_GoBack"/>
      <w:r/>
      <w:bookmarkEnd w:id="0"/>
      <w:r>
        <w:t xml:space="preserve">й программы для ЭВМ и набора текстовой информации (программное средство, информационный продукт вычислительной техники).</w:t>
      </w:r>
      <w:r/>
    </w:p>
    <w:p>
      <w:pPr>
        <w:ind w:firstLine="709"/>
        <w:spacing w:after="0"/>
      </w:pPr>
      <w:r>
        <w:t xml:space="preserve">2.2. Экземпляр Системы - копия Системы </w:t>
      </w:r>
      <w:r>
        <w:t xml:space="preserve">КонсультантПлюс</w:t>
      </w:r>
      <w:r>
        <w:t xml:space="preserve"> на материальном носителе, позволяющая Заказчику получать необходимую информацию. Экземпляр Системы не позволяет изменять и передавать полученную информацию.</w:t>
      </w:r>
      <w:r/>
    </w:p>
    <w:p>
      <w:pPr>
        <w:ind w:firstLine="709"/>
        <w:spacing w:after="0"/>
      </w:pPr>
      <w:r>
        <w:t xml:space="preserve">2.3. Порядок использования Систем - совокупность технических параметров, разрешенных способов и условий использования комплекта Систем.</w:t>
      </w:r>
      <w:r/>
    </w:p>
    <w:p>
      <w:pPr>
        <w:ind w:firstLine="709"/>
        <w:spacing w:after="0"/>
      </w:pPr>
      <w:r>
        <w:t xml:space="preserve">2.4. Уникальный пользователь - физическое лицо, состоящее в трудовых отношениях с Заказчиком (работник), являющееся пользователем Системы.</w:t>
      </w:r>
      <w:r/>
    </w:p>
    <w:p>
      <w:pPr>
        <w:ind w:firstLine="709"/>
        <w:spacing w:after="0"/>
      </w:pPr>
      <w:r>
        <w:t xml:space="preserve">2.5. Регистрация - процедура, при которой запоминаются параметры конкретного электронного устройства и в экземпляр Системы вносятся определенные изменения (адаптация Системы)</w:t>
      </w:r>
      <w:r>
        <w:t xml:space="preserve">, после чего становится возможным использование экземпляра Системы. По выбору Заказчика экземпляр Системы может быть зарегистрирован на ЭВМ Заказчика, на ЭВМ Исполнителя, на ЭВМ Разработчика Систем. Особенности регистрации определяются настоящим Договором.</w:t>
      </w:r>
      <w:r/>
    </w:p>
    <w:p>
      <w:pPr>
        <w:ind w:firstLine="709"/>
        <w:spacing w:after="0"/>
      </w:pPr>
      <w:r>
        <w:t xml:space="preserve">2.6. Число одновременных доступов (далее – число ОД) – парамет</w:t>
      </w:r>
      <w:r>
        <w:t xml:space="preserve">р, определяющий максимальное количество ЭВМ, с которых может быть осуществлен одновременный доступ к Системе. Число ОД Комплекта Систем не может превышать число ОД Системы, по которой предоставлено наибольшее число ОД среди установленных в Комплект Систем.</w:t>
      </w:r>
      <w:r/>
    </w:p>
    <w:p>
      <w:pPr>
        <w:ind w:firstLine="709"/>
        <w:spacing w:after="0"/>
      </w:pPr>
      <w:r>
        <w:t xml:space="preserve">2.7. Локальная вычислительная сеть (далее – ЛВС) – локальная вычислительная сеть, соединяющая две или более ЭВМ (возможно, разного типа), расположенные в пределах одного здания или нескольких соседних зданий.</w:t>
      </w:r>
      <w:r/>
    </w:p>
    <w:p>
      <w:pPr>
        <w:ind w:firstLine="709"/>
        <w:spacing w:after="0"/>
        <w:rPr>
          <w:b/>
        </w:rPr>
      </w:pPr>
      <w:r>
        <w:rPr>
          <w:b/>
        </w:rPr>
        <w:t xml:space="preserve">3.</w:t>
      </w:r>
      <w:r>
        <w:t xml:space="preserve"> </w:t>
      </w:r>
      <w:r>
        <w:rPr>
          <w:b/>
        </w:rPr>
        <w:t xml:space="preserve">Описание оказываемых услуг</w:t>
      </w:r>
      <w:r>
        <w:rPr>
          <w:b/>
        </w:rPr>
      </w:r>
    </w:p>
    <w:p>
      <w:pPr>
        <w:ind w:firstLine="720"/>
        <w:spacing w:after="0"/>
        <w:tabs>
          <w:tab w:val="left" w:pos="1080" w:leader="none"/>
        </w:tabs>
      </w:pPr>
      <w:r>
        <w:t xml:space="preserve">3.1. Услуги Исполнителя </w:t>
      </w:r>
      <w:r>
        <w:t xml:space="preserve">в рамках переданного сертификата </w:t>
      </w:r>
      <w:r>
        <w:t xml:space="preserve">предусматривают:</w:t>
      </w:r>
      <w:r/>
    </w:p>
    <w:p>
      <w:pPr>
        <w:ind w:firstLine="720"/>
        <w:spacing w:after="0"/>
        <w:tabs>
          <w:tab w:val="left" w:pos="1080" w:leader="none"/>
        </w:tabs>
      </w:pPr>
      <w:r>
        <w:t xml:space="preserve">3.1.1.</w:t>
      </w:r>
      <w:r>
        <w:tab/>
        <w:t xml:space="preserve">Адаптацию (установку, тестирование, регистрацию, формирование в комплекты, внесение других изменений, необходимых для работоспособности на оборудовании Заказчика) экземпляров Систем;</w:t>
      </w:r>
      <w:r/>
    </w:p>
    <w:p>
      <w:pPr>
        <w:ind w:firstLine="720"/>
        <w:spacing w:after="0"/>
        <w:tabs>
          <w:tab w:val="left" w:pos="1080" w:leader="none"/>
        </w:tabs>
      </w:pPr>
      <w:r>
        <w:t xml:space="preserve">3.1.2.</w:t>
      </w:r>
      <w:r>
        <w:tab/>
        <w:t xml:space="preserve">Сопровождение адаптированных Исполнителем экземпляров Систем, в том числе:</w:t>
      </w:r>
      <w:r/>
    </w:p>
    <w:p>
      <w:pPr>
        <w:numPr>
          <w:ilvl w:val="0"/>
          <w:numId w:val="11"/>
        </w:numPr>
        <w:ind w:left="0" w:firstLine="851"/>
        <w:spacing w:after="0"/>
        <w:tabs>
          <w:tab w:val="left" w:pos="1080" w:leader="none"/>
        </w:tabs>
      </w:pPr>
      <w:r>
        <w:t xml:space="preserve">передачу Заказчику актуальной информации (актуальных наборов текстовой информации, адаптированных к имеющимся у Заказчика экземплярам Систем);</w:t>
      </w:r>
      <w:r/>
    </w:p>
    <w:p>
      <w:pPr>
        <w:numPr>
          <w:ilvl w:val="0"/>
          <w:numId w:val="11"/>
        </w:numPr>
        <w:ind w:left="0" w:firstLine="851"/>
        <w:spacing w:after="0"/>
        <w:tabs>
          <w:tab w:val="left" w:pos="1080" w:leader="none"/>
        </w:tabs>
      </w:pPr>
      <w:r>
        <w:t xml:space="preserve">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(тестирование, переустановка);</w:t>
      </w:r>
      <w:r/>
    </w:p>
    <w:p>
      <w:pPr>
        <w:numPr>
          <w:ilvl w:val="0"/>
          <w:numId w:val="11"/>
        </w:numPr>
        <w:ind w:left="0" w:firstLine="851"/>
        <w:spacing w:after="0"/>
        <w:tabs>
          <w:tab w:val="left" w:pos="1080" w:leader="none"/>
        </w:tabs>
      </w:pPr>
      <w:r>
        <w:t xml:space="preserve">предоставление дополнительной информации и возможностей, состав которых определяется Исполнителем;</w:t>
      </w:r>
      <w:r/>
    </w:p>
    <w:p>
      <w:pPr>
        <w:numPr>
          <w:ilvl w:val="0"/>
          <w:numId w:val="11"/>
        </w:numPr>
        <w:ind w:left="0" w:firstLine="851"/>
        <w:spacing w:after="0"/>
        <w:tabs>
          <w:tab w:val="left" w:pos="1080" w:leader="none"/>
        </w:tabs>
      </w:pPr>
      <w:r>
        <w:t xml:space="preserve">мониторинг данных об использовании Систем с целью предотвращения их противоправного и контрафактного использования, а также замедления работы;</w:t>
      </w:r>
      <w:r/>
    </w:p>
    <w:p>
      <w:pPr>
        <w:numPr>
          <w:ilvl w:val="0"/>
          <w:numId w:val="11"/>
        </w:numPr>
        <w:ind w:left="0" w:firstLine="851"/>
        <w:spacing w:after="0"/>
        <w:tabs>
          <w:tab w:val="left" w:pos="1080" w:leader="none"/>
        </w:tabs>
      </w:pPr>
      <w:r>
        <w:t xml:space="preserve">консультирование по работе с Системами, в том числе обучение Заказчика работе с Системами;</w:t>
      </w:r>
      <w:r/>
    </w:p>
    <w:p>
      <w:pPr>
        <w:numPr>
          <w:ilvl w:val="0"/>
          <w:numId w:val="11"/>
        </w:numPr>
        <w:ind w:left="0" w:firstLine="851"/>
        <w:spacing w:after="0"/>
        <w:tabs>
          <w:tab w:val="left" w:pos="1080" w:leader="none"/>
        </w:tabs>
      </w:pPr>
      <w:r>
        <w:t xml:space="preserve">предоставление возможности получения Заказчиком консультаций по работе Систем</w:t>
      </w:r>
      <w:r>
        <w:t xml:space="preserve"> </w:t>
      </w:r>
      <w:r>
        <w:t xml:space="preserve">по телефону, по электронной почте, через специальные сервисы и базы данных либо в офисе Исполнителя;</w:t>
      </w:r>
      <w:r/>
    </w:p>
    <w:p>
      <w:pPr>
        <w:ind w:firstLine="709"/>
        <w:spacing w:after="0"/>
        <w:tabs>
          <w:tab w:val="left" w:pos="1080" w:leader="none"/>
        </w:tabs>
      </w:pPr>
      <w:r>
        <w:t xml:space="preserve">3.1.3. Адаптацию и сопровождение специальной копии Систем, зарегистрированной на электронном устройстве Заказчика;</w:t>
      </w:r>
      <w:r/>
    </w:p>
    <w:p>
      <w:pPr>
        <w:ind w:firstLine="709"/>
        <w:spacing w:after="0"/>
        <w:tabs>
          <w:tab w:val="left" w:pos="1080" w:leader="none"/>
        </w:tabs>
      </w:pPr>
      <w:r>
        <w:t xml:space="preserve">3.1.4. Исполнитель обеспечивает возможность использования комплекта Систем 24 часа</w:t>
      </w:r>
      <w:r>
        <w:t xml:space="preserve"> </w:t>
      </w:r>
      <w:r>
        <w:t xml:space="preserve">в сутки 7 дней в неделю, за исключением времени перерывов в предоставлении услуг, связанных</w:t>
      </w:r>
      <w:r>
        <w:t xml:space="preserve"> </w:t>
      </w:r>
      <w:r>
        <w:t xml:space="preserve">с заменой оборудования, программного обеспечения и/или проведения других ремонтных</w:t>
      </w:r>
      <w:r>
        <w:t xml:space="preserve"> </w:t>
      </w:r>
      <w:r>
        <w:t xml:space="preserve">или планово-профилактических работ на серверном оборудовании.</w:t>
      </w:r>
      <w:r/>
    </w:p>
    <w:p>
      <w:pPr>
        <w:ind w:firstLine="709"/>
        <w:spacing w:after="0"/>
        <w:tabs>
          <w:tab w:val="left" w:pos="1080" w:leader="none"/>
        </w:tabs>
      </w:pPr>
      <w:r>
        <w:t xml:space="preserve">3.2. Системы по заказу Разработчика Систем могут модифицироваться официальными Представителями Сети </w:t>
      </w:r>
      <w:r>
        <w:t xml:space="preserve">КонсультантПлюс</w:t>
      </w:r>
      <w:r>
        <w:t xml:space="preserve"> либо иными организациями в соответствии</w:t>
      </w:r>
      <w:r>
        <w:t xml:space="preserve"> </w:t>
      </w:r>
      <w:r>
        <w:t xml:space="preserve">с технологическими процедурами и политикой Разработчика Систем. Исполнитель оказывает Заказчику услуги по адаптации и сопровождению Систем, модифицированных Исполнителем.</w:t>
      </w:r>
      <w:r/>
    </w:p>
    <w:p>
      <w:pPr>
        <w:ind w:firstLine="709"/>
        <w:spacing w:after="0"/>
        <w:tabs>
          <w:tab w:val="left" w:pos="1080" w:leader="none"/>
        </w:tabs>
      </w:pPr>
      <w:r>
        <w:t xml:space="preserve">3.3. Оказание Заказчику текущих услуг с использованием экземпляров Систем осуществляется без выбора документов.</w:t>
      </w:r>
      <w:r/>
    </w:p>
    <w:p>
      <w:pPr>
        <w:ind w:firstLine="709"/>
        <w:spacing w:after="0"/>
        <w:tabs>
          <w:tab w:val="left" w:pos="1080" w:leader="none"/>
        </w:tabs>
      </w:pPr>
      <w:r>
        <w:t xml:space="preserve">3.4. Исполнитель может получать служебные файлы и информацию с компьютера Заказчика, необходимые для надлежащего исполнения обязательств перед Заказчиком.</w:t>
      </w:r>
      <w:r/>
    </w:p>
    <w:p>
      <w:pPr>
        <w:ind w:firstLine="709"/>
        <w:spacing w:after="0"/>
        <w:tabs>
          <w:tab w:val="left" w:pos="1080" w:leader="none"/>
        </w:tabs>
      </w:pPr>
      <w:r>
        <w:t xml:space="preserve">3.5. Экземпляры Систем передаются и сопровождаются Исполнителем в виде «как есть»</w:t>
      </w:r>
      <w:r>
        <w:t xml:space="preserve"> </w:t>
      </w:r>
      <w:r>
        <w:t xml:space="preserve">с параметрами инф</w:t>
      </w:r>
      <w:r>
        <w:t xml:space="preserve">ормационного содержания, определяемыми разработчиком, и не подлежат изменению по желанию Заказчика, если иное не предусмотрено соглашением Сторон. Разработчик Систем вправе самостоятельно определять информационное содержание Систем в рамках их общей направ</w:t>
      </w:r>
      <w:r>
        <w:t xml:space="preserve">ленности. Информация, содержащаяся в Системе, включая авторские материалы (комментарии, книги, статьи, ответы на вопросы и т.д.), имеет справочный характер. Разработчик не несет ответственности за правильность информации, изложенной в авторских материалах.</w:t>
      </w:r>
      <w:r/>
    </w:p>
    <w:p>
      <w:pPr>
        <w:ind w:firstLine="709"/>
        <w:spacing w:after="0"/>
        <w:rPr>
          <w:b/>
        </w:rPr>
      </w:pPr>
      <w:r>
        <w:rPr>
          <w:b/>
        </w:rPr>
        <w:t xml:space="preserve">4. Порядок использования экземпляров Систем</w:t>
      </w:r>
      <w:r>
        <w:rPr>
          <w:b/>
        </w:rPr>
      </w:r>
    </w:p>
    <w:p>
      <w:pPr>
        <w:ind w:firstLine="709"/>
        <w:spacing w:after="0"/>
      </w:pPr>
      <w:r>
        <w:t xml:space="preserve">4.1. Для организации сопровождения экземпляры Систем, включая специальную копию Систем, регистрируются и адаптируются на ЭВМ Заказчика, ЭВМ Исполнителя, ЭВМ Разработчика Систем.</w:t>
      </w:r>
      <w:r/>
    </w:p>
    <w:p>
      <w:pPr>
        <w:ind w:firstLine="709"/>
        <w:spacing w:after="0"/>
      </w:pPr>
      <w:r>
        <w:t xml:space="preserve">4.2. Экземпляры Систем предна</w:t>
      </w:r>
      <w:r>
        <w:t xml:space="preserve">значены для организации подключения к Системам посредством регистрации (адаптации) на ЭВМ Заказчика, ЭВМ Исполнителя, ЭВМ Разработчика Систем. Разработчиком могут определяться особенности перенастройки экземпляров Систем и их последующей работы на ЭВМ ЛВС.</w:t>
      </w:r>
      <w:r/>
    </w:p>
    <w:p>
      <w:pPr>
        <w:ind w:firstLine="709"/>
        <w:spacing w:after="0"/>
      </w:pPr>
      <w:r>
        <w:t xml:space="preserve">4.3. При осуществлении регистрации и адаптации Исполнитель обеспечивает Заказчику возможность использования комплекта с числом учетных записей (далее – УЗ) и числом ОД, указанн</w:t>
      </w:r>
      <w:r>
        <w:t xml:space="preserve">ыми в п. 1. настоящего Технического задания, сохраняет реквизиты УЗ в специальной копии Системы и регистрирует АРМ администратора УЗ пользователей для организации сопровождения Систем, в том числе формирует, адаптирует и модифицирует базу данных УЗ пользов</w:t>
      </w:r>
      <w:r>
        <w:t xml:space="preserve">ателей. Исполнитель обеспечивает администрирование специального АРМ администратора УЗ пользователей и в рамках данного процесса при необходимости проводит дополнительную регулярную перерегистрацию (адаптацию) экземпляров на ЭВМ Заказчика, ЭВМ Исполнителя, </w:t>
      </w:r>
      <w:r>
        <w:t xml:space="preserve">ЭВМ Разработчика Систем при сбоях и в других необходимых случаях.  По запросу Заказчика АРМ администратора УЗ пользователей может быть предоставлено Заказчику.</w:t>
      </w:r>
      <w:r/>
    </w:p>
    <w:p>
      <w:pPr>
        <w:ind w:firstLine="709"/>
        <w:spacing w:after="0"/>
      </w:pPr>
      <w:r>
        <w:t xml:space="preserve">4.4. Заказчик обязан обеспечивать конфиденциальность УЗ. Нарушениями конфиденциальности, являющимися грубыми нарушениями прав на объект(ы) интеллектуальной собственности, в частности, признаются: передача (разглашение) реквизитов УЗ лицу, которое</w:t>
      </w:r>
      <w:r>
        <w:t xml:space="preserve"> </w:t>
      </w:r>
      <w:r>
        <w:t xml:space="preserve">не яв</w:t>
      </w:r>
      <w:r>
        <w:t xml:space="preserve">ляется Уникальным пользователем, а также несвоевременная блокировка УЗ при прекращении трудовых отношений с бывшим Уникальным пользователем. По запросу Заказчика Исполнитель заменяет УЗ с одновременным уведомлением Заказчика открытым электронным сообщением</w:t>
      </w:r>
      <w:r>
        <w:t xml:space="preserve"> </w:t>
      </w:r>
      <w:r>
        <w:t xml:space="preserve">на электронный адрес Заказчика. По запросу Исполнителя Заказчик обязан предоставлять</w:t>
      </w:r>
      <w:r>
        <w:t xml:space="preserve"> Исполнителю информацию об Уникальных пользователях, которым была передана УЗ. Заказчик обязан обеспечить конфиденциальность УЗ. Заказчик вправе в любое время заблокировать УЗ путем смены ее реквизитов. Заказчик обязан заблокировать УЗ в следующих случаях:</w:t>
      </w:r>
      <w:r/>
    </w:p>
    <w:p>
      <w:pPr>
        <w:ind w:firstLine="709"/>
        <w:spacing w:after="0"/>
      </w:pPr>
      <w:r>
        <w:t xml:space="preserve">4.4.1. В случае прекращения трудовых отношений с Уникальным пользователем, получившим учетную запись - в течение одного рабочего дня с момента прекращения трудовых отношений.</w:t>
      </w:r>
      <w:r/>
    </w:p>
    <w:p>
      <w:pPr>
        <w:ind w:firstLine="709"/>
        <w:spacing w:after="0"/>
      </w:pPr>
      <w:r>
        <w:t xml:space="preserve">4.4.2. В случае действительного или потенциального нарушения конфиденциальности реквизитов учетной записи - незамедлительно при получении соответствующей информации.</w:t>
      </w:r>
      <w:r/>
    </w:p>
    <w:p>
      <w:pPr>
        <w:ind w:firstLine="709"/>
        <w:spacing w:after="0"/>
        <w:tabs>
          <w:tab w:val="left" w:pos="1080" w:leader="none"/>
        </w:tabs>
      </w:pPr>
      <w:r>
        <w:t xml:space="preserve">4.5. Использование Системы возможно под управлением специальной копии Системы</w:t>
      </w:r>
      <w:r>
        <w:t xml:space="preserve"> </w:t>
      </w:r>
      <w:r>
        <w:t xml:space="preserve">с электронного устройства Заказчика, на котором она установлена.</w:t>
      </w:r>
      <w:r/>
    </w:p>
    <w:p>
      <w:pPr>
        <w:ind w:firstLine="709"/>
        <w:spacing w:after="0"/>
      </w:pPr>
      <w:r>
        <w:t xml:space="preserve">4.6. Заказчик сообщает Исполнителю электронный адрес для направления ему реквизитов учетной записи и/или информации связанной с использованием Систем. В случае изменения электронного адреса Заказчик направляет Исполнителю уведомление.</w:t>
      </w:r>
      <w:r/>
    </w:p>
    <w:p>
      <w:pPr>
        <w:ind w:firstLine="709"/>
        <w:spacing w:after="0"/>
      </w:pPr>
      <w:r>
        <w:t xml:space="preserve">4.7. Система может содержать информационное сообщение о наименовании и местонахождении правомерного пользователя комплекта Систем. Сообщение может быть показано не чаще одного раза в 24 часа.</w:t>
      </w:r>
      <w:r/>
    </w:p>
    <w:p>
      <w:pPr>
        <w:ind w:firstLine="709"/>
        <w:spacing w:after="0"/>
      </w:pPr>
      <w:r>
        <w:t xml:space="preserve">4.8. Разработчик Систем самостоятельно определяет параметры использования Систем и вправе в одностороннем порядке их изменять. С актуальными параметрами Заказчик вправе ознакомиться в разделе справочной информации о комплекте в электронном виде.</w:t>
      </w:r>
      <w:r/>
    </w:p>
    <w:p>
      <w:pPr>
        <w:ind w:firstLine="709"/>
        <w:spacing w:after="0"/>
      </w:pPr>
      <w:r>
        <w:t xml:space="preserve">4.9. </w:t>
      </w:r>
      <w:r>
        <w:t xml:space="preserve">Все расходы, связанные с обеспечением достаточного для оказания текущих услуг трафика, оплачиваются Заказчиком за свой счет. Работоспособность компьютерного, телекоммуникационного оборудования Заказчика и каналов связи Заказчик обеспечивает самостоятельно.</w:t>
      </w:r>
      <w:r/>
    </w:p>
    <w:p>
      <w:pPr>
        <w:ind w:firstLine="709"/>
        <w:spacing w:after="0"/>
      </w:pPr>
      <w:r>
        <w:t xml:space="preserve">4.10. Исполнитель не несет ответственности за невозможность исполнения своих обязательств перед Заказчи</w:t>
      </w:r>
      <w:r>
        <w:t xml:space="preserve">ком по причине неполадок в работе компьютерного, телекоммуникационного оборудования или каналов связи Заказчика и/или третьих лиц (в том числе оборудования оператора, предоставляющего Заказчику услуги связи), а также в иных согласованных Сторонами случаях.</w:t>
      </w:r>
      <w:r/>
    </w:p>
    <w:p>
      <w:pPr>
        <w:ind w:firstLine="709"/>
        <w:spacing w:after="0"/>
      </w:pPr>
      <w:r>
        <w:t xml:space="preserve">4.11. Нарушениями порядка использования экземпляров Систем признаются случаи:</w:t>
      </w:r>
      <w:r/>
    </w:p>
    <w:p>
      <w:pPr>
        <w:ind w:firstLine="709"/>
        <w:spacing w:after="0"/>
      </w:pPr>
      <w:r>
        <w:t xml:space="preserve">4.11.1. внесение Заказчиком изменений в средства программной защиты Системы, приводящих к ее декомпилированию или модификации; </w:t>
      </w:r>
      <w:r/>
    </w:p>
    <w:p>
      <w:pPr>
        <w:ind w:firstLine="709"/>
        <w:spacing w:after="0"/>
      </w:pPr>
      <w:r>
        <w:t xml:space="preserve">4.11.2. изготовление, воспроизведение, распространение (любым способом) Заказчиком контрафактных экземпляров Систем.</w:t>
      </w:r>
      <w:r/>
    </w:p>
    <w:p>
      <w:pPr>
        <w:ind w:firstLine="709"/>
        <w:spacing w:after="0"/>
      </w:pPr>
      <w:r>
        <w:t xml:space="preserve">4.12. В случае если у Заказчика возникнут обоснованные претензии к Системе в част</w:t>
      </w:r>
      <w:r>
        <w:t xml:space="preserve">ях качества включенной в нее информации и/или некорректной работы программных средств и/или иной предоставленной информации и материалов, подготовленных Исполнителем с использованием экземпляра Системы, Исполнитель обязуется рассмотреть Претензию Заказчика</w:t>
      </w:r>
      <w:r>
        <w:t xml:space="preserve"> </w:t>
      </w:r>
      <w:r>
        <w:t xml:space="preserve">в течение 15 (Пятнадцати) дней с момента ее получения. Претензии принимаются Исполнителем только в </w:t>
      </w:r>
      <w:r>
        <w:t xml:space="preserve">период действия переданного сертификата</w:t>
      </w:r>
      <w:r>
        <w:t xml:space="preserve">. В случае признания </w:t>
      </w:r>
      <w:r>
        <w:t xml:space="preserve">Претензии</w:t>
      </w:r>
      <w:r>
        <w:t xml:space="preserve"> обоснованной Исполнитель обязан устранить недостатки в разумный срок. В случае </w:t>
      </w:r>
      <w:r>
        <w:t xml:space="preserve">неустранения</w:t>
      </w:r>
      <w:r>
        <w:t xml:space="preserve"> недостатков в указанный срок Заказчик будет вправе потребовать выплаты исключитель</w:t>
      </w:r>
      <w:r>
        <w:t xml:space="preserve">ной неустойки (штрафа) в размере, не превышающем стоимости одного месяца оказания услуг с использованием соответствующего экземпляра Системы, и/или досрочного расторжения настоящего Договора путем составления дополнительной Претензии. Исполнитель обязуется</w:t>
      </w:r>
      <w:r>
        <w:t xml:space="preserve"> </w:t>
      </w:r>
      <w:r>
        <w:t xml:space="preserve">в пятнадцатидневный срок со дня получения дополнительной Претензии письменно ответить на нее. В случае признания </w:t>
      </w:r>
      <w:r>
        <w:t xml:space="preserve">дополнительной Претензии Заказчика обоснованной Исполнитель обязан</w:t>
      </w:r>
      <w:r>
        <w:t xml:space="preserve"> </w:t>
      </w:r>
      <w:r>
        <w:t xml:space="preserve">в зависимости от требований Заказчика перечислить Заказчику исключительную неустойку (штраф).</w:t>
      </w:r>
      <w:r/>
    </w:p>
    <w:p>
      <w:pPr>
        <w:ind w:firstLine="709"/>
        <w:spacing w:after="0"/>
        <w:rPr>
          <w:b/>
        </w:rPr>
      </w:pPr>
      <w:r>
        <w:rPr>
          <w:b/>
        </w:rPr>
        <w:t xml:space="preserve">5. Требования к качеству услуг</w:t>
      </w:r>
      <w:r>
        <w:rPr>
          <w:b/>
        </w:rPr>
      </w:r>
    </w:p>
    <w:p>
      <w:pPr>
        <w:ind w:firstLine="720"/>
        <w:spacing w:after="0"/>
        <w:tabs>
          <w:tab w:val="left" w:pos="1080" w:leader="none"/>
        </w:tabs>
      </w:pPr>
      <w:r>
        <w:t xml:space="preserve">5.1.</w:t>
      </w:r>
      <w:r>
        <w:tab/>
        <w:t xml:space="preserve">Исполнитель обязан обеспечить взаимодействие и совместимость услуг</w:t>
      </w:r>
      <w:r>
        <w:t xml:space="preserve"> </w:t>
      </w:r>
      <w:r>
        <w:t xml:space="preserve">в рамках переданного сертификата </w:t>
      </w:r>
      <w:r>
        <w:t xml:space="preserve">по адаптации и сопровождению с:</w:t>
      </w:r>
      <w:r/>
    </w:p>
    <w:p>
      <w:pPr>
        <w:ind w:firstLine="720"/>
        <w:spacing w:after="0"/>
        <w:tabs>
          <w:tab w:val="left" w:pos="1080" w:leader="none"/>
        </w:tabs>
      </w:pPr>
      <w:r>
        <w:t xml:space="preserve">5.1.1.</w:t>
      </w:r>
      <w:r>
        <w:tab/>
        <w:t xml:space="preserve">установленными у Заказчика экземплярами Систем </w:t>
      </w:r>
      <w:r>
        <w:t xml:space="preserve">КонсультантПлюс</w:t>
      </w:r>
      <w:r>
        <w:t xml:space="preserve"> (в том числе установленной на электронном устройстве Заказчика специальной копией Системы </w:t>
      </w:r>
      <w:r>
        <w:t xml:space="preserve">КонсультантПлюс</w:t>
      </w:r>
      <w:r>
        <w:t xml:space="preserve">);</w:t>
      </w:r>
      <w:r/>
    </w:p>
    <w:p>
      <w:pPr>
        <w:ind w:firstLine="720"/>
        <w:spacing w:after="0"/>
        <w:tabs>
          <w:tab w:val="left" w:pos="1080" w:leader="none"/>
        </w:tabs>
      </w:pPr>
      <w:r>
        <w:t xml:space="preserve">5.1.2.</w:t>
      </w:r>
      <w:r>
        <w:tab/>
        <w:t xml:space="preserve">внутренними информационными ресурсами Заказчика, ранее самостоятельно подготовленными им с использованием технологий </w:t>
      </w:r>
      <w:r>
        <w:t xml:space="preserve">КонсультантПлюс</w:t>
      </w:r>
      <w:r>
        <w:t xml:space="preserve">, в том числе с:</w:t>
      </w:r>
      <w:r/>
    </w:p>
    <w:p>
      <w:pPr>
        <w:ind w:firstLine="720"/>
        <w:spacing w:after="0"/>
        <w:tabs>
          <w:tab w:val="left" w:pos="1080" w:leader="none"/>
        </w:tabs>
      </w:pPr>
      <w:r>
        <w:t xml:space="preserve">•</w:t>
      </w:r>
      <w:r>
        <w:tab/>
        <w:t xml:space="preserve">подборками документов Заказчика;</w:t>
      </w:r>
      <w:r/>
    </w:p>
    <w:p>
      <w:pPr>
        <w:ind w:firstLine="720"/>
        <w:spacing w:after="0"/>
        <w:tabs>
          <w:tab w:val="left" w:pos="1080" w:leader="none"/>
        </w:tabs>
      </w:pPr>
      <w:r>
        <w:t xml:space="preserve">•</w:t>
      </w:r>
      <w:r>
        <w:tab/>
        <w:t xml:space="preserve">перечнями документов «на контроле»;</w:t>
      </w:r>
      <w:r/>
    </w:p>
    <w:p>
      <w:pPr>
        <w:ind w:firstLine="720"/>
        <w:spacing w:after="0"/>
        <w:tabs>
          <w:tab w:val="left" w:pos="1080" w:leader="none"/>
        </w:tabs>
      </w:pPr>
      <w:r>
        <w:t xml:space="preserve">•</w:t>
      </w:r>
      <w:r>
        <w:tab/>
        <w:t xml:space="preserve">комментариями и закладками Заказчика в текстах документов Систем </w:t>
      </w:r>
      <w:r>
        <w:t xml:space="preserve">КонсультантПлюс</w:t>
      </w:r>
      <w:r>
        <w:t xml:space="preserve">; </w:t>
      </w:r>
      <w:r/>
    </w:p>
    <w:p>
      <w:pPr>
        <w:ind w:firstLine="720"/>
        <w:spacing w:after="0"/>
        <w:tabs>
          <w:tab w:val="left" w:pos="1080" w:leader="none"/>
        </w:tabs>
      </w:pPr>
      <w:r>
        <w:t xml:space="preserve">•</w:t>
      </w:r>
      <w:r>
        <w:tab/>
        <w:t xml:space="preserve">технологическими взаимосвязями собственных документов Заказчика (в том числе шаблонов/типовых форм/образцов) с актуализируемыми Системами </w:t>
      </w:r>
      <w:r>
        <w:t xml:space="preserve">КонсультантПлюс</w:t>
      </w:r>
      <w:r>
        <w:t xml:space="preserve">. </w:t>
      </w:r>
      <w:r/>
    </w:p>
    <w:p>
      <w:pPr>
        <w:ind w:firstLine="720"/>
        <w:spacing w:after="0"/>
        <w:tabs>
          <w:tab w:val="left" w:pos="1080" w:leader="none"/>
        </w:tabs>
      </w:pPr>
      <w:r>
        <w:t xml:space="preserve">5.2. Исполнитель обязан предоставить Заказчику документы, подтверждающие наличие</w:t>
      </w:r>
      <w:r>
        <w:t xml:space="preserve"> </w:t>
      </w:r>
      <w:r>
        <w:t xml:space="preserve">у Исполнителя  необходимых прав на использование технологий и иных резуль</w:t>
      </w:r>
      <w:r>
        <w:t xml:space="preserve">татов интеллектуальной деятельности, в частности, копию Лицензионного соглашения (или письмо правообладателя, или иные документы), подтверждающего, что специальное программное обеспечение, используемое исполнителем для оказания Заказчику услуг по адаптации</w:t>
      </w:r>
      <w:r>
        <w:t xml:space="preserve"> </w:t>
      </w:r>
      <w:r>
        <w:t xml:space="preserve">и сопровождению, полностью совместимо с установленными у Заказчика экземплярами Систем </w:t>
      </w:r>
      <w:r>
        <w:t xml:space="preserve">КонсультантПлюс</w:t>
      </w:r>
      <w:r>
        <w:t xml:space="preserve"> и с указанными выше внутренними информационными ресурсами Заказчика.</w:t>
      </w:r>
      <w:r/>
    </w:p>
    <w:p>
      <w:pPr>
        <w:ind w:firstLine="720"/>
        <w:spacing w:after="0"/>
        <w:tabs>
          <w:tab w:val="left" w:pos="1080" w:leader="none"/>
        </w:tabs>
      </w:pPr>
      <w:r>
        <w:t xml:space="preserve">5.3. Исполнит</w:t>
      </w:r>
      <w:r>
        <w:t xml:space="preserve">ель обязуется предоставлять только достоверные сведения и подтверждает, что его предложение об объекте закупки является достоверной информацией о совместимости оказываемых услуг по адаптации и сопровождению с установленными у Заказчика экземплярами Систем </w:t>
      </w:r>
      <w:r>
        <w:t xml:space="preserve">КонсультантПлюс</w:t>
      </w:r>
      <w:r>
        <w:t xml:space="preserve"> на основе специального лицензионного программного обеспечения, обеспечивающего такую совместимость, а также о возможности оказания указанных услуг.</w:t>
      </w:r>
      <w:r/>
    </w:p>
    <w:p>
      <w:pPr>
        <w:ind w:firstLine="284"/>
        <w:spacing w:after="0"/>
        <w:tabs>
          <w:tab w:val="left" w:pos="1080" w:leader="none"/>
        </w:tabs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>
      <w:pPr>
        <w:ind w:firstLine="709"/>
        <w:jc w:val="center"/>
        <w:spacing w:after="0" w:line="17" w:lineRule="atLeast"/>
        <w:tabs>
          <w:tab w:val="left" w:pos="993" w:leader="none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sectPr>
      <w:footerReference w:type="default" r:id="rId9"/>
      <w:footnotePr/>
      <w:endnotePr/>
      <w:type w:val="nextPage"/>
      <w:pgSz w:w="11906" w:h="16838" w:orient="portrait"/>
      <w:pgMar w:top="567" w:right="567" w:bottom="567" w:left="1134" w:header="709" w:footer="686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/>
      </w:pPr>
      <w:r>
        <w:separator/>
      </w:r>
      <w:r/>
    </w:p>
  </w:endnote>
  <w:endnote w:type="continuationSeparator" w:id="0">
    <w:p>
      <w:pPr>
        <w:spacing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Segoe UI">
    <w:panose1 w:val="020B0502040204020203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795219203"/>
      <w:docPartObj>
        <w:docPartGallery w:val="Page Numbers (Bottom of Page)"/>
        <w:docPartUnique w:val="true"/>
      </w:docPartObj>
      <w:rPr/>
    </w:sdtPr>
    <w:sdtContent>
      <w:p>
        <w:pPr>
          <w:pStyle w:val="89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4</w:t>
        </w:r>
        <w:r>
          <w:fldChar w:fldCharType="end"/>
        </w:r>
        <w:r/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  <w:r/>
    </w:p>
  </w:footnote>
  <w:footnote w:type="continuationSeparator" w:id="0">
    <w:p>
      <w:pPr>
        <w:spacing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502" w:hanging="36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09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2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589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09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69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89" w:hanging="180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502" w:hanging="36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09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2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589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09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69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89" w:hanging="1800"/>
      </w:p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decimal"/>
      <w:isLgl/>
      <w:suff w:val="tab"/>
      <w:lvlText w:val="%1.%2."/>
      <w:lvlJc w:val="left"/>
      <w:pPr>
        <w:ind w:left="1581" w:hanging="1155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600" w:hanging="600"/>
        <w:tabs>
          <w:tab w:val="num" w:pos="600" w:leader="none"/>
        </w:tabs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713" w:hanging="720"/>
        <w:tabs>
          <w:tab w:val="num" w:pos="1713" w:leader="none"/>
        </w:tabs>
      </w:pPr>
      <w:rPr>
        <w:rFonts w:hint="default"/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hint="default"/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1800" w:leader="none"/>
        </w:tabs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  <w:rPr>
        <w:rFonts w:hint="default"/>
        <w:b/>
      </w:r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)"/>
      <w:lvlJc w:val="left"/>
      <w:pPr>
        <w:ind w:left="1494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214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934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654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374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5094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814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534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600" w:hanging="600"/>
        <w:tabs>
          <w:tab w:val="num" w:pos="600" w:leader="none"/>
        </w:tabs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713" w:hanging="720"/>
        <w:tabs>
          <w:tab w:val="num" w:pos="1713" w:leader="none"/>
        </w:tabs>
      </w:pPr>
      <w:rPr>
        <w:rFonts w:hint="default"/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hint="default"/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1800" w:leader="none"/>
        </w:tabs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  <w:rPr>
        <w:rFonts w:hint="default"/>
        <w:b/>
      </w:rPr>
    </w:lvl>
  </w:abstractNum>
  <w:abstractNum w:abstractNumId="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600" w:hanging="600"/>
        <w:tabs>
          <w:tab w:val="num" w:pos="600" w:leader="none"/>
        </w:tabs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713" w:hanging="720"/>
        <w:tabs>
          <w:tab w:val="num" w:pos="1713" w:leader="none"/>
        </w:tabs>
      </w:pPr>
      <w:rPr>
        <w:rFonts w:hint="default"/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hint="default"/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1800" w:leader="none"/>
        </w:tabs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  <w:rPr>
        <w:rFonts w:hint="default"/>
        <w:b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multiLevelType w:val="hybridMultilevel"/>
    <w:lvl w:ilvl="0">
      <w:start w:val="3"/>
      <w:numFmt w:val="decimal"/>
      <w:isLgl w:val="false"/>
      <w:suff w:val="tab"/>
      <w:lvlText w:val="%1)"/>
      <w:lvlJc w:val="left"/>
      <w:pPr>
        <w:ind w:left="1494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214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934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654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374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5094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814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534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multiLevelType w:val="hybridMultilevel"/>
    <w:lvl w:ilvl="0">
      <w:start w:val="3"/>
      <w:numFmt w:val="decimal"/>
      <w:isLgl w:val="false"/>
      <w:suff w:val="tab"/>
      <w:lvlText w:val="%1)"/>
      <w:lvlJc w:val="left"/>
      <w:pPr>
        <w:ind w:left="1494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214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934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654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374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5094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814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534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11"/>
  </w:num>
  <w:num w:numId="5">
    <w:abstractNumId w:val="10"/>
  </w:num>
  <w:num w:numId="6">
    <w:abstractNumId w:val="1"/>
  </w:num>
  <w:num w:numId="7">
    <w:abstractNumId w:val="2"/>
  </w:num>
  <w:num w:numId="8">
    <w:abstractNumId w:val="12"/>
  </w:num>
  <w:num w:numId="9">
    <w:abstractNumId w:val="13"/>
  </w:num>
  <w:num w:numId="10">
    <w:abstractNumId w:val="0"/>
  </w:num>
  <w:num w:numId="11">
    <w:abstractNumId w:val="3"/>
  </w:num>
  <w:num w:numId="12">
    <w:abstractNumId w:val="4"/>
  </w:num>
  <w:num w:numId="13">
    <w:abstractNumId w:val="6"/>
  </w:num>
  <w:num w:numId="14">
    <w:abstractNumId w:val="9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15"/>
    <w:link w:val="706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15"/>
    <w:link w:val="707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15"/>
    <w:link w:val="708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15"/>
    <w:link w:val="709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15"/>
    <w:link w:val="710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15"/>
    <w:link w:val="711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15"/>
    <w:link w:val="71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15"/>
    <w:link w:val="713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15"/>
    <w:link w:val="714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15"/>
    <w:link w:val="728"/>
    <w:uiPriority w:val="10"/>
    <w:rPr>
      <w:sz w:val="48"/>
      <w:szCs w:val="48"/>
    </w:rPr>
  </w:style>
  <w:style w:type="character" w:styleId="37">
    <w:name w:val="Subtitle Char"/>
    <w:basedOn w:val="715"/>
    <w:link w:val="730"/>
    <w:uiPriority w:val="11"/>
    <w:rPr>
      <w:sz w:val="24"/>
      <w:szCs w:val="24"/>
    </w:rPr>
  </w:style>
  <w:style w:type="character" w:styleId="39">
    <w:name w:val="Quote Char"/>
    <w:link w:val="732"/>
    <w:uiPriority w:val="29"/>
    <w:rPr>
      <w:i/>
    </w:rPr>
  </w:style>
  <w:style w:type="character" w:styleId="41">
    <w:name w:val="Intense Quote Char"/>
    <w:link w:val="734"/>
    <w:uiPriority w:val="30"/>
    <w:rPr>
      <w:i/>
    </w:rPr>
  </w:style>
  <w:style w:type="character" w:styleId="176">
    <w:name w:val="Footnote Text Char"/>
    <w:link w:val="866"/>
    <w:uiPriority w:val="99"/>
    <w:rPr>
      <w:sz w:val="18"/>
    </w:rPr>
  </w:style>
  <w:style w:type="character" w:styleId="179">
    <w:name w:val="Endnote Text Char"/>
    <w:link w:val="869"/>
    <w:uiPriority w:val="99"/>
    <w:rPr>
      <w:sz w:val="20"/>
    </w:rPr>
  </w:style>
  <w:style w:type="paragraph" w:styleId="705" w:default="1">
    <w:name w:val="Normal"/>
    <w:qFormat/>
    <w:pPr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06">
    <w:name w:val="Heading 1"/>
    <w:basedOn w:val="705"/>
    <w:next w:val="705"/>
    <w:link w:val="71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07">
    <w:name w:val="Heading 2"/>
    <w:basedOn w:val="705"/>
    <w:next w:val="705"/>
    <w:link w:val="71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08">
    <w:name w:val="Heading 3"/>
    <w:basedOn w:val="705"/>
    <w:next w:val="705"/>
    <w:link w:val="72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9">
    <w:name w:val="Heading 4"/>
    <w:basedOn w:val="705"/>
    <w:next w:val="705"/>
    <w:link w:val="72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0">
    <w:name w:val="Heading 5"/>
    <w:basedOn w:val="705"/>
    <w:next w:val="705"/>
    <w:link w:val="7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11">
    <w:name w:val="Heading 6"/>
    <w:basedOn w:val="705"/>
    <w:next w:val="705"/>
    <w:link w:val="7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2">
    <w:name w:val="Heading 7"/>
    <w:basedOn w:val="705"/>
    <w:next w:val="705"/>
    <w:link w:val="7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3">
    <w:name w:val="Heading 8"/>
    <w:basedOn w:val="705"/>
    <w:next w:val="705"/>
    <w:link w:val="72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4">
    <w:name w:val="Heading 9"/>
    <w:basedOn w:val="705"/>
    <w:next w:val="705"/>
    <w:link w:val="72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 w:default="1">
    <w:name w:val="Default Paragraph Font"/>
    <w:uiPriority w:val="1"/>
    <w:semiHidden/>
    <w:unhideWhenUsed/>
  </w:style>
  <w:style w:type="table" w:styleId="71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7" w:default="1">
    <w:name w:val="No List"/>
    <w:uiPriority w:val="99"/>
    <w:semiHidden/>
    <w:unhideWhenUsed/>
  </w:style>
  <w:style w:type="character" w:styleId="718" w:customStyle="1">
    <w:name w:val="Заголовок 1 Знак"/>
    <w:basedOn w:val="715"/>
    <w:link w:val="706"/>
    <w:uiPriority w:val="9"/>
    <w:rPr>
      <w:rFonts w:ascii="Arial" w:hAnsi="Arial" w:eastAsia="Arial" w:cs="Arial"/>
      <w:sz w:val="40"/>
      <w:szCs w:val="40"/>
    </w:rPr>
  </w:style>
  <w:style w:type="character" w:styleId="719" w:customStyle="1">
    <w:name w:val="Заголовок 2 Знак"/>
    <w:basedOn w:val="715"/>
    <w:link w:val="707"/>
    <w:uiPriority w:val="9"/>
    <w:rPr>
      <w:rFonts w:ascii="Arial" w:hAnsi="Arial" w:eastAsia="Arial" w:cs="Arial"/>
      <w:sz w:val="34"/>
    </w:rPr>
  </w:style>
  <w:style w:type="character" w:styleId="720" w:customStyle="1">
    <w:name w:val="Заголовок 3 Знак"/>
    <w:basedOn w:val="715"/>
    <w:link w:val="708"/>
    <w:uiPriority w:val="9"/>
    <w:rPr>
      <w:rFonts w:ascii="Arial" w:hAnsi="Arial" w:eastAsia="Arial" w:cs="Arial"/>
      <w:sz w:val="30"/>
      <w:szCs w:val="30"/>
    </w:rPr>
  </w:style>
  <w:style w:type="character" w:styleId="721" w:customStyle="1">
    <w:name w:val="Заголовок 4 Знак"/>
    <w:basedOn w:val="715"/>
    <w:link w:val="709"/>
    <w:uiPriority w:val="9"/>
    <w:rPr>
      <w:rFonts w:ascii="Arial" w:hAnsi="Arial" w:eastAsia="Arial" w:cs="Arial"/>
      <w:b/>
      <w:bCs/>
      <w:sz w:val="26"/>
      <w:szCs w:val="26"/>
    </w:rPr>
  </w:style>
  <w:style w:type="character" w:styleId="722" w:customStyle="1">
    <w:name w:val="Заголовок 5 Знак"/>
    <w:basedOn w:val="715"/>
    <w:link w:val="710"/>
    <w:uiPriority w:val="9"/>
    <w:rPr>
      <w:rFonts w:ascii="Arial" w:hAnsi="Arial" w:eastAsia="Arial" w:cs="Arial"/>
      <w:b/>
      <w:bCs/>
      <w:sz w:val="24"/>
      <w:szCs w:val="24"/>
    </w:rPr>
  </w:style>
  <w:style w:type="character" w:styleId="723" w:customStyle="1">
    <w:name w:val="Заголовок 6 Знак"/>
    <w:basedOn w:val="715"/>
    <w:link w:val="711"/>
    <w:uiPriority w:val="9"/>
    <w:rPr>
      <w:rFonts w:ascii="Arial" w:hAnsi="Arial" w:eastAsia="Arial" w:cs="Arial"/>
      <w:b/>
      <w:bCs/>
      <w:sz w:val="22"/>
      <w:szCs w:val="22"/>
    </w:rPr>
  </w:style>
  <w:style w:type="character" w:styleId="724" w:customStyle="1">
    <w:name w:val="Заголовок 7 Знак"/>
    <w:basedOn w:val="715"/>
    <w:link w:val="71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5" w:customStyle="1">
    <w:name w:val="Заголовок 8 Знак"/>
    <w:basedOn w:val="715"/>
    <w:link w:val="713"/>
    <w:uiPriority w:val="9"/>
    <w:rPr>
      <w:rFonts w:ascii="Arial" w:hAnsi="Arial" w:eastAsia="Arial" w:cs="Arial"/>
      <w:i/>
      <w:iCs/>
      <w:sz w:val="22"/>
      <w:szCs w:val="22"/>
    </w:rPr>
  </w:style>
  <w:style w:type="character" w:styleId="726" w:customStyle="1">
    <w:name w:val="Заголовок 9 Знак"/>
    <w:basedOn w:val="715"/>
    <w:link w:val="714"/>
    <w:uiPriority w:val="9"/>
    <w:rPr>
      <w:rFonts w:ascii="Arial" w:hAnsi="Arial" w:eastAsia="Arial" w:cs="Arial"/>
      <w:i/>
      <w:iCs/>
      <w:sz w:val="21"/>
      <w:szCs w:val="21"/>
    </w:rPr>
  </w:style>
  <w:style w:type="paragraph" w:styleId="727">
    <w:name w:val="No Spacing"/>
    <w:uiPriority w:val="1"/>
    <w:qFormat/>
    <w:pPr>
      <w:spacing w:after="0" w:line="240" w:lineRule="auto"/>
    </w:pPr>
  </w:style>
  <w:style w:type="paragraph" w:styleId="728">
    <w:name w:val="Title"/>
    <w:basedOn w:val="705"/>
    <w:next w:val="705"/>
    <w:link w:val="72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9" w:customStyle="1">
    <w:name w:val="Заголовок Знак"/>
    <w:basedOn w:val="715"/>
    <w:link w:val="728"/>
    <w:uiPriority w:val="10"/>
    <w:rPr>
      <w:sz w:val="48"/>
      <w:szCs w:val="48"/>
    </w:rPr>
  </w:style>
  <w:style w:type="paragraph" w:styleId="730">
    <w:name w:val="Subtitle"/>
    <w:basedOn w:val="705"/>
    <w:next w:val="705"/>
    <w:link w:val="731"/>
    <w:uiPriority w:val="11"/>
    <w:qFormat/>
    <w:pPr>
      <w:spacing w:before="200" w:after="200"/>
    </w:pPr>
  </w:style>
  <w:style w:type="character" w:styleId="731" w:customStyle="1">
    <w:name w:val="Подзаголовок Знак"/>
    <w:basedOn w:val="715"/>
    <w:link w:val="730"/>
    <w:uiPriority w:val="11"/>
    <w:rPr>
      <w:sz w:val="24"/>
      <w:szCs w:val="24"/>
    </w:rPr>
  </w:style>
  <w:style w:type="paragraph" w:styleId="732">
    <w:name w:val="Quote"/>
    <w:basedOn w:val="705"/>
    <w:next w:val="705"/>
    <w:link w:val="733"/>
    <w:uiPriority w:val="29"/>
    <w:qFormat/>
    <w:pPr>
      <w:ind w:left="720" w:right="720"/>
    </w:pPr>
    <w:rPr>
      <w:i/>
    </w:rPr>
  </w:style>
  <w:style w:type="character" w:styleId="733" w:customStyle="1">
    <w:name w:val="Цитата 2 Знак"/>
    <w:link w:val="732"/>
    <w:uiPriority w:val="29"/>
    <w:rPr>
      <w:i/>
    </w:rPr>
  </w:style>
  <w:style w:type="paragraph" w:styleId="734">
    <w:name w:val="Intense Quote"/>
    <w:basedOn w:val="705"/>
    <w:next w:val="705"/>
    <w:link w:val="73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5" w:customStyle="1">
    <w:name w:val="Выделенная цитата Знак"/>
    <w:link w:val="734"/>
    <w:uiPriority w:val="30"/>
    <w:rPr>
      <w:i/>
    </w:rPr>
  </w:style>
  <w:style w:type="character" w:styleId="736" w:customStyle="1">
    <w:name w:val="Header Char"/>
    <w:basedOn w:val="715"/>
    <w:uiPriority w:val="99"/>
  </w:style>
  <w:style w:type="character" w:styleId="737" w:customStyle="1">
    <w:name w:val="Footer Char"/>
    <w:basedOn w:val="715"/>
    <w:uiPriority w:val="99"/>
  </w:style>
  <w:style w:type="paragraph" w:styleId="738">
    <w:name w:val="Caption"/>
    <w:basedOn w:val="705"/>
    <w:next w:val="705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39" w:customStyle="1">
    <w:name w:val="Caption Char"/>
    <w:uiPriority w:val="99"/>
  </w:style>
  <w:style w:type="table" w:styleId="740">
    <w:name w:val="Table Grid"/>
    <w:basedOn w:val="71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1" w:customStyle="1">
    <w:name w:val="Table Grid Light"/>
    <w:basedOn w:val="71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2">
    <w:name w:val="Plain Table 1"/>
    <w:basedOn w:val="71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2"/>
    <w:basedOn w:val="71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>
    <w:name w:val="Plain Table 3"/>
    <w:basedOn w:val="71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5">
    <w:name w:val="Plain Table 4"/>
    <w:basedOn w:val="71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Plain Table 5"/>
    <w:basedOn w:val="71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7">
    <w:name w:val="Grid Table 1 Light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1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2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3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4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5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6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2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1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2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3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4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5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6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1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2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3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4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5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6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4"/>
    <w:basedOn w:val="71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9" w:customStyle="1">
    <w:name w:val="Grid Table 4 - Accent 1"/>
    <w:basedOn w:val="71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70" w:customStyle="1">
    <w:name w:val="Grid Table 4 - Accent 2"/>
    <w:basedOn w:val="71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71" w:customStyle="1">
    <w:name w:val="Grid Table 4 - Accent 3"/>
    <w:basedOn w:val="716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72" w:customStyle="1">
    <w:name w:val="Grid Table 4 - Accent 4"/>
    <w:basedOn w:val="71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73" w:customStyle="1">
    <w:name w:val="Grid Table 4 - Accent 5"/>
    <w:basedOn w:val="71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74" w:customStyle="1">
    <w:name w:val="Grid Table 4 - Accent 6"/>
    <w:basedOn w:val="71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75">
    <w:name w:val="Grid Table 5 Dark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- Accent 1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2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 - Accent 3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- Accent 4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 - Accent 5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6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82">
    <w:name w:val="Grid Table 6 Colorful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3" w:customStyle="1">
    <w:name w:val="Grid Table 6 Colorful - Accent 1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84" w:customStyle="1">
    <w:name w:val="Grid Table 6 Colorful - Accent 2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85" w:customStyle="1">
    <w:name w:val="Grid Table 6 Colorful - Accent 3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86" w:customStyle="1">
    <w:name w:val="Grid Table 6 Colorful - Accent 4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87" w:customStyle="1">
    <w:name w:val="Grid Table 6 Colorful - Accent 5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88" w:customStyle="1">
    <w:name w:val="Grid Table 6 Colorful - Accent 6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89">
    <w:name w:val="Grid Table 7 Colorful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7 Colorful - Accent 1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2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7 Colorful - Accent 3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7 Colorful - Accent 4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5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6"/>
    <w:basedOn w:val="7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"/>
    <w:basedOn w:val="71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1"/>
    <w:basedOn w:val="71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2"/>
    <w:basedOn w:val="71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3"/>
    <w:basedOn w:val="71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4"/>
    <w:basedOn w:val="71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5"/>
    <w:basedOn w:val="71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6"/>
    <w:basedOn w:val="71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2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1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2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3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4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5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6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10">
    <w:name w:val="List Table 3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1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2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3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4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5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6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1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2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3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4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5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6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5 Dark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 w:customStyle="1">
    <w:name w:val="List Table 5 Dark - Accent 1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2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 w:customStyle="1">
    <w:name w:val="List Table 5 Dark - Accent 3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4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5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6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>
    <w:name w:val="List Table 6 Colorful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2" w:customStyle="1">
    <w:name w:val="List Table 6 Colorful - Accent 1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33" w:customStyle="1">
    <w:name w:val="List Table 6 Colorful - Accent 2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34" w:customStyle="1">
    <w:name w:val="List Table 6 Colorful - Accent 3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35" w:customStyle="1">
    <w:name w:val="List Table 6 Colorful - Accent 4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36" w:customStyle="1">
    <w:name w:val="List Table 6 Colorful - Accent 5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37" w:customStyle="1">
    <w:name w:val="List Table 6 Colorful - Accent 6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38">
    <w:name w:val="List Table 7 Colorful"/>
    <w:basedOn w:val="71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7 Colorful - Accent 1"/>
    <w:basedOn w:val="71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2"/>
    <w:basedOn w:val="71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7 Colorful - Accent 3"/>
    <w:basedOn w:val="71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7 Colorful - Accent 4"/>
    <w:basedOn w:val="71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5"/>
    <w:basedOn w:val="71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6"/>
    <w:basedOn w:val="71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ned - Accent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6" w:customStyle="1">
    <w:name w:val="Lined - Accent 1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7" w:customStyle="1">
    <w:name w:val="Lined - Accent 2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8" w:customStyle="1">
    <w:name w:val="Lined - Accent 3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9" w:customStyle="1">
    <w:name w:val="Lined - Accent 4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0" w:customStyle="1">
    <w:name w:val="Lined - Accent 5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51" w:customStyle="1">
    <w:name w:val="Lined - Accent 6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2" w:customStyle="1">
    <w:name w:val="Bordered &amp; Lined - Accent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3" w:customStyle="1">
    <w:name w:val="Bordered &amp; Lined - Accent 1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4" w:customStyle="1">
    <w:name w:val="Bordered &amp; Lined - Accent 2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5" w:customStyle="1">
    <w:name w:val="Bordered &amp; Lined - Accent 3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6" w:customStyle="1">
    <w:name w:val="Bordered &amp; Lined - Accent 4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7" w:customStyle="1">
    <w:name w:val="Bordered &amp; Lined - Accent 5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58" w:customStyle="1">
    <w:name w:val="Bordered &amp; Lined - Accent 6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9" w:customStyle="1">
    <w:name w:val="Bordered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0" w:customStyle="1">
    <w:name w:val="Bordered - Accent 1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61" w:customStyle="1">
    <w:name w:val="Bordered - Accent 2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62" w:customStyle="1">
    <w:name w:val="Bordered - Accent 3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63" w:customStyle="1">
    <w:name w:val="Bordered - Accent 4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64" w:customStyle="1">
    <w:name w:val="Bordered - Accent 5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65" w:customStyle="1">
    <w:name w:val="Bordered - Accent 6"/>
    <w:basedOn w:val="7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66">
    <w:name w:val="footnote text"/>
    <w:basedOn w:val="705"/>
    <w:link w:val="867"/>
    <w:uiPriority w:val="99"/>
    <w:unhideWhenUsed/>
    <w:qFormat/>
    <w:pPr>
      <w:spacing w:after="40"/>
    </w:pPr>
    <w:rPr>
      <w:sz w:val="18"/>
    </w:rPr>
  </w:style>
  <w:style w:type="character" w:styleId="867" w:customStyle="1">
    <w:name w:val="Текст сноски Знак"/>
    <w:link w:val="866"/>
    <w:uiPriority w:val="99"/>
    <w:rPr>
      <w:sz w:val="18"/>
    </w:rPr>
  </w:style>
  <w:style w:type="character" w:styleId="868">
    <w:name w:val="footnote reference"/>
    <w:basedOn w:val="715"/>
    <w:uiPriority w:val="99"/>
    <w:unhideWhenUsed/>
    <w:qFormat/>
    <w:rPr>
      <w:vertAlign w:val="superscript"/>
    </w:rPr>
  </w:style>
  <w:style w:type="paragraph" w:styleId="869">
    <w:name w:val="endnote text"/>
    <w:basedOn w:val="705"/>
    <w:link w:val="870"/>
    <w:uiPriority w:val="99"/>
    <w:semiHidden/>
    <w:unhideWhenUsed/>
    <w:pPr>
      <w:spacing w:after="0"/>
    </w:pPr>
    <w:rPr>
      <w:sz w:val="20"/>
    </w:rPr>
  </w:style>
  <w:style w:type="character" w:styleId="870" w:customStyle="1">
    <w:name w:val="Текст концевой сноски Знак"/>
    <w:link w:val="869"/>
    <w:uiPriority w:val="99"/>
    <w:rPr>
      <w:sz w:val="20"/>
    </w:rPr>
  </w:style>
  <w:style w:type="character" w:styleId="871">
    <w:name w:val="endnote reference"/>
    <w:basedOn w:val="715"/>
    <w:uiPriority w:val="99"/>
    <w:semiHidden/>
    <w:unhideWhenUsed/>
    <w:rPr>
      <w:vertAlign w:val="superscript"/>
    </w:rPr>
  </w:style>
  <w:style w:type="paragraph" w:styleId="872">
    <w:name w:val="toc 1"/>
    <w:basedOn w:val="705"/>
    <w:next w:val="705"/>
    <w:uiPriority w:val="39"/>
    <w:unhideWhenUsed/>
    <w:pPr>
      <w:spacing w:after="57"/>
    </w:pPr>
  </w:style>
  <w:style w:type="paragraph" w:styleId="873">
    <w:name w:val="toc 2"/>
    <w:basedOn w:val="705"/>
    <w:next w:val="705"/>
    <w:uiPriority w:val="39"/>
    <w:unhideWhenUsed/>
    <w:pPr>
      <w:ind w:left="283"/>
      <w:spacing w:after="57"/>
    </w:pPr>
  </w:style>
  <w:style w:type="paragraph" w:styleId="874">
    <w:name w:val="toc 3"/>
    <w:basedOn w:val="705"/>
    <w:next w:val="705"/>
    <w:uiPriority w:val="39"/>
    <w:unhideWhenUsed/>
    <w:pPr>
      <w:ind w:left="567"/>
      <w:spacing w:after="57"/>
    </w:pPr>
  </w:style>
  <w:style w:type="paragraph" w:styleId="875">
    <w:name w:val="toc 4"/>
    <w:basedOn w:val="705"/>
    <w:next w:val="705"/>
    <w:uiPriority w:val="39"/>
    <w:unhideWhenUsed/>
    <w:pPr>
      <w:ind w:left="850"/>
      <w:spacing w:after="57"/>
    </w:pPr>
  </w:style>
  <w:style w:type="paragraph" w:styleId="876">
    <w:name w:val="toc 5"/>
    <w:basedOn w:val="705"/>
    <w:next w:val="705"/>
    <w:uiPriority w:val="39"/>
    <w:unhideWhenUsed/>
    <w:pPr>
      <w:ind w:left="1134"/>
      <w:spacing w:after="57"/>
    </w:pPr>
  </w:style>
  <w:style w:type="paragraph" w:styleId="877">
    <w:name w:val="toc 6"/>
    <w:basedOn w:val="705"/>
    <w:next w:val="705"/>
    <w:uiPriority w:val="39"/>
    <w:unhideWhenUsed/>
    <w:pPr>
      <w:ind w:left="1417"/>
      <w:spacing w:after="57"/>
    </w:pPr>
  </w:style>
  <w:style w:type="paragraph" w:styleId="878">
    <w:name w:val="toc 7"/>
    <w:basedOn w:val="705"/>
    <w:next w:val="705"/>
    <w:uiPriority w:val="39"/>
    <w:unhideWhenUsed/>
    <w:pPr>
      <w:ind w:left="1701"/>
      <w:spacing w:after="57"/>
    </w:pPr>
  </w:style>
  <w:style w:type="paragraph" w:styleId="879">
    <w:name w:val="toc 8"/>
    <w:basedOn w:val="705"/>
    <w:next w:val="705"/>
    <w:uiPriority w:val="39"/>
    <w:unhideWhenUsed/>
    <w:pPr>
      <w:ind w:left="1984"/>
      <w:spacing w:after="57"/>
    </w:pPr>
  </w:style>
  <w:style w:type="paragraph" w:styleId="880">
    <w:name w:val="toc 9"/>
    <w:basedOn w:val="705"/>
    <w:next w:val="705"/>
    <w:uiPriority w:val="39"/>
    <w:unhideWhenUsed/>
    <w:pPr>
      <w:ind w:left="2268"/>
      <w:spacing w:after="57"/>
    </w:pPr>
  </w:style>
  <w:style w:type="paragraph" w:styleId="881">
    <w:name w:val="TOC Heading"/>
    <w:uiPriority w:val="39"/>
    <w:unhideWhenUsed/>
  </w:style>
  <w:style w:type="paragraph" w:styleId="882">
    <w:name w:val="table of figures"/>
    <w:basedOn w:val="705"/>
    <w:next w:val="705"/>
    <w:uiPriority w:val="99"/>
    <w:unhideWhenUsed/>
    <w:pPr>
      <w:spacing w:after="0"/>
    </w:pPr>
  </w:style>
  <w:style w:type="character" w:styleId="883">
    <w:name w:val="Hyperlink"/>
    <w:uiPriority w:val="99"/>
    <w:rPr>
      <w:color w:val="0000ff"/>
      <w:u w:val="single"/>
    </w:rPr>
  </w:style>
  <w:style w:type="paragraph" w:styleId="884" w:customStyle="1">
    <w:name w:val="ConsPlusNormal"/>
    <w:link w:val="886"/>
    <w:qFormat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885">
    <w:name w:val="List Paragraph"/>
    <w:basedOn w:val="705"/>
    <w:link w:val="887"/>
    <w:uiPriority w:val="1"/>
    <w:qFormat/>
    <w:pPr>
      <w:contextualSpacing/>
      <w:ind w:left="720"/>
    </w:pPr>
  </w:style>
  <w:style w:type="character" w:styleId="886" w:customStyle="1">
    <w:name w:val="ConsPlusNormal Знак"/>
    <w:link w:val="884"/>
    <w:rPr>
      <w:rFonts w:ascii="Arial" w:hAnsi="Arial" w:eastAsia="Times New Roman" w:cs="Arial"/>
      <w:sz w:val="20"/>
      <w:szCs w:val="20"/>
      <w:lang w:eastAsia="ru-RU"/>
    </w:rPr>
  </w:style>
  <w:style w:type="character" w:styleId="887" w:customStyle="1">
    <w:name w:val="Абзац списка Знак"/>
    <w:link w:val="885"/>
    <w:uiPriority w:val="1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8" w:customStyle="1">
    <w:name w:val="Обычный + по ширине"/>
    <w:basedOn w:val="705"/>
    <w:qFormat/>
    <w:pPr>
      <w:spacing w:after="0"/>
    </w:pPr>
  </w:style>
  <w:style w:type="paragraph" w:styleId="889" w:customStyle="1">
    <w:name w:val="Обычный.Нормальный абзац"/>
    <w:pPr>
      <w:ind w:firstLine="709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0">
    <w:name w:val="Header"/>
    <w:basedOn w:val="705"/>
    <w:link w:val="891"/>
    <w:uiPriority w:val="99"/>
    <w:unhideWhenUsed/>
    <w:pPr>
      <w:spacing w:after="0"/>
      <w:tabs>
        <w:tab w:val="center" w:pos="4677" w:leader="none"/>
        <w:tab w:val="right" w:pos="9355" w:leader="none"/>
      </w:tabs>
    </w:pPr>
  </w:style>
  <w:style w:type="character" w:styleId="891" w:customStyle="1">
    <w:name w:val="Верхний колонтитул Знак"/>
    <w:basedOn w:val="715"/>
    <w:link w:val="890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2">
    <w:name w:val="Footer"/>
    <w:basedOn w:val="705"/>
    <w:link w:val="893"/>
    <w:uiPriority w:val="99"/>
    <w:unhideWhenUsed/>
    <w:pPr>
      <w:spacing w:after="0"/>
      <w:tabs>
        <w:tab w:val="center" w:pos="4677" w:leader="none"/>
        <w:tab w:val="right" w:pos="9355" w:leader="none"/>
      </w:tabs>
    </w:pPr>
  </w:style>
  <w:style w:type="character" w:styleId="893" w:customStyle="1">
    <w:name w:val="Нижний колонтитул Знак"/>
    <w:basedOn w:val="715"/>
    <w:link w:val="892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4">
    <w:name w:val="Balloon Text"/>
    <w:basedOn w:val="705"/>
    <w:link w:val="895"/>
    <w:uiPriority w:val="99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character" w:styleId="895" w:customStyle="1">
    <w:name w:val="Текст выноски Знак"/>
    <w:basedOn w:val="715"/>
    <w:link w:val="894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896" w:customStyle="1">
    <w:name w:val="Основной текст формы"/>
    <w:qFormat/>
    <w:pPr>
      <w:jc w:val="both"/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ahoma" w:hAnsi="Tahoma" w:eastAsia="Times New Roman" w:cs="Times New Roman"/>
      <w:sz w:val="20"/>
    </w:rPr>
  </w:style>
  <w:style w:type="character" w:styleId="897" w:customStyle="1">
    <w:name w:val="Строгий1"/>
    <w:uiPriority w:val="22"/>
    <w:qFormat/>
    <w:rPr>
      <w:rFonts w:cs="Times New Roman"/>
      <w:b/>
      <w:bCs/>
    </w:rPr>
  </w:style>
  <w:style w:type="character" w:styleId="898" w:customStyle="1">
    <w:name w:val="Текст сноски Знак2"/>
    <w:uiPriority w:val="99"/>
    <w:rPr>
      <w:sz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chalovamv</dc:creator>
  <cp:keywords/>
  <dc:description/>
  <cp:lastModifiedBy>p.mukhin</cp:lastModifiedBy>
  <cp:revision>4</cp:revision>
  <dcterms:created xsi:type="dcterms:W3CDTF">2026-07-15T15:09:00Z</dcterms:created>
  <dcterms:modified xsi:type="dcterms:W3CDTF">2026-07-22T16:30:25Z</dcterms:modified>
</cp:coreProperties>
</file>