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49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351"/>
        <w:gridCol w:w="601"/>
        <w:gridCol w:w="1121"/>
        <w:gridCol w:w="1583"/>
        <w:gridCol w:w="1126"/>
        <w:gridCol w:w="134"/>
        <w:gridCol w:w="558"/>
        <w:gridCol w:w="265"/>
        <w:gridCol w:w="583"/>
        <w:gridCol w:w="374"/>
        <w:gridCol w:w="583"/>
        <w:gridCol w:w="265"/>
        <w:gridCol w:w="691"/>
        <w:gridCol w:w="265"/>
        <w:gridCol w:w="691"/>
        <w:gridCol w:w="265"/>
        <w:gridCol w:w="511"/>
        <w:gridCol w:w="265"/>
        <w:gridCol w:w="245"/>
        <w:gridCol w:w="265"/>
        <w:gridCol w:w="487"/>
        <w:gridCol w:w="265"/>
        <w:gridCol w:w="908"/>
        <w:gridCol w:w="265"/>
        <w:gridCol w:w="1210"/>
        <w:gridCol w:w="55"/>
        <w:gridCol w:w="516"/>
        <w:gridCol w:w="891"/>
        <w:gridCol w:w="52"/>
      </w:tblGrid>
      <w:tr w:rsidR="005A4044" w:rsidTr="005A4044">
        <w:tblPrEx>
          <w:tblCellMar>
            <w:top w:w="0" w:type="dxa"/>
            <w:bottom w:w="0" w:type="dxa"/>
          </w:tblCellMar>
        </w:tblPrEx>
        <w:trPr>
          <w:gridAfter w:val="2"/>
          <w:wAfter w:w="943" w:type="dxa"/>
          <w:cantSplit/>
          <w:trHeight w:val="237"/>
        </w:trPr>
        <w:tc>
          <w:tcPr>
            <w:tcW w:w="2073" w:type="dxa"/>
            <w:gridSpan w:val="3"/>
            <w:shd w:val="clear" w:color="auto" w:fill="auto"/>
            <w:vAlign w:val="center"/>
          </w:tcPr>
          <w:p w:rsidR="00D726D0" w:rsidRDefault="00D726D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*</w:t>
            </w:r>
          </w:p>
        </w:tc>
        <w:tc>
          <w:tcPr>
            <w:tcW w:w="1583" w:type="dxa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823" w:type="dxa"/>
            <w:gridSpan w:val="2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957" w:type="dxa"/>
            <w:gridSpan w:val="2"/>
          </w:tcPr>
          <w:p w:rsidR="00D726D0" w:rsidRDefault="00D726D0">
            <w:pPr>
              <w:jc w:val="center"/>
            </w:pPr>
          </w:p>
        </w:tc>
        <w:tc>
          <w:tcPr>
            <w:tcW w:w="848" w:type="dxa"/>
            <w:gridSpan w:val="2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956" w:type="dxa"/>
            <w:gridSpan w:val="2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956" w:type="dxa"/>
            <w:gridSpan w:val="2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776" w:type="dxa"/>
            <w:gridSpan w:val="2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510" w:type="dxa"/>
            <w:gridSpan w:val="2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752" w:type="dxa"/>
            <w:gridSpan w:val="2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571" w:type="dxa"/>
            <w:gridSpan w:val="2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</w:tr>
      <w:tr w:rsidR="00D726D0" w:rsidTr="005A4044">
        <w:tblPrEx>
          <w:tblCellMar>
            <w:top w:w="0" w:type="dxa"/>
            <w:bottom w:w="0" w:type="dxa"/>
          </w:tblCellMar>
        </w:tblPrEx>
        <w:trPr>
          <w:cantSplit/>
          <w:trHeight w:val="237"/>
        </w:trPr>
        <w:tc>
          <w:tcPr>
            <w:tcW w:w="952" w:type="dxa"/>
            <w:gridSpan w:val="2"/>
          </w:tcPr>
          <w:p w:rsidR="00D726D0" w:rsidRDefault="00D726D0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4439" w:type="dxa"/>
            <w:gridSpan w:val="27"/>
            <w:shd w:val="clear" w:color="auto" w:fill="auto"/>
            <w:vAlign w:val="center"/>
          </w:tcPr>
          <w:p w:rsidR="00D726D0" w:rsidRDefault="00D726D0">
            <w:pPr>
              <w:jc w:val="center"/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Определение начальной максимальной цены контракта</w:t>
            </w:r>
          </w:p>
        </w:tc>
      </w:tr>
      <w:tr w:rsidR="005A4044" w:rsidTr="005A4044">
        <w:tblPrEx>
          <w:tblCellMar>
            <w:top w:w="0" w:type="dxa"/>
            <w:bottom w:w="0" w:type="dxa"/>
          </w:tblCellMar>
        </w:tblPrEx>
        <w:trPr>
          <w:gridAfter w:val="2"/>
          <w:wAfter w:w="943" w:type="dxa"/>
          <w:cantSplit/>
          <w:trHeight w:val="237"/>
        </w:trPr>
        <w:tc>
          <w:tcPr>
            <w:tcW w:w="351" w:type="dxa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1583" w:type="dxa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823" w:type="dxa"/>
            <w:gridSpan w:val="2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957" w:type="dxa"/>
            <w:gridSpan w:val="2"/>
          </w:tcPr>
          <w:p w:rsidR="00D726D0" w:rsidRDefault="00D726D0">
            <w:pPr>
              <w:jc w:val="center"/>
            </w:pPr>
          </w:p>
        </w:tc>
        <w:tc>
          <w:tcPr>
            <w:tcW w:w="848" w:type="dxa"/>
            <w:gridSpan w:val="2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956" w:type="dxa"/>
            <w:gridSpan w:val="2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956" w:type="dxa"/>
            <w:gridSpan w:val="2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776" w:type="dxa"/>
            <w:gridSpan w:val="2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510" w:type="dxa"/>
            <w:gridSpan w:val="2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752" w:type="dxa"/>
            <w:gridSpan w:val="2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571" w:type="dxa"/>
            <w:gridSpan w:val="2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</w:tr>
      <w:tr w:rsidR="00D726D0" w:rsidTr="005A4044">
        <w:tblPrEx>
          <w:tblCellMar>
            <w:top w:w="0" w:type="dxa"/>
            <w:bottom w:w="0" w:type="dxa"/>
          </w:tblCellMar>
        </w:tblPrEx>
        <w:trPr>
          <w:cantSplit/>
          <w:trHeight w:val="726"/>
        </w:trPr>
        <w:tc>
          <w:tcPr>
            <w:tcW w:w="952" w:type="dxa"/>
            <w:gridSpan w:val="2"/>
          </w:tcPr>
          <w:p w:rsidR="00D726D0" w:rsidRDefault="00D726D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439" w:type="dxa"/>
            <w:gridSpan w:val="27"/>
            <w:shd w:val="clear" w:color="auto" w:fill="auto"/>
            <w:vAlign w:val="center"/>
          </w:tcPr>
          <w:p w:rsidR="00D726D0" w:rsidRDefault="00D726D0">
            <w:pPr>
              <w:jc w:val="both"/>
            </w:pPr>
            <w:r>
              <w:rPr>
                <w:rFonts w:ascii="Times New Roman" w:hAnsi="Times New Roman"/>
                <w:sz w:val="21"/>
                <w:szCs w:val="21"/>
              </w:rPr>
              <w:t xml:space="preserve">Начальная (максимальная) цена контракта (далее - НМЦК) определена в соответствии с Приказом Министерства здравоохранения РФ от 19 декабря 2019 г. №1064н "Об утверждении порядка определения начальной (максимальной) цены контракта, цены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контракта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медицинского применения</w:t>
            </w:r>
          </w:p>
        </w:tc>
      </w:tr>
      <w:tr w:rsidR="005A4044" w:rsidTr="005A4044">
        <w:tblPrEx>
          <w:tblCellMar>
            <w:top w:w="0" w:type="dxa"/>
            <w:bottom w:w="0" w:type="dxa"/>
          </w:tblCellMar>
        </w:tblPrEx>
        <w:trPr>
          <w:gridAfter w:val="2"/>
          <w:wAfter w:w="943" w:type="dxa"/>
          <w:cantSplit/>
          <w:trHeight w:val="237"/>
        </w:trPr>
        <w:tc>
          <w:tcPr>
            <w:tcW w:w="351" w:type="dxa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1583" w:type="dxa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823" w:type="dxa"/>
            <w:gridSpan w:val="2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957" w:type="dxa"/>
            <w:gridSpan w:val="2"/>
          </w:tcPr>
          <w:p w:rsidR="00D726D0" w:rsidRDefault="00D726D0">
            <w:pPr>
              <w:jc w:val="center"/>
            </w:pPr>
          </w:p>
        </w:tc>
        <w:tc>
          <w:tcPr>
            <w:tcW w:w="848" w:type="dxa"/>
            <w:gridSpan w:val="2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956" w:type="dxa"/>
            <w:gridSpan w:val="2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956" w:type="dxa"/>
            <w:gridSpan w:val="2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776" w:type="dxa"/>
            <w:gridSpan w:val="2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510" w:type="dxa"/>
            <w:gridSpan w:val="2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752" w:type="dxa"/>
            <w:gridSpan w:val="2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  <w:tc>
          <w:tcPr>
            <w:tcW w:w="571" w:type="dxa"/>
            <w:gridSpan w:val="2"/>
            <w:shd w:val="clear" w:color="auto" w:fill="auto"/>
            <w:vAlign w:val="center"/>
          </w:tcPr>
          <w:p w:rsidR="00D726D0" w:rsidRDefault="00D726D0">
            <w:pPr>
              <w:jc w:val="center"/>
            </w:pPr>
          </w:p>
        </w:tc>
      </w:tr>
      <w:tr w:rsidR="005A4044" w:rsidTr="005A4044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cantSplit/>
          <w:trHeight w:val="1907"/>
        </w:trPr>
        <w:tc>
          <w:tcPr>
            <w:tcW w:w="3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726D0" w:rsidRDefault="00D726D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№</w:t>
            </w:r>
          </w:p>
        </w:tc>
        <w:tc>
          <w:tcPr>
            <w:tcW w:w="172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726D0" w:rsidRDefault="00D726D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Международное непатентованное наименование или химическое, 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группировочное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наименование ЛП</w:t>
            </w:r>
          </w:p>
        </w:tc>
        <w:tc>
          <w:tcPr>
            <w:tcW w:w="15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726D0" w:rsidRDefault="00D726D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Лекарственная форма, дозировка по ЕСКЛП</w:t>
            </w:r>
          </w:p>
        </w:tc>
        <w:tc>
          <w:tcPr>
            <w:tcW w:w="11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726D0" w:rsidRDefault="00D726D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ОКПД2</w:t>
            </w:r>
          </w:p>
        </w:tc>
        <w:tc>
          <w:tcPr>
            <w:tcW w:w="6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726D0" w:rsidRDefault="00D726D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Ед. изм. (ЕИ) по ЕСКЛП</w:t>
            </w:r>
          </w:p>
        </w:tc>
        <w:tc>
          <w:tcPr>
            <w:tcW w:w="84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726D0" w:rsidRDefault="00D726D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за ЕИ ЛП по анализу рынка, без учета НДС и ОН, руб.</w:t>
            </w:r>
          </w:p>
        </w:tc>
        <w:tc>
          <w:tcPr>
            <w:tcW w:w="95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D726D0" w:rsidRDefault="00D726D0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D726D0" w:rsidRDefault="00D726D0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D726D0" w:rsidRDefault="00D726D0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D726D0" w:rsidRDefault="00D726D0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Макс</w:t>
            </w:r>
            <w:r>
              <w:rPr>
                <w:rFonts w:ascii="Times New Roman" w:hAnsi="Times New Roman"/>
                <w:sz w:val="17"/>
                <w:szCs w:val="17"/>
              </w:rPr>
              <w:t>. цена ЕИ ЛП по данным ГРЛС, без учета НДС и ОН, руб.</w:t>
            </w:r>
          </w:p>
        </w:tc>
        <w:tc>
          <w:tcPr>
            <w:tcW w:w="9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726D0" w:rsidRDefault="00D726D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ЕИ ЛП по данным ГРЛС, без учета НДС и ОН, руб.</w:t>
            </w:r>
          </w:p>
        </w:tc>
        <w:tc>
          <w:tcPr>
            <w:tcW w:w="9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726D0" w:rsidRDefault="00D726D0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Средневзвешенная цена ЕИ ЛП по исполненным Договорам за 12 месяцев, предшествующих месяцу расчета, без учета НДС и ОН, руб.</w:t>
            </w:r>
          </w:p>
        </w:tc>
        <w:tc>
          <w:tcPr>
            <w:tcW w:w="77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726D0" w:rsidRDefault="00D726D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Референт-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ная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цена ЕИ ЛП, руб.</w:t>
            </w:r>
          </w:p>
        </w:tc>
        <w:tc>
          <w:tcPr>
            <w:tcW w:w="5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726D0" w:rsidRDefault="00D726D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НДС, %</w:t>
            </w:r>
          </w:p>
        </w:tc>
        <w:tc>
          <w:tcPr>
            <w:tcW w:w="75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726D0" w:rsidRDefault="00D726D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Опт. </w:t>
            </w:r>
            <w:proofErr w:type="spellStart"/>
            <w:proofErr w:type="gramStart"/>
            <w:r>
              <w:rPr>
                <w:rFonts w:ascii="Times New Roman" w:hAnsi="Times New Roman"/>
                <w:sz w:val="17"/>
                <w:szCs w:val="17"/>
              </w:rPr>
              <w:t>надб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>.,</w:t>
            </w:r>
            <w:proofErr w:type="gramEnd"/>
            <w:r>
              <w:rPr>
                <w:rFonts w:ascii="Times New Roman" w:hAnsi="Times New Roman"/>
                <w:sz w:val="17"/>
                <w:szCs w:val="17"/>
              </w:rPr>
              <w:t xml:space="preserve"> %</w:t>
            </w:r>
          </w:p>
        </w:tc>
        <w:tc>
          <w:tcPr>
            <w:tcW w:w="117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726D0" w:rsidRDefault="00D726D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значение цены ЕИ ЛП с учетом НДС и опт. надбавки, руб.</w:t>
            </w:r>
          </w:p>
        </w:tc>
        <w:tc>
          <w:tcPr>
            <w:tcW w:w="153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726D0" w:rsidRDefault="00D726D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Объем закупки в ЕИ ЛП</w:t>
            </w:r>
          </w:p>
        </w:tc>
        <w:tc>
          <w:tcPr>
            <w:tcW w:w="140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726D0" w:rsidRDefault="00D726D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НМЦК, руб.</w:t>
            </w:r>
          </w:p>
        </w:tc>
      </w:tr>
      <w:tr w:rsidR="005A4044" w:rsidTr="005A4044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cantSplit/>
          <w:trHeight w:val="711"/>
        </w:trPr>
        <w:tc>
          <w:tcPr>
            <w:tcW w:w="3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726D0" w:rsidRDefault="00D726D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172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726D0" w:rsidRDefault="00D726D0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Даунорубицин</w:t>
            </w:r>
            <w:proofErr w:type="spellEnd"/>
          </w:p>
        </w:tc>
        <w:tc>
          <w:tcPr>
            <w:tcW w:w="15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726D0" w:rsidRDefault="005A4044">
            <w:pPr>
              <w:jc w:val="center"/>
            </w:pPr>
            <w:proofErr w:type="spellStart"/>
            <w:r w:rsidRPr="00E25A53">
              <w:rPr>
                <w:rFonts w:ascii="Times New Roman" w:hAnsi="Times New Roman"/>
                <w:sz w:val="17"/>
                <w:szCs w:val="17"/>
              </w:rPr>
              <w:t>Лиофилизат</w:t>
            </w:r>
            <w:proofErr w:type="spellEnd"/>
            <w:r w:rsidRPr="00E25A53">
              <w:rPr>
                <w:rFonts w:ascii="Times New Roman" w:hAnsi="Times New Roman"/>
                <w:sz w:val="17"/>
                <w:szCs w:val="17"/>
              </w:rPr>
              <w:t xml:space="preserve"> для приготовления раствора для внутривенного введения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20 мг</w:t>
            </w:r>
          </w:p>
        </w:tc>
        <w:tc>
          <w:tcPr>
            <w:tcW w:w="11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726D0" w:rsidRDefault="00D726D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21.20.10.211</w:t>
            </w:r>
          </w:p>
        </w:tc>
        <w:tc>
          <w:tcPr>
            <w:tcW w:w="6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726D0" w:rsidRDefault="00D726D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мг</w:t>
            </w:r>
          </w:p>
        </w:tc>
        <w:tc>
          <w:tcPr>
            <w:tcW w:w="84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726D0" w:rsidRDefault="005A4044">
            <w:pPr>
              <w:jc w:val="center"/>
            </w:pPr>
            <w:r w:rsidRPr="005A4044">
              <w:rPr>
                <w:rFonts w:ascii="Times New Roman" w:hAnsi="Times New Roman"/>
                <w:sz w:val="17"/>
                <w:szCs w:val="17"/>
              </w:rPr>
              <w:t>10,9091</w:t>
            </w:r>
          </w:p>
        </w:tc>
        <w:tc>
          <w:tcPr>
            <w:tcW w:w="95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D726D0" w:rsidRDefault="00D726D0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5A4044" w:rsidRDefault="005A4044" w:rsidP="00D726D0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D726D0" w:rsidRDefault="00D726D0" w:rsidP="00D726D0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22,5000*</w:t>
            </w:r>
          </w:p>
        </w:tc>
        <w:tc>
          <w:tcPr>
            <w:tcW w:w="9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726D0" w:rsidRDefault="00D726D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5,3035</w:t>
            </w:r>
          </w:p>
        </w:tc>
        <w:tc>
          <w:tcPr>
            <w:tcW w:w="9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726D0" w:rsidRDefault="00D726D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5,2727</w:t>
            </w:r>
          </w:p>
        </w:tc>
        <w:tc>
          <w:tcPr>
            <w:tcW w:w="77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726D0" w:rsidRDefault="00D726D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726D0" w:rsidRDefault="00D726D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75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726D0" w:rsidRDefault="00D726D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117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726D0" w:rsidRDefault="00D726D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27,2250</w:t>
            </w:r>
          </w:p>
        </w:tc>
        <w:tc>
          <w:tcPr>
            <w:tcW w:w="153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726D0" w:rsidRDefault="00D726D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12 000</w:t>
            </w:r>
          </w:p>
        </w:tc>
        <w:tc>
          <w:tcPr>
            <w:tcW w:w="140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726D0" w:rsidRDefault="00D726D0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326 700</w:t>
            </w:r>
          </w:p>
        </w:tc>
      </w:tr>
      <w:tr w:rsidR="00D726D0" w:rsidTr="005A4044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cantSplit/>
          <w:trHeight w:val="211"/>
        </w:trPr>
        <w:tc>
          <w:tcPr>
            <w:tcW w:w="95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D726D0" w:rsidRDefault="00D726D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2980" w:type="dxa"/>
            <w:gridSpan w:val="2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726D0" w:rsidRDefault="00D726D0" w:rsidP="00D726D0">
            <w:r>
              <w:rPr>
                <w:rFonts w:ascii="Times New Roman" w:hAnsi="Times New Roman"/>
                <w:b/>
                <w:sz w:val="19"/>
                <w:szCs w:val="19"/>
              </w:rPr>
              <w:t>ИТОГО:</w:t>
            </w:r>
          </w:p>
        </w:tc>
        <w:tc>
          <w:tcPr>
            <w:tcW w:w="140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726D0" w:rsidRDefault="00D726D0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326 700,00</w:t>
            </w:r>
          </w:p>
        </w:tc>
      </w:tr>
      <w:tr w:rsidR="005A4044" w:rsidTr="005A4044">
        <w:tblPrEx>
          <w:tblCellMar>
            <w:top w:w="0" w:type="dxa"/>
            <w:bottom w:w="0" w:type="dxa"/>
          </w:tblCellMar>
        </w:tblPrEx>
        <w:trPr>
          <w:gridAfter w:val="2"/>
          <w:wAfter w:w="943" w:type="dxa"/>
          <w:cantSplit/>
          <w:trHeight w:val="166"/>
        </w:trPr>
        <w:tc>
          <w:tcPr>
            <w:tcW w:w="351" w:type="dxa"/>
            <w:shd w:val="clear" w:color="auto" w:fill="auto"/>
            <w:vAlign w:val="bottom"/>
          </w:tcPr>
          <w:p w:rsidR="00D726D0" w:rsidRDefault="00D726D0"/>
        </w:tc>
        <w:tc>
          <w:tcPr>
            <w:tcW w:w="1722" w:type="dxa"/>
            <w:gridSpan w:val="2"/>
            <w:shd w:val="clear" w:color="auto" w:fill="auto"/>
            <w:vAlign w:val="bottom"/>
          </w:tcPr>
          <w:p w:rsidR="00D726D0" w:rsidRDefault="00D726D0"/>
        </w:tc>
        <w:tc>
          <w:tcPr>
            <w:tcW w:w="1583" w:type="dxa"/>
            <w:shd w:val="clear" w:color="auto" w:fill="auto"/>
            <w:vAlign w:val="bottom"/>
          </w:tcPr>
          <w:p w:rsidR="00D726D0" w:rsidRDefault="00D726D0"/>
        </w:tc>
        <w:tc>
          <w:tcPr>
            <w:tcW w:w="1126" w:type="dxa"/>
            <w:shd w:val="clear" w:color="auto" w:fill="auto"/>
            <w:vAlign w:val="bottom"/>
          </w:tcPr>
          <w:p w:rsidR="00D726D0" w:rsidRDefault="00D726D0"/>
        </w:tc>
        <w:tc>
          <w:tcPr>
            <w:tcW w:w="134" w:type="dxa"/>
            <w:shd w:val="clear" w:color="auto" w:fill="auto"/>
            <w:vAlign w:val="bottom"/>
          </w:tcPr>
          <w:p w:rsidR="00D726D0" w:rsidRDefault="00D726D0"/>
        </w:tc>
        <w:tc>
          <w:tcPr>
            <w:tcW w:w="823" w:type="dxa"/>
            <w:gridSpan w:val="2"/>
            <w:shd w:val="clear" w:color="auto" w:fill="auto"/>
            <w:vAlign w:val="bottom"/>
          </w:tcPr>
          <w:p w:rsidR="00D726D0" w:rsidRDefault="00D726D0"/>
        </w:tc>
        <w:tc>
          <w:tcPr>
            <w:tcW w:w="957" w:type="dxa"/>
            <w:gridSpan w:val="2"/>
          </w:tcPr>
          <w:p w:rsidR="00D726D0" w:rsidRDefault="00D726D0"/>
        </w:tc>
        <w:tc>
          <w:tcPr>
            <w:tcW w:w="848" w:type="dxa"/>
            <w:gridSpan w:val="2"/>
            <w:shd w:val="clear" w:color="auto" w:fill="auto"/>
            <w:vAlign w:val="bottom"/>
          </w:tcPr>
          <w:p w:rsidR="00D726D0" w:rsidRDefault="00D726D0"/>
        </w:tc>
        <w:tc>
          <w:tcPr>
            <w:tcW w:w="956" w:type="dxa"/>
            <w:gridSpan w:val="2"/>
            <w:shd w:val="clear" w:color="auto" w:fill="auto"/>
            <w:vAlign w:val="bottom"/>
          </w:tcPr>
          <w:p w:rsidR="00D726D0" w:rsidRDefault="00D726D0"/>
        </w:tc>
        <w:tc>
          <w:tcPr>
            <w:tcW w:w="956" w:type="dxa"/>
            <w:gridSpan w:val="2"/>
            <w:shd w:val="clear" w:color="auto" w:fill="auto"/>
            <w:vAlign w:val="bottom"/>
          </w:tcPr>
          <w:p w:rsidR="00D726D0" w:rsidRDefault="00D726D0"/>
        </w:tc>
        <w:tc>
          <w:tcPr>
            <w:tcW w:w="776" w:type="dxa"/>
            <w:gridSpan w:val="2"/>
            <w:shd w:val="clear" w:color="auto" w:fill="auto"/>
            <w:vAlign w:val="bottom"/>
          </w:tcPr>
          <w:p w:rsidR="00D726D0" w:rsidRDefault="00D726D0"/>
        </w:tc>
        <w:tc>
          <w:tcPr>
            <w:tcW w:w="510" w:type="dxa"/>
            <w:gridSpan w:val="2"/>
            <w:shd w:val="clear" w:color="auto" w:fill="auto"/>
            <w:vAlign w:val="bottom"/>
          </w:tcPr>
          <w:p w:rsidR="00D726D0" w:rsidRDefault="00D726D0"/>
        </w:tc>
        <w:tc>
          <w:tcPr>
            <w:tcW w:w="752" w:type="dxa"/>
            <w:gridSpan w:val="2"/>
            <w:shd w:val="clear" w:color="auto" w:fill="auto"/>
            <w:vAlign w:val="bottom"/>
          </w:tcPr>
          <w:p w:rsidR="00D726D0" w:rsidRDefault="00D726D0"/>
        </w:tc>
        <w:tc>
          <w:tcPr>
            <w:tcW w:w="1173" w:type="dxa"/>
            <w:gridSpan w:val="2"/>
            <w:shd w:val="clear" w:color="auto" w:fill="auto"/>
            <w:vAlign w:val="bottom"/>
          </w:tcPr>
          <w:p w:rsidR="00D726D0" w:rsidRDefault="00D726D0"/>
        </w:tc>
        <w:tc>
          <w:tcPr>
            <w:tcW w:w="1210" w:type="dxa"/>
            <w:shd w:val="clear" w:color="auto" w:fill="auto"/>
            <w:vAlign w:val="bottom"/>
          </w:tcPr>
          <w:p w:rsidR="00D726D0" w:rsidRDefault="00D726D0"/>
        </w:tc>
        <w:tc>
          <w:tcPr>
            <w:tcW w:w="571" w:type="dxa"/>
            <w:gridSpan w:val="2"/>
            <w:shd w:val="clear" w:color="auto" w:fill="auto"/>
            <w:vAlign w:val="bottom"/>
          </w:tcPr>
          <w:p w:rsidR="00D726D0" w:rsidRDefault="00D726D0"/>
        </w:tc>
      </w:tr>
      <w:tr w:rsidR="00D726D0" w:rsidTr="005A4044">
        <w:tblPrEx>
          <w:tblCellMar>
            <w:top w:w="0" w:type="dxa"/>
            <w:bottom w:w="0" w:type="dxa"/>
          </w:tblCellMar>
        </w:tblPrEx>
        <w:trPr>
          <w:cantSplit/>
          <w:trHeight w:val="545"/>
        </w:trPr>
        <w:tc>
          <w:tcPr>
            <w:tcW w:w="952" w:type="dxa"/>
            <w:gridSpan w:val="2"/>
          </w:tcPr>
          <w:p w:rsidR="00D726D0" w:rsidRDefault="00D726D0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439" w:type="dxa"/>
            <w:gridSpan w:val="27"/>
            <w:shd w:val="clear" w:color="auto" w:fill="auto"/>
            <w:vAlign w:val="bottom"/>
          </w:tcPr>
          <w:p w:rsidR="00D726D0" w:rsidRDefault="00D726D0">
            <w:r>
              <w:rPr>
                <w:rFonts w:ascii="Times New Roman" w:hAnsi="Times New Roman"/>
                <w:sz w:val="23"/>
                <w:szCs w:val="23"/>
              </w:rPr>
              <w:t>Проведенные исследования позволяют определить начальную (максимальную) цену контракта в размере: 326 700,00 (Триста двадцать шесть тысяч семьсот рублей 00 копеек)</w:t>
            </w:r>
          </w:p>
        </w:tc>
      </w:tr>
      <w:tr w:rsidR="005A4044" w:rsidTr="005A4044">
        <w:tblPrEx>
          <w:tblCellMar>
            <w:top w:w="0" w:type="dxa"/>
            <w:bottom w:w="0" w:type="dxa"/>
          </w:tblCellMar>
        </w:tblPrEx>
        <w:trPr>
          <w:gridAfter w:val="2"/>
          <w:wAfter w:w="943" w:type="dxa"/>
          <w:cantSplit/>
          <w:trHeight w:val="166"/>
        </w:trPr>
        <w:tc>
          <w:tcPr>
            <w:tcW w:w="351" w:type="dxa"/>
            <w:shd w:val="clear" w:color="auto" w:fill="auto"/>
            <w:vAlign w:val="bottom"/>
          </w:tcPr>
          <w:p w:rsidR="00D726D0" w:rsidRDefault="00D726D0"/>
        </w:tc>
        <w:tc>
          <w:tcPr>
            <w:tcW w:w="1722" w:type="dxa"/>
            <w:gridSpan w:val="2"/>
            <w:shd w:val="clear" w:color="auto" w:fill="auto"/>
            <w:vAlign w:val="bottom"/>
          </w:tcPr>
          <w:p w:rsidR="00D726D0" w:rsidRDefault="00D726D0"/>
        </w:tc>
        <w:tc>
          <w:tcPr>
            <w:tcW w:w="1583" w:type="dxa"/>
            <w:shd w:val="clear" w:color="auto" w:fill="auto"/>
            <w:vAlign w:val="bottom"/>
          </w:tcPr>
          <w:p w:rsidR="00D726D0" w:rsidRDefault="00D726D0"/>
        </w:tc>
        <w:tc>
          <w:tcPr>
            <w:tcW w:w="1126" w:type="dxa"/>
            <w:shd w:val="clear" w:color="auto" w:fill="auto"/>
            <w:vAlign w:val="bottom"/>
          </w:tcPr>
          <w:p w:rsidR="00D726D0" w:rsidRDefault="00D726D0"/>
        </w:tc>
        <w:tc>
          <w:tcPr>
            <w:tcW w:w="134" w:type="dxa"/>
            <w:shd w:val="clear" w:color="auto" w:fill="auto"/>
            <w:vAlign w:val="bottom"/>
          </w:tcPr>
          <w:p w:rsidR="00D726D0" w:rsidRDefault="00D726D0"/>
        </w:tc>
        <w:tc>
          <w:tcPr>
            <w:tcW w:w="823" w:type="dxa"/>
            <w:gridSpan w:val="2"/>
            <w:shd w:val="clear" w:color="auto" w:fill="auto"/>
            <w:vAlign w:val="bottom"/>
          </w:tcPr>
          <w:p w:rsidR="00D726D0" w:rsidRDefault="00D726D0"/>
        </w:tc>
        <w:tc>
          <w:tcPr>
            <w:tcW w:w="957" w:type="dxa"/>
            <w:gridSpan w:val="2"/>
          </w:tcPr>
          <w:p w:rsidR="00D726D0" w:rsidRDefault="00D726D0"/>
        </w:tc>
        <w:tc>
          <w:tcPr>
            <w:tcW w:w="848" w:type="dxa"/>
            <w:gridSpan w:val="2"/>
            <w:shd w:val="clear" w:color="auto" w:fill="auto"/>
            <w:vAlign w:val="bottom"/>
          </w:tcPr>
          <w:p w:rsidR="00D726D0" w:rsidRDefault="00D726D0"/>
        </w:tc>
        <w:tc>
          <w:tcPr>
            <w:tcW w:w="956" w:type="dxa"/>
            <w:gridSpan w:val="2"/>
            <w:shd w:val="clear" w:color="auto" w:fill="auto"/>
            <w:vAlign w:val="bottom"/>
          </w:tcPr>
          <w:p w:rsidR="00D726D0" w:rsidRDefault="00D726D0"/>
        </w:tc>
        <w:tc>
          <w:tcPr>
            <w:tcW w:w="956" w:type="dxa"/>
            <w:gridSpan w:val="2"/>
            <w:shd w:val="clear" w:color="auto" w:fill="auto"/>
            <w:vAlign w:val="bottom"/>
          </w:tcPr>
          <w:p w:rsidR="00D726D0" w:rsidRDefault="00D726D0"/>
        </w:tc>
        <w:tc>
          <w:tcPr>
            <w:tcW w:w="776" w:type="dxa"/>
            <w:gridSpan w:val="2"/>
            <w:shd w:val="clear" w:color="auto" w:fill="auto"/>
            <w:vAlign w:val="bottom"/>
          </w:tcPr>
          <w:p w:rsidR="00D726D0" w:rsidRDefault="00D726D0"/>
        </w:tc>
        <w:tc>
          <w:tcPr>
            <w:tcW w:w="510" w:type="dxa"/>
            <w:gridSpan w:val="2"/>
            <w:shd w:val="clear" w:color="auto" w:fill="auto"/>
            <w:vAlign w:val="bottom"/>
          </w:tcPr>
          <w:p w:rsidR="00D726D0" w:rsidRDefault="00D726D0"/>
        </w:tc>
        <w:tc>
          <w:tcPr>
            <w:tcW w:w="752" w:type="dxa"/>
            <w:gridSpan w:val="2"/>
            <w:shd w:val="clear" w:color="auto" w:fill="auto"/>
            <w:vAlign w:val="bottom"/>
          </w:tcPr>
          <w:p w:rsidR="00D726D0" w:rsidRDefault="00D726D0"/>
        </w:tc>
        <w:tc>
          <w:tcPr>
            <w:tcW w:w="1173" w:type="dxa"/>
            <w:gridSpan w:val="2"/>
            <w:shd w:val="clear" w:color="auto" w:fill="auto"/>
            <w:vAlign w:val="bottom"/>
          </w:tcPr>
          <w:p w:rsidR="00D726D0" w:rsidRDefault="00D726D0"/>
        </w:tc>
        <w:tc>
          <w:tcPr>
            <w:tcW w:w="1210" w:type="dxa"/>
            <w:shd w:val="clear" w:color="auto" w:fill="auto"/>
            <w:vAlign w:val="bottom"/>
          </w:tcPr>
          <w:p w:rsidR="00D726D0" w:rsidRDefault="00D726D0"/>
        </w:tc>
        <w:tc>
          <w:tcPr>
            <w:tcW w:w="571" w:type="dxa"/>
            <w:gridSpan w:val="2"/>
            <w:shd w:val="clear" w:color="auto" w:fill="auto"/>
            <w:vAlign w:val="bottom"/>
          </w:tcPr>
          <w:p w:rsidR="00D726D0" w:rsidRDefault="00D726D0"/>
        </w:tc>
      </w:tr>
      <w:tr w:rsidR="00D726D0" w:rsidTr="005A4044">
        <w:tblPrEx>
          <w:tblCellMar>
            <w:top w:w="0" w:type="dxa"/>
            <w:bottom w:w="0" w:type="dxa"/>
          </w:tblCellMar>
        </w:tblPrEx>
        <w:trPr>
          <w:cantSplit/>
          <w:trHeight w:val="181"/>
        </w:trPr>
        <w:tc>
          <w:tcPr>
            <w:tcW w:w="952" w:type="dxa"/>
            <w:gridSpan w:val="2"/>
          </w:tcPr>
          <w:p w:rsidR="00D726D0" w:rsidRDefault="00D726D0"/>
        </w:tc>
        <w:tc>
          <w:tcPr>
            <w:tcW w:w="14439" w:type="dxa"/>
            <w:gridSpan w:val="27"/>
            <w:shd w:val="clear" w:color="auto" w:fill="auto"/>
            <w:vAlign w:val="bottom"/>
          </w:tcPr>
          <w:p w:rsidR="00D726D0" w:rsidRDefault="00D726D0"/>
        </w:tc>
      </w:tr>
      <w:tr w:rsidR="005A4044" w:rsidTr="005A4044">
        <w:tblPrEx>
          <w:tblCellMar>
            <w:top w:w="0" w:type="dxa"/>
            <w:bottom w:w="0" w:type="dxa"/>
          </w:tblCellMar>
        </w:tblPrEx>
        <w:trPr>
          <w:gridAfter w:val="2"/>
          <w:wAfter w:w="943" w:type="dxa"/>
          <w:cantSplit/>
          <w:trHeight w:val="166"/>
        </w:trPr>
        <w:tc>
          <w:tcPr>
            <w:tcW w:w="351" w:type="dxa"/>
            <w:shd w:val="clear" w:color="auto" w:fill="auto"/>
            <w:vAlign w:val="bottom"/>
          </w:tcPr>
          <w:p w:rsidR="00D726D0" w:rsidRDefault="00D726D0"/>
        </w:tc>
        <w:tc>
          <w:tcPr>
            <w:tcW w:w="1722" w:type="dxa"/>
            <w:gridSpan w:val="2"/>
            <w:shd w:val="clear" w:color="auto" w:fill="auto"/>
            <w:vAlign w:val="bottom"/>
          </w:tcPr>
          <w:p w:rsidR="00D726D0" w:rsidRDefault="00D726D0"/>
        </w:tc>
        <w:tc>
          <w:tcPr>
            <w:tcW w:w="1583" w:type="dxa"/>
            <w:shd w:val="clear" w:color="auto" w:fill="auto"/>
            <w:vAlign w:val="bottom"/>
          </w:tcPr>
          <w:p w:rsidR="00D726D0" w:rsidRDefault="00D726D0"/>
        </w:tc>
        <w:tc>
          <w:tcPr>
            <w:tcW w:w="1126" w:type="dxa"/>
            <w:shd w:val="clear" w:color="auto" w:fill="auto"/>
            <w:vAlign w:val="bottom"/>
          </w:tcPr>
          <w:p w:rsidR="00D726D0" w:rsidRDefault="00D726D0"/>
        </w:tc>
        <w:tc>
          <w:tcPr>
            <w:tcW w:w="134" w:type="dxa"/>
            <w:shd w:val="clear" w:color="auto" w:fill="auto"/>
            <w:vAlign w:val="bottom"/>
          </w:tcPr>
          <w:p w:rsidR="00D726D0" w:rsidRDefault="00D726D0"/>
        </w:tc>
        <w:tc>
          <w:tcPr>
            <w:tcW w:w="823" w:type="dxa"/>
            <w:gridSpan w:val="2"/>
            <w:shd w:val="clear" w:color="auto" w:fill="auto"/>
            <w:vAlign w:val="bottom"/>
          </w:tcPr>
          <w:p w:rsidR="00D726D0" w:rsidRDefault="00D726D0"/>
        </w:tc>
        <w:tc>
          <w:tcPr>
            <w:tcW w:w="957" w:type="dxa"/>
            <w:gridSpan w:val="2"/>
          </w:tcPr>
          <w:p w:rsidR="00D726D0" w:rsidRDefault="00D726D0"/>
        </w:tc>
        <w:tc>
          <w:tcPr>
            <w:tcW w:w="848" w:type="dxa"/>
            <w:gridSpan w:val="2"/>
            <w:shd w:val="clear" w:color="auto" w:fill="auto"/>
            <w:vAlign w:val="bottom"/>
          </w:tcPr>
          <w:p w:rsidR="00D726D0" w:rsidRDefault="00D726D0"/>
        </w:tc>
        <w:tc>
          <w:tcPr>
            <w:tcW w:w="956" w:type="dxa"/>
            <w:gridSpan w:val="2"/>
            <w:shd w:val="clear" w:color="auto" w:fill="auto"/>
            <w:vAlign w:val="bottom"/>
          </w:tcPr>
          <w:p w:rsidR="00D726D0" w:rsidRDefault="00D726D0"/>
        </w:tc>
        <w:tc>
          <w:tcPr>
            <w:tcW w:w="956" w:type="dxa"/>
            <w:gridSpan w:val="2"/>
            <w:shd w:val="clear" w:color="auto" w:fill="auto"/>
            <w:vAlign w:val="bottom"/>
          </w:tcPr>
          <w:p w:rsidR="00D726D0" w:rsidRDefault="00D726D0"/>
        </w:tc>
        <w:tc>
          <w:tcPr>
            <w:tcW w:w="776" w:type="dxa"/>
            <w:gridSpan w:val="2"/>
            <w:shd w:val="clear" w:color="auto" w:fill="auto"/>
            <w:vAlign w:val="bottom"/>
          </w:tcPr>
          <w:p w:rsidR="00D726D0" w:rsidRDefault="00D726D0"/>
        </w:tc>
        <w:tc>
          <w:tcPr>
            <w:tcW w:w="510" w:type="dxa"/>
            <w:gridSpan w:val="2"/>
            <w:shd w:val="clear" w:color="auto" w:fill="auto"/>
            <w:vAlign w:val="bottom"/>
          </w:tcPr>
          <w:p w:rsidR="00D726D0" w:rsidRDefault="00D726D0"/>
        </w:tc>
        <w:tc>
          <w:tcPr>
            <w:tcW w:w="752" w:type="dxa"/>
            <w:gridSpan w:val="2"/>
            <w:shd w:val="clear" w:color="auto" w:fill="auto"/>
            <w:vAlign w:val="bottom"/>
          </w:tcPr>
          <w:p w:rsidR="00D726D0" w:rsidRDefault="00D726D0"/>
        </w:tc>
        <w:tc>
          <w:tcPr>
            <w:tcW w:w="1173" w:type="dxa"/>
            <w:gridSpan w:val="2"/>
            <w:shd w:val="clear" w:color="auto" w:fill="auto"/>
            <w:vAlign w:val="bottom"/>
          </w:tcPr>
          <w:p w:rsidR="00D726D0" w:rsidRDefault="00D726D0"/>
        </w:tc>
        <w:tc>
          <w:tcPr>
            <w:tcW w:w="1210" w:type="dxa"/>
            <w:shd w:val="clear" w:color="auto" w:fill="auto"/>
            <w:vAlign w:val="bottom"/>
          </w:tcPr>
          <w:p w:rsidR="00D726D0" w:rsidRDefault="00D726D0"/>
        </w:tc>
        <w:tc>
          <w:tcPr>
            <w:tcW w:w="571" w:type="dxa"/>
            <w:gridSpan w:val="2"/>
            <w:shd w:val="clear" w:color="auto" w:fill="auto"/>
            <w:vAlign w:val="bottom"/>
          </w:tcPr>
          <w:p w:rsidR="00D726D0" w:rsidRDefault="00D726D0"/>
        </w:tc>
      </w:tr>
    </w:tbl>
    <w:tbl>
      <w:tblPr>
        <w:tblStyle w:val="TableStyle01"/>
        <w:tblW w:w="0" w:type="auto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34"/>
        <w:gridCol w:w="761"/>
      </w:tblGrid>
      <w:tr w:rsidR="005A4044" w:rsidTr="004B4AF6">
        <w:trPr>
          <w:trHeight w:val="60"/>
        </w:trPr>
        <w:tc>
          <w:tcPr>
            <w:tcW w:w="13495" w:type="dxa"/>
            <w:gridSpan w:val="2"/>
            <w:shd w:val="clear" w:color="FFFFFF" w:fill="auto"/>
            <w:vAlign w:val="bottom"/>
          </w:tcPr>
          <w:p w:rsidR="005A4044" w:rsidRDefault="005A4044" w:rsidP="004B4AF6">
            <w:pPr>
              <w:jc w:val="both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*Используется для расчёта НМЦК</w:t>
            </w:r>
          </w:p>
        </w:tc>
      </w:tr>
      <w:tr w:rsidR="005A4044" w:rsidTr="004B4AF6">
        <w:trPr>
          <w:gridAfter w:val="1"/>
          <w:wAfter w:w="761" w:type="dxa"/>
          <w:trHeight w:val="510"/>
        </w:trPr>
        <w:tc>
          <w:tcPr>
            <w:tcW w:w="12734" w:type="dxa"/>
            <w:shd w:val="clear" w:color="FFFFFF" w:fill="auto"/>
            <w:vAlign w:val="bottom"/>
          </w:tcPr>
          <w:p w:rsidR="005A4044" w:rsidRDefault="005A4044" w:rsidP="004B4AF6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F80AAA">
              <w:rPr>
                <w:rFonts w:ascii="Times New Roman" w:hAnsi="Times New Roman"/>
                <w:i/>
                <w:sz w:val="18"/>
                <w:szCs w:val="18"/>
              </w:rPr>
              <w:t>В соответствии с п.13 Порядка: в случае, если определение поставщика (подрядчика, исполнителя) по НМЦК, начальной цене единицы лекарственного препарата, определенной в соответствии с пунктом 12 настоящего Порядка, не привело к заключению контракта, при осуществлении следующей закупки в качестве цены единицы лекарственного препарата, начальной цены единицы лекарственного препарата заказчиком принимается максимальное значение цены лекарственного препарата по данным государственного реестра.</w:t>
            </w:r>
          </w:p>
          <w:p w:rsidR="005A4044" w:rsidRDefault="005A4044" w:rsidP="004B4AF6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5A4044" w:rsidRDefault="005A4044" w:rsidP="004B4AF6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5A4044" w:rsidRDefault="005A4044" w:rsidP="005A4044">
      <w:pPr>
        <w:ind w:firstLine="709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В </w:t>
      </w:r>
      <w:r w:rsidRPr="00C91D31">
        <w:rPr>
          <w:rFonts w:ascii="Times New Roman" w:hAnsi="Times New Roman" w:cs="Times New Roman"/>
          <w:b/>
          <w:i/>
        </w:rPr>
        <w:t>описании объекта закупки указаны характеристики</w:t>
      </w:r>
      <w:r>
        <w:rPr>
          <w:rFonts w:ascii="Times New Roman" w:hAnsi="Times New Roman" w:cs="Times New Roman"/>
          <w:b/>
          <w:i/>
        </w:rPr>
        <w:t xml:space="preserve"> требуемого заказчику</w:t>
      </w:r>
      <w:r w:rsidRPr="00C91D31">
        <w:rPr>
          <w:rFonts w:ascii="Times New Roman" w:hAnsi="Times New Roman" w:cs="Times New Roman"/>
          <w:b/>
          <w:i/>
        </w:rPr>
        <w:t xml:space="preserve"> товара, </w:t>
      </w:r>
      <w:r>
        <w:rPr>
          <w:rFonts w:ascii="Times New Roman" w:hAnsi="Times New Roman" w:cs="Times New Roman"/>
          <w:b/>
          <w:i/>
        </w:rPr>
        <w:t xml:space="preserve">который отсутствует в </w:t>
      </w:r>
      <w:r w:rsidRPr="000B054F">
        <w:rPr>
          <w:rFonts w:ascii="Times New Roman" w:hAnsi="Times New Roman" w:cs="Times New Roman"/>
          <w:b/>
          <w:i/>
        </w:rPr>
        <w:t>Реестр</w:t>
      </w:r>
      <w:r>
        <w:rPr>
          <w:rFonts w:ascii="Times New Roman" w:hAnsi="Times New Roman" w:cs="Times New Roman"/>
          <w:b/>
          <w:i/>
        </w:rPr>
        <w:t>е</w:t>
      </w:r>
      <w:r w:rsidRPr="000B054F">
        <w:rPr>
          <w:rFonts w:ascii="Times New Roman" w:hAnsi="Times New Roman" w:cs="Times New Roman"/>
          <w:b/>
          <w:i/>
        </w:rPr>
        <w:t xml:space="preserve"> российской промышленной продукции (ПП РФ 719 от 17.07.2015)</w:t>
      </w:r>
      <w:r>
        <w:rPr>
          <w:rFonts w:ascii="Times New Roman" w:hAnsi="Times New Roman" w:cs="Times New Roman"/>
          <w:b/>
          <w:i/>
        </w:rPr>
        <w:t>.</w:t>
      </w:r>
    </w:p>
    <w:p w:rsidR="005A4044" w:rsidRDefault="005A4044"/>
    <w:sectPr w:rsidR="005A4044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B88"/>
    <w:rsid w:val="002E6B88"/>
    <w:rsid w:val="005A4044"/>
    <w:rsid w:val="00D7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41FCDF-D515-42BB-AB32-CE695739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1">
    <w:name w:val="TableStyle01"/>
    <w:rsid w:val="005A4044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A4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40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Коломийцев Сергей Дмитриевич</dc:creator>
  <cp:lastModifiedBy>Коломийцев Сергей Дмитриевич</cp:lastModifiedBy>
  <cp:revision>3</cp:revision>
  <cp:lastPrinted>2026-08-11T11:04:00Z</cp:lastPrinted>
  <dcterms:created xsi:type="dcterms:W3CDTF">2026-08-11T11:02:00Z</dcterms:created>
  <dcterms:modified xsi:type="dcterms:W3CDTF">2026-08-11T11:04:00Z</dcterms:modified>
</cp:coreProperties>
</file>