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 </w:t>
      </w:r>
      <w:r>
        <w:rPr/>
        <w:t>» _____________ 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вар: поро</w:t>
      </w:r>
      <w:r>
        <w:rPr>
          <w:rFonts w:eastAsia="Times New Roman" w:cs="Times New Roman"/>
          <w:color w:val="auto"/>
          <w:kern w:val="0"/>
          <w:sz w:val="20"/>
          <w:szCs w:val="20"/>
          <w:lang w:val="ru-RU" w:eastAsia="ru-RU" w:bidi="ar-SA"/>
        </w:rPr>
        <w:t>г напольный, профиль алюминиевый с противоскользящей вставкой</w:t>
      </w:r>
      <w:bookmarkStart w:id="2" w:name="_Hlk174882135"/>
      <w:r>
        <w:rPr>
          <w:rFonts w:eastAsia="Times New Roman" w:cs="Times New Roman"/>
          <w:color w:val="auto"/>
          <w:kern w:val="0"/>
          <w:sz w:val="20"/>
          <w:szCs w:val="20"/>
          <w:lang w:val="ru-RU" w:eastAsia="ru-RU" w:bidi="ar-SA"/>
        </w:rPr>
        <w:t xml:space="preserve"> </w:t>
      </w:r>
      <w:bookmarkEnd w:id="2"/>
      <w:r>
        <w:rPr>
          <w:rFonts w:eastAsia="Times New Roman" w:cs="Times New Roman"/>
          <w:color w:val="auto"/>
          <w:kern w:val="0"/>
          <w:sz w:val="20"/>
          <w:szCs w:val="20"/>
          <w:lang w:val="ru-RU" w:eastAsia="ru-RU" w:bidi="ar-SA"/>
        </w:rPr>
        <w:t>и передать его Заказчику, а Заказчик по настоящему Контракту обязуется принять и оплатить поставленную Поставщиком продукцию (далее – Товар). Наименование и количество Това</w:t>
      </w:r>
      <w:r>
        <w:rPr/>
        <w:t xml:space="preserve">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 xml:space="preserve">Поставка товара осуществляется </w:t>
      </w:r>
      <w:r>
        <w:rPr>
          <w:i w:val="false"/>
          <w:iCs w:val="false"/>
          <w:u w:val="none"/>
          <w:shd w:fill="auto" w:val="clear"/>
        </w:rPr>
        <w:t>единовременно в течении 10 дней 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О предстоящей поставке Поставщик заранее информирует по тел.: 8-3842-34-51-65 или по электронной почте: ostalv@kemcardio.ru.</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ab/>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3</w:t>
      </w:r>
      <w:r>
        <w:rPr>
          <w:rFonts w:cs="Times New Roman" w:ascii="Times New Roman" w:hAnsi="Times New Roman"/>
          <w:b w:val="false"/>
          <w:bCs w:val="false"/>
          <w:sz w:val="20"/>
          <w:szCs w:val="20"/>
          <w:shd w:fill="auto" w:val="clear"/>
        </w:rPr>
        <w:t>0.09.</w:t>
      </w:r>
      <w:r>
        <w:rPr>
          <w:rFonts w:cs="Times New Roman" w:ascii="Times New Roman" w:hAnsi="Times New Roman"/>
          <w:b w:val="false"/>
          <w:bCs w:val="false"/>
          <w:color w:val="000000"/>
          <w:sz w:val="20"/>
          <w:szCs w:val="20"/>
          <w:shd w:fill="auto" w:val="clear"/>
        </w:rPr>
        <w:t>.2026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rPr>
          <w:b/>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«__» июня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646" w:type="dxa"/>
        <w:jc w:val="left"/>
        <w:tblInd w:w="50" w:type="dxa"/>
        <w:tblLayout w:type="fixed"/>
        <w:tblCellMar>
          <w:top w:w="55" w:type="dxa"/>
          <w:left w:w="55" w:type="dxa"/>
          <w:bottom w:w="55" w:type="dxa"/>
          <w:right w:w="55" w:type="dxa"/>
        </w:tblCellMar>
      </w:tblPr>
      <w:tblGrid>
        <w:gridCol w:w="597"/>
        <w:gridCol w:w="5778"/>
        <w:gridCol w:w="401"/>
        <w:gridCol w:w="1136"/>
        <w:gridCol w:w="20"/>
        <w:gridCol w:w="211"/>
        <w:gridCol w:w="1066"/>
        <w:gridCol w:w="1561"/>
        <w:gridCol w:w="1413"/>
        <w:gridCol w:w="1568"/>
        <w:gridCol w:w="1710"/>
        <w:gridCol w:w="9"/>
        <w:gridCol w:w="60"/>
        <w:gridCol w:w="39"/>
        <w:gridCol w:w="77"/>
      </w:tblGrid>
      <w:tr>
        <w:trPr>
          <w:trHeight w:val="854" w:hRule="atLeast"/>
        </w:trPr>
        <w:tc>
          <w:tcPr>
            <w:tcW w:w="597" w:type="dxa"/>
            <w:tcBorders>
              <w:top w:val="single" w:sz="4" w:space="0" w:color="000000"/>
              <w:left w:val="single" w:sz="4" w:space="0" w:color="000000"/>
              <w:bottom w:val="single" w:sz="4" w:space="0" w:color="000000"/>
            </w:tcBorders>
            <w:vAlign w:val="center"/>
          </w:tcPr>
          <w:p>
            <w:pPr>
              <w:pStyle w:val="Normal"/>
              <w:widowControl w:val="false"/>
              <w:jc w:val="center"/>
              <w:rPr/>
            </w:pPr>
            <w:r>
              <w:rPr/>
              <w:t>№</w:t>
            </w:r>
          </w:p>
          <w:p>
            <w:pPr>
              <w:pStyle w:val="Normal"/>
              <w:widowControl w:val="false"/>
              <w:jc w:val="center"/>
              <w:rPr/>
            </w:pPr>
            <w:r>
              <w:rPr/>
              <w:t>п/п</w:t>
            </w:r>
          </w:p>
        </w:tc>
        <w:tc>
          <w:tcPr>
            <w:tcW w:w="5778" w:type="dxa"/>
            <w:tcBorders>
              <w:top w:val="single" w:sz="4" w:space="0" w:color="000000"/>
              <w:left w:val="single" w:sz="4" w:space="0" w:color="000000"/>
              <w:bottom w:val="single" w:sz="4" w:space="0" w:color="000000"/>
            </w:tcBorders>
            <w:vAlign w:val="center"/>
          </w:tcPr>
          <w:p>
            <w:pPr>
              <w:pStyle w:val="Normal"/>
              <w:widowControl w:val="false"/>
              <w:jc w:val="center"/>
              <w:rPr/>
            </w:pPr>
            <w:r>
              <w:rPr/>
              <w:t>Наименование, минимальные технические (качественные) характеристики  товара</w:t>
            </w:r>
          </w:p>
        </w:tc>
        <w:tc>
          <w:tcPr>
            <w:tcW w:w="1557" w:type="dxa"/>
            <w:gridSpan w:val="3"/>
            <w:tcBorders>
              <w:top w:val="single" w:sz="4" w:space="0" w:color="000000"/>
              <w:left w:val="single" w:sz="4" w:space="0" w:color="000000"/>
              <w:bottom w:val="single" w:sz="4" w:space="0" w:color="000000"/>
            </w:tcBorders>
          </w:tcPr>
          <w:p>
            <w:pPr>
              <w:pStyle w:val="Normal"/>
              <w:widowControl w:val="false"/>
              <w:jc w:val="center"/>
              <w:rPr/>
            </w:pPr>
            <w:r>
              <w:rPr/>
              <w:t>Страна происхождения товара</w:t>
            </w:r>
          </w:p>
        </w:tc>
        <w:tc>
          <w:tcPr>
            <w:tcW w:w="1277" w:type="dxa"/>
            <w:gridSpan w:val="2"/>
            <w:tcBorders>
              <w:top w:val="single" w:sz="4" w:space="0" w:color="000000"/>
              <w:left w:val="single" w:sz="4" w:space="0" w:color="000000"/>
              <w:bottom w:val="single" w:sz="4" w:space="0" w:color="000000"/>
            </w:tcBorders>
            <w:vAlign w:val="center"/>
          </w:tcPr>
          <w:p>
            <w:pPr>
              <w:pStyle w:val="Normal"/>
              <w:widowControl w:val="false"/>
              <w:jc w:val="center"/>
              <w:rPr/>
            </w:pPr>
            <w:r>
              <w:rPr/>
              <w:t>Кол-во</w:t>
            </w:r>
          </w:p>
        </w:tc>
        <w:tc>
          <w:tcPr>
            <w:tcW w:w="1561" w:type="dxa"/>
            <w:tcBorders>
              <w:top w:val="single" w:sz="4" w:space="0" w:color="000000"/>
              <w:left w:val="single" w:sz="4" w:space="0" w:color="000000"/>
              <w:bottom w:val="single" w:sz="4" w:space="0" w:color="000000"/>
            </w:tcBorders>
            <w:vAlign w:val="center"/>
          </w:tcPr>
          <w:p>
            <w:pPr>
              <w:pStyle w:val="Normal"/>
              <w:widowControl w:val="false"/>
              <w:jc w:val="center"/>
              <w:rPr/>
            </w:pPr>
            <w:r>
              <w:rPr/>
              <w:t>Ед. изм.</w:t>
            </w:r>
          </w:p>
        </w:tc>
        <w:tc>
          <w:tcPr>
            <w:tcW w:w="1413"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Стоимость единицы, рублей</w:t>
            </w:r>
          </w:p>
        </w:tc>
        <w:tc>
          <w:tcPr>
            <w:tcW w:w="1568"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color w:val="000000"/>
                <w:spacing w:val="-11"/>
              </w:rPr>
            </w:pPr>
            <w:r>
              <w:rPr>
                <w:color w:val="000000"/>
                <w:spacing w:val="-11"/>
              </w:rPr>
              <w:t>В том числе НДС, рублей</w:t>
            </w:r>
          </w:p>
        </w:tc>
        <w:tc>
          <w:tcPr>
            <w:tcW w:w="17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jc w:val="center"/>
              <w:rPr>
                <w:color w:val="000000"/>
                <w:spacing w:val="-11"/>
              </w:rPr>
            </w:pPr>
            <w:r>
              <w:rPr>
                <w:color w:val="000000"/>
                <w:spacing w:val="-11"/>
              </w:rPr>
              <w:t>Общая стоимость с НДС, рублей</w:t>
            </w:r>
          </w:p>
        </w:tc>
        <w:tc>
          <w:tcPr>
            <w:tcW w:w="69" w:type="dxa"/>
            <w:gridSpan w:val="2"/>
            <w:tcBorders>
              <w:left w:val="single" w:sz="4" w:space="0" w:color="000000"/>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1</w:t>
            </w:r>
          </w:p>
        </w:tc>
        <w:tc>
          <w:tcPr>
            <w:tcW w:w="5778" w:type="dxa"/>
            <w:tcBorders>
              <w:left w:val="single" w:sz="4" w:space="0" w:color="000000"/>
              <w:bottom w:val="single" w:sz="4" w:space="0" w:color="000000"/>
            </w:tcBorders>
          </w:tcPr>
          <w:p>
            <w:pPr>
              <w:pStyle w:val="Normal"/>
              <w:widowControl w:val="false"/>
              <w:snapToGrid w:val="false"/>
              <w:jc w:val="left"/>
              <w:rPr>
                <w:b/>
                <w:bCs/>
              </w:rPr>
            </w:pPr>
            <w:r>
              <w:rPr>
                <w:rFonts w:eastAsia="Times New Roman" w:cs="Times New Roman"/>
                <w:b/>
                <w:bCs/>
                <w:color w:val="000000"/>
                <w:kern w:val="0"/>
                <w:sz w:val="20"/>
                <w:szCs w:val="20"/>
                <w:shd w:fill="auto" w:val="clear"/>
                <w:lang w:val="ru-RU" w:eastAsia="ru-RU" w:bidi="ar-SA"/>
              </w:rPr>
              <w:t>Порог напольный</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Назначение- Стыкоперекрывающий</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Тип- Одноуровневый</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Материал- Алюминий</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Материал верхнего слоя- Полимерно-порошковая краска</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Длина ≥ 900 и  &lt; 950 мм</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Ширина ≥ 370 и  &lt; 400</w:t>
              <w:tab/>
              <w:t>мм</w:t>
            </w:r>
          </w:p>
          <w:p>
            <w:pPr>
              <w:pStyle w:val="Normal"/>
              <w:widowControl w:val="false"/>
              <w:snapToGrid w:val="false"/>
              <w:jc w:val="left"/>
              <w:rPr>
                <w:rFonts w:eastAsia="Times New Roman" w:cs="Times New Roman"/>
                <w:b w:val="false"/>
                <w:bCs w:val="false"/>
                <w:color w:val="000000"/>
                <w:kern w:val="0"/>
                <w:sz w:val="20"/>
                <w:szCs w:val="20"/>
                <w:shd w:fill="auto" w:val="clear"/>
                <w:lang w:val="ru-RU" w:eastAsia="ru-RU" w:bidi="ar-SA"/>
              </w:rPr>
            </w:pPr>
            <w:r>
              <w:rPr>
                <w:rFonts w:eastAsia="Times New Roman" w:cs="Times New Roman"/>
                <w:b w:val="false"/>
                <w:bCs w:val="false"/>
                <w:color w:val="000000"/>
                <w:kern w:val="0"/>
                <w:sz w:val="20"/>
                <w:szCs w:val="20"/>
                <w:shd w:fill="auto" w:val="clear"/>
                <w:lang w:val="ru-RU" w:eastAsia="ru-RU" w:bidi="ar-SA"/>
              </w:rPr>
              <w:t>Тип крепления- Открытый</w:t>
            </w:r>
          </w:p>
          <w:p>
            <w:pPr>
              <w:pStyle w:val="Normal"/>
              <w:widowControl w:val="false"/>
              <w:snapToGrid w:val="false"/>
              <w:jc w:val="left"/>
              <w:rPr>
                <w:b/>
                <w:bCs/>
              </w:rPr>
            </w:pPr>
            <w:r>
              <w:rPr>
                <w:rFonts w:eastAsia="Times New Roman" w:cs="Times New Roman"/>
                <w:b w:val="false"/>
                <w:bCs w:val="false"/>
                <w:color w:val="000000"/>
                <w:kern w:val="0"/>
                <w:sz w:val="20"/>
                <w:szCs w:val="20"/>
                <w:shd w:fill="auto" w:val="clear"/>
                <w:lang w:val="ru-RU" w:eastAsia="ru-RU" w:bidi="ar-SA"/>
              </w:rPr>
              <w:t>Цвет (по согласованию с Заказчиком) - RAL 7000</w:t>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7" w:type="dxa"/>
            <w:gridSpan w:val="2"/>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штука</w:t>
            </w:r>
          </w:p>
        </w:tc>
        <w:tc>
          <w:tcPr>
            <w:tcW w:w="1561" w:type="dxa"/>
            <w:tcBorders>
              <w:left w:val="single" w:sz="4" w:space="0" w:color="000000"/>
              <w:bottom w:val="single" w:sz="4" w:space="0" w:color="000000"/>
            </w:tcBorders>
          </w:tcPr>
          <w:p>
            <w:pPr>
              <w:pStyle w:val="Normal"/>
              <w:jc w:val="center"/>
              <w:rPr>
                <w:highlight w:val="none"/>
                <w:shd w:fill="auto" w:val="clear"/>
              </w:rPr>
            </w:pPr>
            <w:r>
              <w:rPr>
                <w:rFonts w:eastAsia="Times New Roman" w:cs="Times New Roman"/>
                <w:color w:val="000000"/>
                <w:kern w:val="0"/>
                <w:sz w:val="20"/>
                <w:szCs w:val="20"/>
                <w:shd w:fill="auto" w:val="clear"/>
                <w:lang w:val="en-US" w:eastAsia="ru-RU" w:bidi="ar-SA"/>
              </w:rPr>
              <w:t>4</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405" w:hRule="atLeast"/>
        </w:trPr>
        <w:tc>
          <w:tcPr>
            <w:tcW w:w="597" w:type="dxa"/>
            <w:tcBorders>
              <w:left w:val="single" w:sz="4" w:space="0" w:color="000000"/>
              <w:bottom w:val="single" w:sz="4" w:space="0" w:color="000000"/>
            </w:tcBorders>
            <w:vAlign w:val="center"/>
          </w:tcPr>
          <w:p>
            <w:pPr>
              <w:pStyle w:val="Normal"/>
              <w:jc w:val="center"/>
              <w:rPr/>
            </w:pPr>
            <w:r>
              <w:rPr/>
              <w:t>2</w:t>
            </w:r>
          </w:p>
        </w:tc>
        <w:tc>
          <w:tcPr>
            <w:tcW w:w="5778" w:type="dxa"/>
            <w:tcBorders>
              <w:left w:val="single" w:sz="4" w:space="0" w:color="000000"/>
              <w:bottom w:val="single" w:sz="4" w:space="0" w:color="000000"/>
            </w:tcBorders>
          </w:tcPr>
          <w:p>
            <w:pPr>
              <w:pStyle w:val="Normal"/>
              <w:rPr>
                <w:b/>
                <w:bCs/>
              </w:rPr>
            </w:pPr>
            <w:r>
              <w:rPr>
                <w:b/>
                <w:bCs/>
              </w:rPr>
              <w:t>Профиль алюминиевый с противоскользящей вставкой</w:t>
            </w:r>
          </w:p>
          <w:p>
            <w:pPr>
              <w:pStyle w:val="Normal"/>
              <w:rPr/>
            </w:pPr>
            <w:r>
              <w:rPr/>
              <w:t>Вид- Уголок</w:t>
            </w:r>
          </w:p>
          <w:p>
            <w:pPr>
              <w:pStyle w:val="Normal"/>
              <w:rPr/>
            </w:pPr>
            <w:r>
              <w:rPr/>
              <w:t>Наличие монтажных отверстий- Нет</w:t>
            </w:r>
          </w:p>
          <w:p>
            <w:pPr>
              <w:pStyle w:val="Normal"/>
              <w:rPr/>
            </w:pPr>
            <w:r>
              <w:rPr/>
              <w:t>Толщина рабочей части</w:t>
              <w:tab/>
              <w:t>≥ 1  и  &lt; 2 мм</w:t>
            </w:r>
          </w:p>
          <w:p>
            <w:pPr>
              <w:pStyle w:val="Normal"/>
              <w:rPr/>
            </w:pPr>
            <w:r>
              <w:rPr/>
              <w:t>Ширина рабочей части</w:t>
              <w:tab/>
              <w:t>&lt; 50 мм</w:t>
            </w:r>
          </w:p>
          <w:p>
            <w:pPr>
              <w:pStyle w:val="Normal"/>
              <w:rPr/>
            </w:pPr>
            <w:r>
              <w:rPr/>
              <w:t>Длина рабочей части ≥ 2700 мм</w:t>
            </w:r>
          </w:p>
          <w:p>
            <w:pPr>
              <w:pStyle w:val="Normal"/>
              <w:rPr/>
            </w:pPr>
            <w:r>
              <w:rPr/>
              <w:t>Покрытие- Без покрытия</w:t>
            </w:r>
          </w:p>
          <w:p>
            <w:pPr>
              <w:pStyle w:val="Normal"/>
              <w:rPr/>
            </w:pPr>
            <w:r>
              <w:rPr/>
              <w:t>Цвет (по согласованию с Заказчиком)- RAL 9010</w:t>
            </w:r>
          </w:p>
        </w:tc>
        <w:tc>
          <w:tcPr>
            <w:tcW w:w="1557" w:type="dxa"/>
            <w:gridSpan w:val="3"/>
            <w:tcBorders>
              <w:left w:val="single" w:sz="4" w:space="0" w:color="000000"/>
              <w:bottom w:val="single" w:sz="4" w:space="0" w:color="000000"/>
            </w:tcBorders>
          </w:tcPr>
          <w:p>
            <w:pPr>
              <w:pStyle w:val="Normal"/>
              <w:snapToGrid w:val="false"/>
              <w:jc w:val="center"/>
              <w:rPr>
                <w:lang w:val="en-US"/>
              </w:rPr>
            </w:pPr>
            <w:r>
              <w:rPr>
                <w:lang w:val="en-US"/>
              </w:rPr>
            </w:r>
          </w:p>
        </w:tc>
        <w:tc>
          <w:tcPr>
            <w:tcW w:w="1277" w:type="dxa"/>
            <w:gridSpan w:val="2"/>
            <w:tcBorders>
              <w:left w:val="single" w:sz="4" w:space="0" w:color="000000"/>
              <w:bottom w:val="single" w:sz="4" w:space="0" w:color="000000"/>
            </w:tcBorders>
          </w:tcPr>
          <w:p>
            <w:pPr>
              <w:pStyle w:val="Normal"/>
              <w:jc w:val="center"/>
              <w:rPr>
                <w:highlight w:val="none"/>
                <w:shd w:fill="auto" w:val="clear"/>
              </w:rPr>
            </w:pPr>
            <w:r>
              <w:rPr>
                <w:shd w:fill="auto" w:val="clear"/>
              </w:rPr>
              <w:t>штука</w:t>
            </w:r>
          </w:p>
        </w:tc>
        <w:tc>
          <w:tcPr>
            <w:tcW w:w="1561" w:type="dxa"/>
            <w:tcBorders>
              <w:left w:val="single" w:sz="4" w:space="0" w:color="000000"/>
              <w:bottom w:val="single" w:sz="4" w:space="0" w:color="000000"/>
            </w:tcBorders>
          </w:tcPr>
          <w:p>
            <w:pPr>
              <w:pStyle w:val="Normal"/>
              <w:jc w:val="center"/>
              <w:rPr>
                <w:highlight w:val="none"/>
                <w:shd w:fill="auto" w:val="clear"/>
              </w:rPr>
            </w:pPr>
            <w:r>
              <w:rPr>
                <w:shd w:fill="auto" w:val="clear"/>
              </w:rPr>
              <w:t>10</w:t>
            </w:r>
          </w:p>
        </w:tc>
        <w:tc>
          <w:tcPr>
            <w:tcW w:w="1413" w:type="dxa"/>
            <w:tcBorders>
              <w:left w:val="single" w:sz="4" w:space="0" w:color="000000"/>
              <w:bottom w:val="single" w:sz="4" w:space="0" w:color="000000"/>
            </w:tcBorders>
            <w:vAlign w:val="center"/>
          </w:tcPr>
          <w:p>
            <w:pPr>
              <w:pStyle w:val="Normal"/>
              <w:snapToGrid w:val="false"/>
              <w:jc w:val="center"/>
              <w:rPr/>
            </w:pPr>
            <w:r>
              <w:rPr/>
            </w:r>
          </w:p>
        </w:tc>
        <w:tc>
          <w:tcPr>
            <w:tcW w:w="1568" w:type="dxa"/>
            <w:tcBorders>
              <w:left w:val="single" w:sz="4" w:space="0" w:color="000000"/>
              <w:bottom w:val="single" w:sz="4" w:space="0" w:color="000000"/>
            </w:tcBorders>
            <w:vAlign w:val="center"/>
          </w:tcPr>
          <w:p>
            <w:pPr>
              <w:pStyle w:val="Normal"/>
              <w:snapToGrid w:val="false"/>
              <w:spacing w:lineRule="atLeast" w:line="57"/>
              <w:jc w:val="center"/>
              <w:rPr>
                <w:highlight w:val="yellow"/>
              </w:rPr>
            </w:pPr>
            <w:r>
              <w:rPr>
                <w:highlight w:val="yellow"/>
              </w:rPr>
            </w:r>
          </w:p>
        </w:tc>
        <w:tc>
          <w:tcPr>
            <w:tcW w:w="1895" w:type="dxa"/>
            <w:gridSpan w:val="5"/>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highlight w:val="yellow"/>
              </w:rPr>
            </w:pPr>
            <w:r>
              <w:rPr>
                <w:b/>
                <w:bCs/>
                <w:highlight w:val="yellow"/>
              </w:rPr>
            </w:r>
          </w:p>
        </w:tc>
      </w:tr>
      <w:tr>
        <w:trPr>
          <w:trHeight w:val="572" w:hRule="atLeast"/>
        </w:trPr>
        <w:tc>
          <w:tcPr>
            <w:tcW w:w="13751" w:type="dxa"/>
            <w:gridSpan w:val="10"/>
            <w:tcBorders>
              <w:left w:val="single" w:sz="4" w:space="0" w:color="000000"/>
              <w:bottom w:val="single" w:sz="4" w:space="0" w:color="000000"/>
            </w:tcBorders>
          </w:tcPr>
          <w:p>
            <w:pPr>
              <w:pStyle w:val="Normal"/>
              <w:jc w:val="center"/>
              <w:rPr>
                <w:highlight w:val="none"/>
                <w:shd w:fill="auto" w:val="clear"/>
              </w:rPr>
            </w:pPr>
            <w:r>
              <w:rPr>
                <w:b/>
                <w:bCs/>
                <w:shd w:fill="auto" w:val="clear"/>
              </w:rPr>
              <w:t>ИТОГО:</w:t>
            </w:r>
          </w:p>
        </w:tc>
        <w:tc>
          <w:tcPr>
            <w:tcW w:w="1710" w:type="dxa"/>
            <w:tcBorders>
              <w:left w:val="single" w:sz="4" w:space="0" w:color="000000"/>
              <w:bottom w:val="single" w:sz="4" w:space="0" w:color="000000"/>
              <w:right w:val="single" w:sz="4" w:space="0" w:color="000000"/>
            </w:tcBorders>
          </w:tcPr>
          <w:p>
            <w:pPr>
              <w:pStyle w:val="Normal"/>
              <w:snapToGrid w:val="false"/>
              <w:jc w:val="center"/>
              <w:rPr>
                <w:b/>
                <w:bCs/>
                <w:highlight w:val="yellow"/>
              </w:rPr>
            </w:pPr>
            <w:r>
              <w:rPr>
                <w:b/>
                <w:bCs/>
                <w:highlight w:val="yellow"/>
              </w:rPr>
            </w:r>
          </w:p>
        </w:tc>
        <w:tc>
          <w:tcPr>
            <w:tcW w:w="69" w:type="dxa"/>
            <w:gridSpan w:val="2"/>
            <w:tcBorders>
              <w:left w:val="single" w:sz="4" w:space="0" w:color="000000"/>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39"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c>
          <w:tcPr>
            <w:tcW w:w="77" w:type="dxa"/>
            <w:tcBorders/>
            <w:tcMar>
              <w:top w:w="0" w:type="dxa"/>
              <w:left w:w="5" w:type="dxa"/>
              <w:bottom w:w="0" w:type="dxa"/>
              <w:right w:w="0" w:type="dxa"/>
            </w:tcMar>
          </w:tcPr>
          <w:p>
            <w:pPr>
              <w:pStyle w:val="Normal"/>
              <w:snapToGrid w:val="false"/>
              <w:rPr>
                <w:b/>
                <w:bCs/>
                <w:color w:val="000000"/>
                <w:highlight w:val="yellow"/>
              </w:rPr>
            </w:pPr>
            <w:r>
              <w:rPr>
                <w:b/>
                <w:bCs/>
                <w:color w:val="000000"/>
                <w:highlight w:val="yellow"/>
              </w:rPr>
            </w:r>
          </w:p>
        </w:tc>
      </w:tr>
      <w:tr>
        <w:trPr>
          <w:trHeight w:val="1824" w:hRule="atLeast"/>
        </w:trPr>
        <w:tc>
          <w:tcPr>
            <w:tcW w:w="6776" w:type="dxa"/>
            <w:gridSpan w:val="3"/>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1136" w:type="dxa"/>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31" w:type="dxa"/>
            <w:gridSpan w:val="2"/>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627" w:type="dxa"/>
            <w:gridSpan w:val="2"/>
            <w:tcBorders/>
            <w:tcMar>
              <w:top w:w="0" w:type="dxa"/>
              <w:left w:w="5" w:type="dxa"/>
              <w:bottom w:w="0" w:type="dxa"/>
              <w:right w:w="0" w:type="dxa"/>
            </w:tcMar>
          </w:tcPr>
          <w:p>
            <w:pPr>
              <w:pStyle w:val="Normal"/>
              <w:snapToGrid w:val="false"/>
              <w:rPr>
                <w:b/>
                <w:color w:val="000000"/>
              </w:rPr>
            </w:pPr>
            <w:r>
              <w:rPr>
                <w:b/>
                <w:color w:val="000000"/>
              </w:rPr>
            </w:r>
          </w:p>
        </w:tc>
        <w:tc>
          <w:tcPr>
            <w:tcW w:w="4700" w:type="dxa"/>
            <w:gridSpan w:val="4"/>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c>
          <w:tcPr>
            <w:tcW w:w="60" w:type="dxa"/>
            <w:tcBorders/>
            <w:tcMar>
              <w:top w:w="0" w:type="dxa"/>
              <w:left w:w="5" w:type="dxa"/>
              <w:bottom w:w="0" w:type="dxa"/>
              <w:right w:w="0" w:type="dxa"/>
            </w:tcMar>
          </w:tcPr>
          <w:p>
            <w:pPr>
              <w:pStyle w:val="Normal"/>
              <w:snapToGrid w:val="false"/>
              <w:rPr/>
            </w:pPr>
            <w:r>
              <w:rPr/>
            </w:r>
          </w:p>
        </w:tc>
        <w:tc>
          <w:tcPr>
            <w:tcW w:w="39" w:type="dxa"/>
            <w:tcBorders/>
            <w:tcMar>
              <w:top w:w="0" w:type="dxa"/>
              <w:left w:w="5" w:type="dxa"/>
              <w:bottom w:w="0" w:type="dxa"/>
              <w:right w:w="0" w:type="dxa"/>
            </w:tcMar>
          </w:tcPr>
          <w:p>
            <w:pPr>
              <w:pStyle w:val="Normal"/>
              <w:snapToGrid w:val="false"/>
              <w:rPr/>
            </w:pPr>
            <w:r>
              <w:rPr/>
            </w:r>
          </w:p>
        </w:tc>
        <w:tc>
          <w:tcPr>
            <w:tcW w:w="77" w:type="dxa"/>
            <w:tcBorders/>
            <w:tcMar>
              <w:top w:w="0" w:type="dxa"/>
              <w:left w:w="5" w:type="dxa"/>
              <w:bottom w:w="0" w:type="dxa"/>
              <w:right w:w="0" w:type="dxa"/>
            </w:tcMar>
          </w:tcPr>
          <w:p>
            <w:pPr>
              <w:pStyle w:val="Normal"/>
              <w:snapToGrid w:val="false"/>
              <w:rPr/>
            </w:pPr>
            <w:r>
              <w:rPr/>
            </w:r>
          </w:p>
        </w:tc>
      </w:tr>
    </w:tbl>
    <w:p>
      <w:pPr>
        <w:pStyle w:val="Normal"/>
        <w:spacing w:before="0" w:after="60"/>
        <w:rPr/>
      </w:pPr>
      <w:r>
        <w:rPr/>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FootnoteCharacters">
    <w:name w:val="Footnote Characters"/>
    <w:basedOn w:val="DefaultParagraphFont"/>
    <w:qFormat/>
    <w:rPr>
      <w:vertAlign w:val="superscript"/>
    </w:rPr>
  </w:style>
  <w:style w:type="character" w:styleId="Style9">
    <w:name w:val="Текст концевой сноски Знак"/>
    <w:qFormat/>
    <w:rPr>
      <w:sz w:val="20"/>
    </w:rPr>
  </w:style>
  <w:style w:type="character" w:styleId="user1">
    <w:name w:val="Символ концевой сноски (user)"/>
    <w:qFormat/>
    <w:rPr>
      <w:vertAlign w:val="superscript"/>
    </w:rPr>
  </w:style>
  <w:style w:type="character" w:styleId="EndnoteCharacters">
    <w:name w:val="Endnote Characters"/>
    <w:basedOn w:val="DefaultParagraphFont"/>
    <w:qFormat/>
    <w:rPr>
      <w:vertAlign w:val="superscript"/>
    </w:rPr>
  </w:style>
  <w:style w:type="character" w:styleId="Style10">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1">
    <w:name w:val="Верхний колонтитул Знак"/>
    <w:qFormat/>
    <w:rPr>
      <w:rFonts w:ascii="Times New Roman" w:hAnsi="Times New Roman" w:eastAsia="Times New Roman" w:cs="Times New Roman"/>
      <w:sz w:val="20"/>
      <w:szCs w:val="20"/>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3">
    <w:name w:val="Текст примечания Знак"/>
    <w:basedOn w:val="DefaultParagraphFont"/>
    <w:qFormat/>
    <w:rPr>
      <w:rFonts w:ascii="Times New Roman" w:hAnsi="Times New Roman" w:eastAsia="Times New Roman" w:cs="Times New Roman"/>
    </w:rPr>
  </w:style>
  <w:style w:type="character" w:styleId="Style14">
    <w:name w:val="Тема примечания Знак"/>
    <w:basedOn w:val="Style13"/>
    <w:qFormat/>
    <w:rPr>
      <w:rFonts w:ascii="Times New Roman" w:hAnsi="Times New Roman" w:eastAsia="Times New Roman" w:cs="Times New Roman"/>
      <w:b/>
      <w:bCs/>
    </w:rPr>
  </w:style>
  <w:style w:type="character" w:styleId="Style15">
    <w:name w:val="Текст выноски Знак"/>
    <w:basedOn w:val="DefaultParagraphFont"/>
    <w:qFormat/>
    <w:rPr>
      <w:rFonts w:ascii="Tahoma" w:hAnsi="Tahoma" w:eastAsia="Times New Roman" w:cs="Tahoma"/>
      <w:sz w:val="16"/>
      <w:szCs w:val="16"/>
    </w:rPr>
  </w:style>
  <w:style w:type="character" w:styleId="Style16">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19">
    <w:name w:val="Верхний и нижний колонтитулы"/>
    <w:basedOn w:val="Normal"/>
    <w:qFormat/>
    <w:pPr/>
    <w:rPr/>
  </w:style>
  <w:style w:type="paragraph" w:styleId="user4">
    <w:name w:val="Колонтитулы (user)"/>
    <w:basedOn w:val="Normal"/>
    <w:qFormat/>
    <w:pPr>
      <w:suppressLineNumbers/>
      <w:tabs>
        <w:tab w:val="clear" w:pos="531"/>
        <w:tab w:val="center" w:pos="4819" w:leader="none"/>
        <w:tab w:val="right" w:pos="9638" w:leader="none"/>
      </w:tabs>
    </w:pPr>
    <w:rPr/>
  </w:style>
  <w:style w:type="paragraph" w:styleId="Style20">
    <w:name w:val="Колонтитулы"/>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5">
    <w:name w:val="Содержимое таблицы (user)"/>
    <w:basedOn w:val="Normal"/>
    <w:qFormat/>
    <w:pPr>
      <w:suppressLineNumbers/>
    </w:pPr>
    <w:rPr/>
  </w:style>
  <w:style w:type="paragraph" w:styleId="user6">
    <w:name w:val="Заголовок таблицы (user)"/>
    <w:basedOn w:val="user5"/>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178</TotalTime>
  <Application>LibreOffice/25.8.3.2$Linux_X86_64 LibreOffice_project/580$Build-2</Application>
  <AppVersion>15.0000</AppVersion>
  <Pages>7</Pages>
  <Words>3251</Words>
  <Characters>23447</Characters>
  <CharactersWithSpaces>27236</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2026-08-04T11:06:03Z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