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E6" w:rsidRPr="006B700F" w:rsidRDefault="005549E6" w:rsidP="005549E6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6B700F">
        <w:rPr>
          <w:b/>
          <w:sz w:val="20"/>
          <w:szCs w:val="20"/>
        </w:rPr>
        <w:t>ТЕХНИЧЕСКИЕ ХАРАКТЕРИСТИКИ</w:t>
      </w:r>
      <w:r w:rsidRPr="006B700F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84"/>
        <w:gridCol w:w="4921"/>
      </w:tblGrid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Требуемое значение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DD5D3A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DD5D3A">
              <w:rPr>
                <w:sz w:val="18"/>
                <w:szCs w:val="18"/>
                <w:lang w:eastAsia="en-US"/>
              </w:rPr>
              <w:t>РОМИПЛОСТИМ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DD5D3A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D5D3A">
              <w:rPr>
                <w:sz w:val="18"/>
                <w:szCs w:val="18"/>
                <w:lang w:eastAsia="en-US"/>
              </w:rPr>
              <w:t>Ромиплостим</w:t>
            </w:r>
            <w:proofErr w:type="spellEnd"/>
            <w:r w:rsidRPr="00DD5D3A">
              <w:rPr>
                <w:sz w:val="18"/>
                <w:szCs w:val="18"/>
                <w:lang w:eastAsia="en-US"/>
              </w:rPr>
              <w:t>-ГЕРОФАРМ</w:t>
            </w:r>
          </w:p>
          <w:p w:rsidR="005549E6" w:rsidRPr="00DD5D3A" w:rsidRDefault="005549E6" w:rsidP="00D36F72">
            <w:pPr>
              <w:rPr>
                <w:sz w:val="18"/>
                <w:szCs w:val="18"/>
              </w:rPr>
            </w:pP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E6" w:rsidRPr="00DD5D3A" w:rsidRDefault="005549E6" w:rsidP="00D36F72">
            <w:pPr>
              <w:rPr>
                <w:color w:val="000000"/>
                <w:sz w:val="18"/>
                <w:szCs w:val="18"/>
              </w:rPr>
            </w:pPr>
            <w:r w:rsidRPr="00DD5D3A">
              <w:rPr>
                <w:color w:val="000000"/>
                <w:sz w:val="18"/>
                <w:szCs w:val="18"/>
              </w:rPr>
              <w:t>ООО ГЕРОФАРМ РОССИЙСКАЯ ФЕДЕРАЦИЯ</w:t>
            </w:r>
          </w:p>
          <w:p w:rsidR="005549E6" w:rsidRPr="00DD5D3A" w:rsidRDefault="005549E6" w:rsidP="00D36F72">
            <w:pPr>
              <w:rPr>
                <w:color w:val="000000"/>
                <w:sz w:val="18"/>
                <w:szCs w:val="18"/>
              </w:rPr>
            </w:pPr>
            <w:r w:rsidRPr="00DD5D3A">
              <w:rPr>
                <w:color w:val="000000"/>
                <w:sz w:val="18"/>
                <w:szCs w:val="18"/>
              </w:rPr>
              <w:t>ООО ГЕРОФАРМ РОССИЙСКАЯ ФЕДЕРАЦИЯ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ЛП-№(007754)-(РГ-RU)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DD5D3A">
              <w:rPr>
                <w:color w:val="000000"/>
                <w:sz w:val="18"/>
                <w:szCs w:val="18"/>
              </w:rPr>
              <w:t xml:space="preserve">Код в соответствии с Общероссийским </w:t>
            </w:r>
            <w:hyperlink r:id="rId6" w:history="1">
              <w:r w:rsidRPr="00DD5D3A">
                <w:rPr>
                  <w:color w:val="000000"/>
                  <w:sz w:val="18"/>
                  <w:szCs w:val="18"/>
                </w:rPr>
                <w:t>классификатором</w:t>
              </w:r>
            </w:hyperlink>
            <w:r w:rsidRPr="00DD5D3A">
              <w:rPr>
                <w:color w:val="000000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DD5D3A">
              <w:rPr>
                <w:color w:val="000000"/>
                <w:sz w:val="18"/>
                <w:szCs w:val="18"/>
              </w:rPr>
              <w:t>21.20.10.132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color w:val="212529"/>
                <w:sz w:val="18"/>
                <w:szCs w:val="18"/>
                <w:shd w:val="clear" w:color="auto" w:fill="FFFFFF"/>
              </w:rPr>
              <w:t>мг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5549E6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5549E6">
              <w:rPr>
                <w:sz w:val="18"/>
                <w:szCs w:val="18"/>
                <w:lang w:eastAsia="en-US"/>
              </w:rPr>
              <w:t>1,25 мг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E6" w:rsidRPr="005549E6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proofErr w:type="spellStart"/>
            <w:r w:rsidRPr="005549E6">
              <w:rPr>
                <w:sz w:val="18"/>
                <w:szCs w:val="18"/>
                <w:lang w:eastAsia="en-US"/>
              </w:rPr>
              <w:t>Лиофилизат</w:t>
            </w:r>
            <w:proofErr w:type="spellEnd"/>
            <w:r w:rsidRPr="005549E6">
              <w:rPr>
                <w:sz w:val="18"/>
                <w:szCs w:val="18"/>
                <w:lang w:eastAsia="en-US"/>
              </w:rPr>
              <w:t xml:space="preserve"> для приготовления раствора для подкожного введения, 0,25 мг, 0,25 мг</w:t>
            </w:r>
            <w:bookmarkStart w:id="0" w:name="_GoBack"/>
            <w:bookmarkEnd w:id="0"/>
          </w:p>
        </w:tc>
      </w:tr>
      <w:tr w:rsidR="005549E6" w:rsidRPr="00DD5D3A" w:rsidTr="00D36F72">
        <w:trPr>
          <w:trHeight w:val="20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E6" w:rsidRPr="00DD5D3A" w:rsidRDefault="005549E6" w:rsidP="00D36F72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D5D3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</w:tr>
      <w:tr w:rsidR="005549E6" w:rsidRPr="00DD5D3A" w:rsidTr="00D36F72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E6" w:rsidRPr="00DD5D3A" w:rsidRDefault="005549E6" w:rsidP="00D36F7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18"/>
                <w:szCs w:val="18"/>
                <w:lang w:eastAsia="en-US"/>
              </w:rPr>
            </w:pPr>
            <w:r w:rsidRPr="00DD5D3A">
              <w:rPr>
                <w:sz w:val="18"/>
                <w:szCs w:val="18"/>
                <w:lang w:eastAsia="en-US"/>
              </w:rPr>
              <w:t>Не менее 12 мес.</w:t>
            </w:r>
          </w:p>
        </w:tc>
      </w:tr>
    </w:tbl>
    <w:p w:rsidR="00CA2821" w:rsidRDefault="00EC09A9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A9" w:rsidRDefault="00EC09A9" w:rsidP="005549E6">
      <w:pPr>
        <w:spacing w:after="0"/>
      </w:pPr>
      <w:r>
        <w:separator/>
      </w:r>
    </w:p>
  </w:endnote>
  <w:endnote w:type="continuationSeparator" w:id="0">
    <w:p w:rsidR="00EC09A9" w:rsidRDefault="00EC09A9" w:rsidP="005549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A9" w:rsidRDefault="00EC09A9" w:rsidP="005549E6">
      <w:pPr>
        <w:spacing w:after="0"/>
      </w:pPr>
      <w:r>
        <w:separator/>
      </w:r>
    </w:p>
  </w:footnote>
  <w:footnote w:type="continuationSeparator" w:id="0">
    <w:p w:rsidR="00EC09A9" w:rsidRDefault="00EC09A9" w:rsidP="005549E6">
      <w:pPr>
        <w:spacing w:after="0"/>
      </w:pPr>
      <w:r>
        <w:continuationSeparator/>
      </w:r>
    </w:p>
  </w:footnote>
  <w:footnote w:id="1">
    <w:p w:rsidR="005549E6" w:rsidRDefault="005549E6" w:rsidP="005549E6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E6"/>
    <w:rsid w:val="005549E6"/>
    <w:rsid w:val="006C72EC"/>
    <w:rsid w:val="009022DF"/>
    <w:rsid w:val="00A01F68"/>
    <w:rsid w:val="00C51EB4"/>
    <w:rsid w:val="00DC0E23"/>
    <w:rsid w:val="00E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2F91E-3AFD-44DC-B41C-02AEC69F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E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549E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549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54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2026-06-03T09:10:00Z</dcterms:created>
  <dcterms:modified xsi:type="dcterms:W3CDTF">2026-06-03T09:11:00Z</dcterms:modified>
</cp:coreProperties>
</file>