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1"/>
        <w:widowControl/>
        <w:tabs>
          <w:tab w:val="clear" w:pos="708"/>
          <w:tab w:val="left" w:pos="360" w:leader="none"/>
          <w:tab w:val="left" w:pos="8900" w:leader="none"/>
        </w:tabs>
        <w:ind w:hanging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ab/>
        <w:tab/>
      </w:r>
    </w:p>
    <w:p>
      <w:pPr>
        <w:pStyle w:val="Normal"/>
        <w:spacing w:before="0" w:after="0"/>
        <w:ind w:firstLine="1134"/>
        <w:jc w:val="right"/>
        <w:rPr>
          <w:kern w:val="2"/>
        </w:rPr>
      </w:pPr>
      <w:r>
        <w:rPr>
          <w:kern w:val="2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hanging="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ОБОСНОВАНИЕ НАЧАЛЬНОЙ ЦЕНЫ ЕДИНИЦЫ ТОВАРА, РАБОТЫ, УСЛУГИ,</w:t>
      </w:r>
    </w:p>
    <w:p>
      <w:pPr>
        <w:pStyle w:val="ConsPlusNormal1"/>
        <w:widowControl/>
        <w:tabs>
          <w:tab w:val="clear" w:pos="708"/>
          <w:tab w:val="left" w:pos="360" w:leader="none"/>
        </w:tabs>
        <w:ind w:hanging="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НАЧАЛЬНОЙ СУММЫ ЦЕН ЕДИНИЦ ТОВАРА, РАБОТЫ, УСЛУГИ</w:t>
      </w:r>
    </w:p>
    <w:tbl>
      <w:tblPr>
        <w:tblW w:w="15134" w:type="dxa"/>
        <w:jc w:val="left"/>
        <w:tblInd w:w="155" w:type="dxa"/>
        <w:tblLayout w:type="fixed"/>
        <w:tblCellMar>
          <w:top w:w="0" w:type="dxa"/>
          <w:left w:w="75" w:type="dxa"/>
          <w:bottom w:w="0" w:type="dxa"/>
          <w:right w:w="75" w:type="dxa"/>
        </w:tblCellMar>
        <w:tblLook w:val="0000"/>
      </w:tblPr>
      <w:tblGrid>
        <w:gridCol w:w="2693"/>
        <w:gridCol w:w="12440"/>
      </w:tblGrid>
      <w:tr>
        <w:trPr>
          <w:trHeight w:val="244" w:hRule="atLeast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Объект закупки</w:t>
            </w:r>
          </w:p>
        </w:tc>
        <w:tc>
          <w:tcPr>
            <w:tcW w:w="12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услуг по хранению арестованного  и изъятого имущества</w:t>
            </w:r>
          </w:p>
        </w:tc>
      </w:tr>
      <w:tr>
        <w:trPr>
          <w:trHeight w:val="697" w:hRule="atLeast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Основные  характеристики объекта закупки</w:t>
            </w:r>
          </w:p>
        </w:tc>
        <w:tc>
          <w:tcPr>
            <w:tcW w:w="124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before="0" w:after="0"/>
              <w:ind w:hanging="0" w:left="57" w:right="57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описанию объекта закупки</w:t>
            </w:r>
          </w:p>
        </w:tc>
      </w:tr>
      <w:tr>
        <w:trPr>
          <w:trHeight w:val="707" w:hRule="atLeast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Используемый метод определения НЦЕтру с обоснованием:</w:t>
            </w:r>
          </w:p>
        </w:tc>
        <w:tc>
          <w:tcPr>
            <w:tcW w:w="1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связи с невозможностью определения необходимого объема услуг, закупка оценивается по начальной цене единицы услуги, но в размере, не превышающем максимального значения цены контракта.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определения начальной цены единицы услуги применен нормативный метод совместно с методом сопоставимых рыночных цен (анализа рынка).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Получены коммерческие предложения исполнителей данного вида услуг:</w:t>
            </w:r>
          </w:p>
          <w:p>
            <w:pPr>
              <w:pStyle w:val="Normal"/>
              <w:spacing w:before="0" w:after="0"/>
              <w:ind w:firstLine="35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коммерческое предложение </w:t>
            </w: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>№ 34719/26/46000  от</w:t>
            </w:r>
            <w:r>
              <w:rPr>
                <w:sz w:val="22"/>
                <w:szCs w:val="22"/>
              </w:rPr>
              <w:t xml:space="preserve"> 27.08.2026;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коммерческое предложен</w:t>
            </w: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>ие № 34717/26/46000 от 27.08.20</w:t>
            </w:r>
            <w:r>
              <w:rPr>
                <w:sz w:val="22"/>
                <w:szCs w:val="22"/>
              </w:rPr>
              <w:t>26;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коммерческое предложение </w:t>
            </w: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№ 34718/26/46000 </w:t>
            </w:r>
            <w:r>
              <w:rPr>
                <w:sz w:val="22"/>
                <w:szCs w:val="22"/>
              </w:rPr>
              <w:t xml:space="preserve"> от 27.08.2026.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Полученные начальные цены единиц услуг по позициям № 2 и № 3 рассчитаны путем расчетно-нормативных затрат по хранению арестованного и изъятого имущества, определенных Письмом ФССП России от  04.09.2025г. № 00800/25/255754, к позициям №1, № 4 применен метод сопоставимых рыночных цен (анализа рынка) в соответствии с ч. 6 ст. 22 Федерального закона от 5 апреля 2013 года № 44-ФЗ  «О контрактной системе в сфере закупок товаров, работ, услуг для обеспечения государственных и муниципальных нужд».</w:t>
            </w:r>
          </w:p>
          <w:p>
            <w:pPr>
              <w:pStyle w:val="Normal"/>
              <w:spacing w:before="0" w:after="0"/>
              <w:ind w:firstLine="3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Цена единицы услуги определяется путем уменьшения начальной цены таких единиц, указанных в извещении об осуществлении закупки, пропорционально снижению начальной суммы цен единиц услуги, предложенной участником закупки, с которым заключается Контракт.</w:t>
            </w:r>
          </w:p>
        </w:tc>
      </w:tr>
      <w:tr>
        <w:trPr>
          <w:trHeight w:val="565" w:hRule="atLeast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firstLine="567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Расчет </w:t>
            </w:r>
            <w:r>
              <w:rPr>
                <w:b/>
                <w:sz w:val="22"/>
                <w:szCs w:val="22"/>
              </w:rPr>
              <w:t>НЦЕтру</w:t>
            </w:r>
          </w:p>
        </w:tc>
        <w:tc>
          <w:tcPr>
            <w:tcW w:w="1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в Приложении № 2.1 (прилагается отдельным файлом)</w:t>
            </w:r>
          </w:p>
        </w:tc>
      </w:tr>
      <w:tr>
        <w:trPr>
          <w:trHeight w:val="329" w:hRule="atLeast"/>
        </w:trPr>
        <w:tc>
          <w:tcPr>
            <w:tcW w:w="15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firstLine="567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подготовки обоснования </w:t>
            </w:r>
            <w:r>
              <w:rPr>
                <w:b/>
                <w:sz w:val="22"/>
                <w:szCs w:val="22"/>
              </w:rPr>
              <w:t>НЦЕтру</w:t>
            </w:r>
            <w:r>
              <w:rPr>
                <w:b/>
                <w:bCs/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август 2026г.</w:t>
            </w:r>
          </w:p>
        </w:tc>
      </w:tr>
    </w:tbl>
    <w:p>
      <w:pPr>
        <w:pStyle w:val="Normal"/>
        <w:spacing w:before="0" w:after="0"/>
        <w:ind w:firstLine="567"/>
        <w:rPr/>
      </w:pPr>
      <w:r>
        <w:rPr>
          <w:b/>
          <w:bCs/>
          <w:color w:val="000000"/>
          <w:sz w:val="22"/>
          <w:szCs w:val="22"/>
        </w:rPr>
        <w:t xml:space="preserve">Максимальное значение цены </w:t>
      </w:r>
      <w:r>
        <w:rPr>
          <w:b/>
          <w:color w:val="000000"/>
          <w:sz w:val="22"/>
          <w:szCs w:val="22"/>
        </w:rPr>
        <w:t>государственного контракта</w:t>
      </w:r>
      <w: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: 111 000 (Сто одиннадцать тысяч) рублей 00 копеек за счет средств федерального бюджета.</w:t>
      </w:r>
    </w:p>
    <w:p>
      <w:pPr>
        <w:pStyle w:val="Normal"/>
        <w:spacing w:before="0" w:after="0"/>
        <w:ind w:firstLine="567"/>
        <w:rPr>
          <w:sz w:val="22"/>
          <w:szCs w:val="22"/>
        </w:rPr>
      </w:pPr>
      <w:r>
        <w:rPr>
          <w:b/>
          <w:iCs/>
          <w:sz w:val="22"/>
          <w:szCs w:val="22"/>
        </w:rPr>
        <w:t>На основании расчетов, начальная сумма цен единиц услуг, составляет: 410</w:t>
      </w:r>
      <w:r>
        <w:rPr>
          <w:b/>
          <w:bCs/>
          <w:iCs/>
          <w:color w:val="000000"/>
          <w:sz w:val="22"/>
          <w:szCs w:val="22"/>
        </w:rPr>
        <w:t xml:space="preserve"> руб. 00 коп.</w:t>
      </w:r>
    </w:p>
    <w:p>
      <w:pPr>
        <w:pStyle w:val="Normal"/>
        <w:spacing w:before="0" w:after="0"/>
        <w:ind w:firstLine="567"/>
        <w:rPr>
          <w:sz w:val="22"/>
          <w:szCs w:val="22"/>
        </w:rPr>
      </w:pPr>
      <w:r>
        <w:rPr>
          <w:bCs/>
          <w:sz w:val="22"/>
          <w:szCs w:val="22"/>
        </w:rPr>
        <w:t xml:space="preserve">Оплата оказанных услуг осуществляется по цене единицы услуги исходя из объема фактически оказанных услуг,  но в размере, не превышающем максимального значения цены контракта, </w:t>
      </w:r>
      <w:r>
        <w:rPr>
          <w:rFonts w:eastAsia="Calibri"/>
          <w:bCs/>
          <w:sz w:val="22"/>
          <w:szCs w:val="22"/>
        </w:rPr>
        <w:t>указанной в извещении об осуществлении закупки.</w:t>
      </w:r>
    </w:p>
    <w:p>
      <w:pPr>
        <w:pStyle w:val="Normal"/>
        <w:spacing w:before="0" w:after="0"/>
        <w:ind w:firstLine="567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Цена единицы услуги определяется путем уменьшения начальной цены таких единиц, указанных в извещении об осуществлении закупки, пропорционально снижению начальной суммы цен единиц услуги, предложенной участником закупки, с которым заключается Контракт.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625" w:leader="none"/>
        </w:tabs>
        <w:suppressAutoHyphens w:val="true"/>
        <w:spacing w:before="0" w:after="0"/>
        <w:ind w:firstLine="567" w:left="0"/>
        <w:outlineLvl w:val="0"/>
        <w:rPr>
          <w:sz w:val="22"/>
          <w:szCs w:val="22"/>
        </w:rPr>
      </w:pPr>
      <w:r>
        <w:rPr>
          <w:color w:val="000000"/>
          <w:sz w:val="22"/>
          <w:szCs w:val="22"/>
        </w:rPr>
        <w:t>Цена единицы услуги включает в себя стоимость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материальных затрат (заработная плата работников; транспортные расходы, расходы, связанные с хранением; затраты на эксплуатацию и содержание машин и механизмов; затраты, связанные с приемкой; затраты на электроэнергию, прочие энергоресурсы и т.д.); непроизводственные затраты; социальные отчисления; страхование; уплату таможенных пошлин, налогов и других обязательных платежей; расходы, связанные с риском неисполнения или ненадлежащего исполнения обязательств по государственному контракту и иные расходы, произведенные в ходе оказания услуг.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625" w:leader="none"/>
        </w:tabs>
        <w:suppressAutoHyphens w:val="true"/>
        <w:spacing w:before="0" w:after="0"/>
        <w:ind w:firstLine="567" w:left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widowControl/>
        <w:bidi w:val="0"/>
        <w:spacing w:before="0" w:after="0"/>
        <w:ind w:hanging="0" w:left="0" w:right="0"/>
        <w:jc w:val="left"/>
        <w:rPr/>
      </w:pPr>
      <w:r>
        <w:rPr/>
      </w:r>
    </w:p>
    <w:p>
      <w:pPr>
        <w:pStyle w:val="Normal"/>
        <w:widowControl/>
        <w:bidi w:val="0"/>
        <w:spacing w:before="0" w:after="0"/>
        <w:ind w:hanging="0" w:left="0" w:right="0"/>
        <w:jc w:val="left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767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734"/>
        <w:gridCol w:w="2933"/>
        <w:gridCol w:w="1058"/>
        <w:gridCol w:w="719"/>
        <w:gridCol w:w="1389"/>
        <w:gridCol w:w="1299"/>
        <w:gridCol w:w="1318"/>
        <w:gridCol w:w="1350"/>
        <w:gridCol w:w="1132"/>
        <w:gridCol w:w="1135"/>
        <w:gridCol w:w="1200"/>
        <w:gridCol w:w="1499"/>
      </w:tblGrid>
      <w:tr>
        <w:trPr>
          <w:trHeight w:val="2040" w:hRule="atLeast"/>
        </w:trPr>
        <w:tc>
          <w:tcPr>
            <w:tcW w:w="734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2933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Виды объектов оценки</w:t>
            </w:r>
          </w:p>
        </w:tc>
        <w:tc>
          <w:tcPr>
            <w:tcW w:w="1058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19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4006" w:type="dxa"/>
            <w:gridSpan w:val="3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Источник информации о цене (руб./ед.изм.)</w:t>
            </w:r>
          </w:p>
        </w:tc>
        <w:tc>
          <w:tcPr>
            <w:tcW w:w="3617" w:type="dxa"/>
            <w:gridSpan w:val="3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Однородность совокупности значений выявленных цен, используемых в расчете НМЦК**</w:t>
            </w:r>
          </w:p>
        </w:tc>
        <w:tc>
          <w:tcPr>
            <w:tcW w:w="1200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Предельная стоимость услуг по хранению по письму ФССП России</w:t>
            </w:r>
          </w:p>
        </w:tc>
        <w:tc>
          <w:tcPr>
            <w:tcW w:w="1499" w:type="dxa"/>
            <w:vMerge w:val="restart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НМЦК с учетом предельных цен руб.</w:t>
            </w:r>
          </w:p>
        </w:tc>
      </w:tr>
      <w:tr>
        <w:trPr>
          <w:trHeight w:val="925" w:hRule="atLeast"/>
        </w:trPr>
        <w:tc>
          <w:tcPr>
            <w:tcW w:w="734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</w:r>
          </w:p>
        </w:tc>
        <w:tc>
          <w:tcPr>
            <w:tcW w:w="2933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58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</w:r>
          </w:p>
        </w:tc>
        <w:tc>
          <w:tcPr>
            <w:tcW w:w="719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Предложение №34719/26/46000  от 27.08.2026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Предложение №34717/26/46000   от 27.08.2026</w:t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Предложение №34718/26/46000   от 27.08.2026</w:t>
            </w:r>
          </w:p>
        </w:tc>
        <w:tc>
          <w:tcPr>
            <w:tcW w:w="1350" w:type="dxa"/>
            <w:tcBorders/>
            <w:vAlign w:val="bottom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rFonts w:ascii="Times New Roman" w:hAnsi="Times New Roman" w:eastAsia="Times New Roman" w:cs="Times New Roman"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Средняя арифметическая цена за единицу &lt;ц&gt;</w:t>
              <w:br/>
            </w:r>
          </w:p>
        </w:tc>
        <w:tc>
          <w:tcPr>
            <w:tcW w:w="1132" w:type="dxa"/>
            <w:tcBorders/>
            <w:vAlign w:val="bottom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rFonts w:ascii="Times New Roman" w:hAnsi="Times New Roman" w:eastAsia="Times New Roman" w:cs="Times New Roman"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Среднее квадратичное отклонение</w:t>
              <w:br/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>
                <w:rFonts w:ascii="Times New Roman" w:hAnsi="Times New Roman" w:eastAsia="Times New Roman" w:cs="Times New Roman"/>
                <w:i/>
                <w:i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i/>
                <w:sz w:val="16"/>
                <w:szCs w:val="16"/>
                <w:lang w:eastAsia="ru-RU"/>
              </w:rPr>
              <w:t>Коэффициент вариации цен (%)                                   (не должен превышать 33%)</w:t>
            </w:r>
          </w:p>
        </w:tc>
        <w:tc>
          <w:tcPr>
            <w:tcW w:w="1200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right"/>
              <w:rPr/>
            </w:pPr>
            <w:r>
              <w:rPr/>
            </w:r>
          </w:p>
        </w:tc>
        <w:tc>
          <w:tcPr>
            <w:tcW w:w="1499" w:type="dxa"/>
            <w:vMerge w:val="continue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righ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3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</w:t>
            </w:r>
          </w:p>
        </w:tc>
        <w:tc>
          <w:tcPr>
            <w:tcW w:w="2933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  <w:t>Хранение мотоциклов, мопедов</w:t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УСЛ. ЕД</w:t>
            </w:r>
          </w:p>
        </w:tc>
        <w:tc>
          <w:tcPr>
            <w:tcW w:w="71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</w:t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40,00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40,00</w:t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50,00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43,33</w:t>
            </w:r>
          </w:p>
        </w:tc>
        <w:tc>
          <w:tcPr>
            <w:tcW w:w="113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5,77350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13,42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-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43,33</w:t>
            </w:r>
          </w:p>
        </w:tc>
      </w:tr>
      <w:tr>
        <w:trPr>
          <w:trHeight w:val="537" w:hRule="atLeast"/>
        </w:trPr>
        <w:tc>
          <w:tcPr>
            <w:tcW w:w="73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2</w:t>
            </w:r>
          </w:p>
        </w:tc>
        <w:tc>
          <w:tcPr>
            <w:tcW w:w="2933" w:type="dxa"/>
            <w:tcBorders/>
            <w:vAlign w:val="bottom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  <w:t>Хранение легковых и грузовых автомобилей, специализированной техники массой до 3,5 т</w:t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 xml:space="preserve"> </w:t>
            </w:r>
            <w:r>
              <w:rPr/>
              <w:t>УСЛ. ЕД</w:t>
            </w:r>
          </w:p>
        </w:tc>
        <w:tc>
          <w:tcPr>
            <w:tcW w:w="719" w:type="dxa"/>
            <w:tcBorders/>
            <w:vAlign w:val="bottom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</w:t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100,00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90,00</w:t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100,00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96,67</w:t>
            </w:r>
          </w:p>
        </w:tc>
        <w:tc>
          <w:tcPr>
            <w:tcW w:w="113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5,77350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5,95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>
                <w:b/>
              </w:rPr>
              <w:t>70,00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70,00</w:t>
            </w:r>
          </w:p>
        </w:tc>
      </w:tr>
      <w:tr>
        <w:trPr>
          <w:trHeight w:val="552" w:hRule="atLeast"/>
        </w:trPr>
        <w:tc>
          <w:tcPr>
            <w:tcW w:w="73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3</w:t>
            </w:r>
          </w:p>
        </w:tc>
        <w:tc>
          <w:tcPr>
            <w:tcW w:w="2933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  <w:t>Хранение грузовых автомобилей, специализированной техники массой свыше 3,5 т</w:t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УСЛ. ЕД</w:t>
            </w:r>
          </w:p>
        </w:tc>
        <w:tc>
          <w:tcPr>
            <w:tcW w:w="71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</w:t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130,00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130,00</w:t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140,00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133,33</w:t>
            </w:r>
          </w:p>
        </w:tc>
        <w:tc>
          <w:tcPr>
            <w:tcW w:w="113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5,77350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4,34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>
                <w:b/>
              </w:rPr>
              <w:t>100,00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100,00</w:t>
            </w:r>
          </w:p>
        </w:tc>
      </w:tr>
      <w:tr>
        <w:trPr>
          <w:trHeight w:val="999" w:hRule="atLeast"/>
        </w:trPr>
        <w:tc>
          <w:tcPr>
            <w:tcW w:w="73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4</w:t>
            </w:r>
          </w:p>
        </w:tc>
        <w:tc>
          <w:tcPr>
            <w:tcW w:w="2933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  <w:t>Хранение крупногабаритных, тяжеловесных транспортных средств</w:t>
            </w:r>
          </w:p>
        </w:tc>
        <w:tc>
          <w:tcPr>
            <w:tcW w:w="105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УСЛ. ЕД</w:t>
            </w:r>
          </w:p>
        </w:tc>
        <w:tc>
          <w:tcPr>
            <w:tcW w:w="71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</w:t>
            </w:r>
          </w:p>
        </w:tc>
        <w:tc>
          <w:tcPr>
            <w:tcW w:w="138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190,00</w:t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200,00</w:t>
            </w:r>
          </w:p>
        </w:tc>
        <w:tc>
          <w:tcPr>
            <w:tcW w:w="1318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200,00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196,67</w:t>
            </w:r>
          </w:p>
        </w:tc>
        <w:tc>
          <w:tcPr>
            <w:tcW w:w="1132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5,77350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76" w:before="0" w:after="60"/>
              <w:jc w:val="center"/>
              <w:rPr/>
            </w:pPr>
            <w:r>
              <w:rPr/>
              <w:t>2,93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-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196,67</w:t>
            </w:r>
          </w:p>
        </w:tc>
      </w:tr>
      <w:tr>
        <w:trPr>
          <w:trHeight w:val="609" w:hRule="atLeast"/>
        </w:trPr>
        <w:tc>
          <w:tcPr>
            <w:tcW w:w="14267" w:type="dxa"/>
            <w:gridSpan w:val="11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left"/>
              <w:rPr/>
            </w:pPr>
            <w:r>
              <w:rPr/>
              <w:t>Итого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60"/>
              <w:jc w:val="center"/>
              <w:rPr/>
            </w:pPr>
            <w:r>
              <w:rPr/>
              <w:t>410,00</w:t>
            </w:r>
          </w:p>
        </w:tc>
      </w:tr>
    </w:tbl>
    <w:p>
      <w:pPr>
        <w:pStyle w:val="Normal"/>
        <w:tabs>
          <w:tab w:val="clear" w:pos="708"/>
        </w:tabs>
        <w:jc w:val="left"/>
        <w:rPr/>
      </w:pPr>
      <w:r>
        <w:rPr>
          <w:i/>
        </w:rPr>
        <w:t xml:space="preserve">Исполнитель: </w:t>
      </w:r>
    </w:p>
    <w:p>
      <w:pPr>
        <w:pStyle w:val="Normal"/>
        <w:tabs>
          <w:tab w:val="clear" w:pos="708"/>
        </w:tabs>
        <w:jc w:val="left"/>
        <w:rPr/>
      </w:pPr>
      <w:r>
        <w:rPr>
          <w:i/>
        </w:rPr>
        <w:t xml:space="preserve">Врио начальника отделения организации  </w:t>
      </w:r>
    </w:p>
    <w:p>
      <w:pPr>
        <w:pStyle w:val="Normal"/>
        <w:tabs>
          <w:tab w:val="clear" w:pos="708"/>
        </w:tabs>
        <w:spacing w:before="0" w:after="60"/>
        <w:jc w:val="left"/>
        <w:rPr/>
      </w:pPr>
      <w:r>
        <w:rPr>
          <w:i/>
        </w:rPr>
        <w:t>исполнительного розыска и реализации имущества должников  Амелина Н.В</w:t>
      </w:r>
    </w:p>
    <w:sectPr>
      <w:type w:val="nextPage"/>
      <w:pgSz w:orient="landscape" w:w="16838" w:h="11906"/>
      <w:pgMar w:left="650" w:right="851" w:gutter="0" w:header="0" w:top="28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0601"/>
    <w:pPr>
      <w:widowControl/>
      <w:suppressAutoHyphens w:val="true"/>
      <w:bidi w:val="0"/>
      <w:spacing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1"/>
    <w:qFormat/>
    <w:locked/>
    <w:rsid w:val="00710601"/>
    <w:rPr>
      <w:rFonts w:ascii="Arial" w:hAnsi="Arial" w:eastAsia="Times New Roman" w:cs="Arial"/>
      <w:sz w:val="20"/>
      <w:szCs w:val="20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ConsPlusNormal1" w:customStyle="1">
    <w:name w:val="ConsPlusNormal"/>
    <w:link w:val="ConsPlusNormal"/>
    <w:qFormat/>
    <w:rsid w:val="00710601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6" w:customStyle="1">
    <w:name w:val="Заголовок №6"/>
    <w:basedOn w:val="Normal"/>
    <w:qFormat/>
    <w:rsid w:val="00710601"/>
    <w:pPr>
      <w:shd w:val="clear" w:color="auto" w:fill="FFFFFF"/>
      <w:suppressAutoHyphens w:val="true"/>
      <w:spacing w:lineRule="atLeast" w:line="240" w:before="660" w:after="480"/>
    </w:pPr>
    <w:rPr>
      <w:sz w:val="20"/>
      <w:szCs w:val="20"/>
      <w:shd w:fill="FFFFFF" w:val="clear"/>
      <w:lang w:eastAsia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Application>LibreOffice/7.6.7.2$Linux_X86_64 LibreOffice_project/60$Build-2</Application>
  <AppVersion>15.0000</AppVersion>
  <Pages>2</Pages>
  <Words>543</Words>
  <Characters>3648</Characters>
  <CharactersWithSpaces>4158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2024-05-30T14:34:00Z</dcterms:created>
  <dc:creator>of9</dc:creator>
  <dc:description/>
  <dc:language>ru-RU</dc:language>
  <cp:lastModifiedBy/>
  <cp:lastPrinted>2025-02-13T14:34:00Z</cp:lastPrinted>
  <dcterms:modified xsi:type="dcterms:W3CDTF">2026-09-11T12:26:22Z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