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ТЕХНИЧЕСКОЕ ЗАДАНИЕ</w:t>
      </w:r>
      <w:r>
        <w:rPr>
          <w:b/>
          <w:sz w:val="28"/>
          <w:szCs w:val="28"/>
        </w:rPr>
      </w:r>
    </w:p>
    <w:p>
      <w:pPr>
        <w:ind w:right="-38"/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на поставку </w:t>
      </w:r>
      <w:r>
        <w:rPr>
          <w:sz w:val="28"/>
          <w:szCs w:val="28"/>
        </w:rPr>
        <w:t xml:space="preserve">запасных частей</w:t>
      </w:r>
      <w:r>
        <w:rPr>
          <w:sz w:val="28"/>
          <w:szCs w:val="28"/>
          <w:highlight w:val="none"/>
        </w:rPr>
      </w:r>
    </w:p>
    <w:p>
      <w:pPr>
        <w:ind w:right="-38"/>
        <w:jc w:val="center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для транспортного средства LADA NIVA 212300-80</w:t>
      </w:r>
      <w:r>
        <w:rPr>
          <w:sz w:val="28"/>
          <w:szCs w:val="28"/>
          <w:highlight w:val="none"/>
        </w:rPr>
      </w:r>
    </w:p>
    <w:p>
      <w:pPr>
        <w:ind w:left="283" w:right="-38" w:firstLine="42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283" w:right="-38" w:firstLine="42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Заказчик: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Роспотребнадзора по Оренбургской области</w:t>
      </w:r>
      <w:r>
        <w:rPr>
          <w:sz w:val="28"/>
          <w:szCs w:val="28"/>
        </w:rPr>
      </w:r>
    </w:p>
    <w:p>
      <w:pPr>
        <w:ind w:left="283" w:right="-38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 закупки: </w:t>
      </w:r>
      <w:r>
        <w:rPr>
          <w:sz w:val="28"/>
          <w:szCs w:val="28"/>
        </w:rPr>
        <w:t xml:space="preserve">Поставка </w:t>
      </w:r>
      <w:r>
        <w:rPr>
          <w:sz w:val="28"/>
          <w:szCs w:val="28"/>
        </w:rPr>
        <w:t xml:space="preserve">стартера и провода </w:t>
      </w:r>
      <w:r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АКБ </w:t>
      </w:r>
      <w:r>
        <w:rPr>
          <w:sz w:val="28"/>
          <w:szCs w:val="28"/>
        </w:rPr>
        <w:t xml:space="preserve">(комплекта аккумуляторных проводов)</w:t>
      </w:r>
      <w:r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транспортного средства </w:t>
      </w:r>
      <w:r>
        <w:rPr>
          <w:sz w:val="28"/>
          <w:szCs w:val="28"/>
        </w:rPr>
        <w:t xml:space="preserve">LADA NIVA 212300-80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 xml:space="preserve">VIN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 xml:space="preserve">XTA</w:t>
      </w:r>
      <w:r>
        <w:rPr>
          <w:sz w:val="28"/>
          <w:szCs w:val="28"/>
        </w:rPr>
        <w:t xml:space="preserve">212300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0884133.</w:t>
      </w:r>
      <w:r>
        <w:rPr>
          <w:sz w:val="28"/>
          <w:szCs w:val="28"/>
        </w:rPr>
      </w:r>
    </w:p>
    <w:p>
      <w:pPr>
        <w:ind w:left="283" w:right="-3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поставки: </w:t>
      </w:r>
      <w:r>
        <w:rPr>
          <w:sz w:val="28"/>
          <w:szCs w:val="28"/>
        </w:rPr>
        <w:t xml:space="preserve">поставка това</w:t>
      </w:r>
      <w:r>
        <w:rPr>
          <w:sz w:val="28"/>
          <w:szCs w:val="28"/>
        </w:rPr>
        <w:t xml:space="preserve">ра осуществляется одной партией</w:t>
      </w:r>
      <w:r>
        <w:rPr>
          <w:sz w:val="28"/>
          <w:szCs w:val="28"/>
        </w:rPr>
        <w:t xml:space="preserve"> в течение </w:t>
      </w:r>
      <w:r>
        <w:rPr>
          <w:sz w:val="28"/>
          <w:szCs w:val="28"/>
        </w:rPr>
        <w:t xml:space="preserve">5 (пяти)</w:t>
      </w:r>
      <w:r>
        <w:rPr>
          <w:sz w:val="28"/>
          <w:szCs w:val="28"/>
        </w:rPr>
        <w:t xml:space="preserve"> рабочих дней с даты подписания контракта </w:t>
      </w:r>
      <w:r>
        <w:rPr>
          <w:sz w:val="28"/>
          <w:szCs w:val="28"/>
        </w:rPr>
        <w:t xml:space="preserve">в рабочее время Заказчика, кроме субботы и воскресенья, с понедельника по четверг с 09 час. 00 мин. до 18 час. 00 мин., а по пятницам с 09 час. 00 мин. до 16 час. 45 мин., обеденный перерыв ежедневно с 13 час. 00 мин. до 13 час. 45 мин.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Место поставки: </w:t>
      </w:r>
      <w:r>
        <w:rPr>
          <w:sz w:val="28"/>
          <w:szCs w:val="28"/>
        </w:rPr>
        <w:t xml:space="preserve">Оренбургская область, г. Оренбург, ул. 60 лет Октября, </w:t>
        <w:br/>
        <w:t xml:space="preserve">д. 2/1, склад.</w:t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Основные технические требования к товару: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Требования к количеству товара.</w:t>
      </w:r>
      <w:r>
        <w:rPr>
          <w:b/>
          <w:bCs/>
          <w:sz w:val="28"/>
          <w:szCs w:val="28"/>
        </w:rPr>
      </w:r>
    </w:p>
    <w:p>
      <w:pPr>
        <w:ind w:firstLine="709"/>
        <w:jc w:val="both"/>
      </w:pPr>
      <w:r>
        <w:rPr>
          <w:sz w:val="28"/>
          <w:szCs w:val="28"/>
        </w:rPr>
        <w:t xml:space="preserve">Количество товара, подлежащего передаче Поставщиком Заказчику, указано в таблице 1 настоящего Технического задания.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b/>
          <w:bCs/>
        </w:rPr>
      </w:pPr>
      <w:r>
        <w:rPr>
          <w:b/>
          <w:bCs/>
          <w:sz w:val="28"/>
          <w:szCs w:val="28"/>
          <w:highlight w:val="none"/>
        </w:rPr>
        <w:t xml:space="preserve">Требования к качеству и безопасности товара.</w:t>
      </w:r>
      <w:r>
        <w:rPr>
          <w:b/>
          <w:bCs/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Поставляемый товар должен быть новым товаром (товаром, который не был в употреблении, в ремонте, в том числе не был восстановлен, у которого </w:t>
        <w:br/>
        <w:t xml:space="preserve">не была осуществлена замена составных частей, не были восстановлены потребительские свойства), не п</w:t>
      </w:r>
      <w:r>
        <w:rPr>
          <w:sz w:val="28"/>
          <w:szCs w:val="28"/>
          <w:highlight w:val="none"/>
        </w:rPr>
        <w:t xml:space="preserve">озднее 2025 года выпуска и должен обеспечивать бесперебойную работу транспортного средства. Товар должен поставляться без повреждений и следов вскрытия. Поставляемый товар должен иметь чёткое указание наименования или товарного знака изготовителя или Поставщ</w:t>
      </w:r>
      <w:r>
        <w:rPr>
          <w:sz w:val="28"/>
          <w:szCs w:val="28"/>
          <w:highlight w:val="none"/>
        </w:rPr>
        <w:t xml:space="preserve">ика, дату изготовления и характеристики. </w:t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b/>
          <w:bCs/>
          <w:sz w:val="28"/>
          <w:szCs w:val="28"/>
          <w:lang w:eastAsia="ar-SA"/>
        </w:rPr>
        <w:t xml:space="preserve">Условия поставки: </w:t>
      </w:r>
      <w:r>
        <w:rPr>
          <w:sz w:val="28"/>
          <w:szCs w:val="28"/>
          <w:lang w:eastAsia="ar-SA"/>
        </w:rPr>
        <w:t xml:space="preserve">товар поставляется и выгружается на склад Заказчика силами и транспортом Поставщика. </w:t>
      </w:r>
      <w:r>
        <w:rPr>
          <w:sz w:val="28"/>
          <w:szCs w:val="28"/>
          <w:lang w:eastAsia="ar-SA"/>
        </w:rPr>
        <w:t xml:space="preserve">Порядок погрузки-разгрузки и транспортировки должны исключать возможность механических повреждений поставляемого товара. </w:t>
      </w:r>
      <w:r>
        <w:rPr>
          <w:sz w:val="28"/>
          <w:szCs w:val="28"/>
          <w:lang w:eastAsia="ar-SA"/>
        </w:rPr>
        <w:t xml:space="preserve">Поставщик предоставляет гарантийные документы на товар.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У товара должен быть срок гарантии не ниже, чем у производителя. </w:t>
      </w:r>
      <w:r>
        <w:rPr>
          <w:sz w:val="28"/>
          <w:szCs w:val="28"/>
          <w:highlight w:val="white"/>
          <w:lang w:eastAsia="ar-SA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  <w:lang w:eastAsia="ar-SA"/>
        </w:rPr>
      </w:r>
      <w:r>
        <w:rPr>
          <w:sz w:val="28"/>
          <w:szCs w:val="28"/>
          <w:highlight w:val="none"/>
          <w:lang w:eastAsia="ar-SA"/>
        </w:rPr>
      </w:r>
    </w:p>
    <w:p>
      <w:pPr>
        <w:ind w:firstLine="709"/>
        <w:jc w:val="both"/>
        <w:rPr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Дополнительные требования:</w:t>
      </w:r>
      <w:r>
        <w:rPr>
          <w:sz w:val="28"/>
          <w:szCs w:val="28"/>
          <w:lang w:eastAsia="ar-SA"/>
        </w:rPr>
        <w:t xml:space="preserve"> поставляемый товар должен соответствовать техническим условиям эксплуатации. </w:t>
      </w:r>
      <w:r>
        <w:rPr>
          <w:sz w:val="28"/>
          <w:szCs w:val="28"/>
          <w:lang w:eastAsia="ar-SA"/>
        </w:rPr>
        <w:t xml:space="preserve">Н</w:t>
      </w:r>
      <w:r>
        <w:rPr>
          <w:sz w:val="28"/>
          <w:szCs w:val="28"/>
          <w:lang w:eastAsia="ar-SA"/>
        </w:rPr>
        <w:t xml:space="preserve">екачественный товар должен быть заменён Поставщиком в течение 7 календарных дней с момента получения уведомления от Заказчика.</w:t>
      </w:r>
      <w:r>
        <w:rPr>
          <w:sz w:val="28"/>
          <w:szCs w:val="28"/>
          <w:lang w:eastAsia="ar-SA"/>
        </w:rPr>
      </w:r>
    </w:p>
    <w:p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  <w:t xml:space="preserve">Оплата производится за фактически поставленный товар в течение 7 (семи) рабочих дней с даты подписания Заказчиком документов о приемке </w:t>
      </w:r>
      <w:r>
        <w:rPr>
          <w:sz w:val="28"/>
          <w:szCs w:val="28"/>
          <w:lang w:eastAsia="ar-SA"/>
        </w:rPr>
        <w:t xml:space="preserve">(товарная накладная, счет-фактура или универсальный передаточный документ),</w:t>
      </w:r>
      <w:r>
        <w:rPr>
          <w:sz w:val="28"/>
          <w:szCs w:val="28"/>
          <w:lang w:eastAsia="ar-SA"/>
        </w:rPr>
        <w:t xml:space="preserve"> путем перечисления денежных средств на расчетный счет Поставщика.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</w:r>
    </w:p>
    <w:p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Аванс не предусмотрен.</w:t>
      </w:r>
      <w:r>
        <w:rPr>
          <w:sz w:val="28"/>
          <w:szCs w:val="28"/>
          <w:lang w:eastAsia="ar-SA"/>
        </w:rPr>
      </w:r>
    </w:p>
    <w:p>
      <w:pPr>
        <w:ind w:left="89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9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9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9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9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9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9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283"/>
        <w:jc w:val="right"/>
        <w:spacing w:before="100" w:after="100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Таблица № 1 </w:t>
      </w:r>
      <w:r>
        <w:rPr>
          <w:sz w:val="28"/>
          <w:szCs w:val="28"/>
          <w:highlight w:val="none"/>
        </w:rPr>
      </w:r>
    </w:p>
    <w:p>
      <w:pPr>
        <w:jc w:val="center"/>
        <w:rPr>
          <w:b/>
        </w:rPr>
      </w:pPr>
      <w:r>
        <w:rPr>
          <w:b/>
        </w:rPr>
        <w:t xml:space="preserve">Технические, функциональные характеристики (потребительские свойства) товара </w:t>
      </w:r>
      <w:r>
        <w:rPr>
          <w:b/>
        </w:rPr>
      </w:r>
      <w:r>
        <w:rPr>
          <w:b/>
        </w:rPr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  <w:r>
        <w:rPr>
          <w:b/>
        </w:rPr>
      </w:r>
    </w:p>
    <w:tbl>
      <w:tblPr>
        <w:tblStyle w:val="698"/>
        <w:tblW w:w="9890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1559"/>
        <w:gridCol w:w="850"/>
        <w:gridCol w:w="709"/>
        <w:gridCol w:w="1559"/>
        <w:gridCol w:w="1984"/>
        <w:gridCol w:w="3228"/>
      </w:tblGrid>
      <w:tr>
        <w:tblPrEx/>
        <w:trPr>
          <w:trHeight w:val="276"/>
        </w:trPr>
        <w:tc>
          <w:tcPr>
            <w:tcW w:w="1559" w:type="dxa"/>
            <w:textDirection w:val="lrTb"/>
            <w:noWrap w:val="false"/>
          </w:tcPr>
          <w:p>
            <w:r>
              <w:t xml:space="preserve">Наименование товара</w:t>
            </w:r>
            <w:r/>
            <w:r/>
          </w:p>
        </w:tc>
        <w:tc>
          <w:tcPr>
            <w:tcW w:w="850" w:type="dxa"/>
            <w:textDirection w:val="lrTb"/>
            <w:noWrap w:val="false"/>
          </w:tcPr>
          <w:p>
            <w:r>
              <w:t xml:space="preserve">Ед. изм.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r>
              <w:t xml:space="preserve">Кол-во </w:t>
            </w:r>
            <w:r/>
          </w:p>
        </w:tc>
        <w:tc>
          <w:tcPr>
            <w:gridSpan w:val="2"/>
            <w:tcW w:w="3543" w:type="dxa"/>
            <w:textDirection w:val="lrTb"/>
            <w:noWrap w:val="false"/>
          </w:tcPr>
          <w:p>
            <w:pPr>
              <w:jc w:val="center"/>
              <w:spacing w:before="100" w:after="100"/>
            </w:pPr>
            <w:r>
              <w:t xml:space="preserve">Характеристика товара </w:t>
            </w:r>
            <w:r/>
            <w:r/>
          </w:p>
        </w:tc>
        <w:tc>
          <w:tcPr>
            <w:tcW w:w="3228" w:type="dxa"/>
            <w:textDirection w:val="lrTb"/>
            <w:noWrap w:val="false"/>
          </w:tcPr>
          <w:p>
            <w:pPr>
              <w:jc w:val="center"/>
              <w:spacing w:before="100" w:after="100"/>
            </w:pPr>
            <w:r>
              <w:t xml:space="preserve">Примечание</w:t>
            </w:r>
            <w:r/>
            <w:r/>
          </w:p>
        </w:tc>
      </w:tr>
      <w:tr>
        <w:tblPrEx/>
        <w:trPr/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both"/>
              <w:spacing w:before="100" w:after="100"/>
              <w:rPr>
                <w:highlight w:val="none"/>
              </w:rPr>
            </w:pPr>
            <w:r>
              <w:t xml:space="preserve">Стартер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pacing w:before="100" w:after="100"/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(2101, 21213, </w:t>
              <w:br/>
              <w:t xml:space="preserve">21214, 2123)</w:t>
            </w:r>
            <w:r/>
            <w:r/>
          </w:p>
          <w:p>
            <w:pPr>
              <w:jc w:val="both"/>
              <w:spacing w:before="100" w:after="100"/>
            </w:pPr>
            <w:r/>
            <w:r/>
            <w:r/>
          </w:p>
          <w:p>
            <w:pPr>
              <w:jc w:val="both"/>
              <w:spacing w:before="100" w:after="100"/>
            </w:pPr>
            <w:r/>
            <w:r/>
            <w:r/>
          </w:p>
          <w:p>
            <w:r/>
            <w:r/>
            <w:r/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штука</w:t>
            </w:r>
            <w:r/>
          </w:p>
        </w:tc>
        <w:tc>
          <w:tcPr>
            <w:tcW w:w="709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before="100" w:after="100"/>
            </w:pPr>
            <w:r>
              <w:t xml:space="preserve">Напряжение</w:t>
            </w:r>
            <w:r/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spacing w:before="100" w:after="100"/>
            </w:pPr>
            <w:r>
              <w:t xml:space="preserve"> 12 В</w:t>
            </w:r>
            <w:r/>
            <w:r/>
          </w:p>
        </w:tc>
        <w:tc>
          <w:tcPr>
            <w:tcW w:w="3228" w:type="dxa"/>
            <w:textDirection w:val="lrTb"/>
            <w:noWrap w:val="false"/>
          </w:tcPr>
          <w:p>
            <w:pPr>
              <w:jc w:val="both"/>
              <w:spacing w:before="100" w:after="100"/>
            </w:pPr>
            <w:r/>
            <w:r/>
            <w:r/>
          </w:p>
        </w:tc>
      </w:tr>
      <w:tr>
        <w:tblPrEx/>
        <w:trPr/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before="100" w:after="100"/>
            </w:pPr>
            <w:r>
              <w:t xml:space="preserve">Мощность</w:t>
            </w:r>
            <w:r/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spacing w:before="100" w:after="100"/>
            </w:pPr>
            <w:r>
              <w:t xml:space="preserve"> 1,55 кВт</w:t>
            </w:r>
            <w:r/>
            <w:r/>
          </w:p>
        </w:tc>
        <w:tc>
          <w:tcPr>
            <w:tcW w:w="3228" w:type="dxa"/>
            <w:textDirection w:val="lrTb"/>
            <w:noWrap w:val="false"/>
          </w:tcPr>
          <w:p>
            <w:pPr>
              <w:jc w:val="both"/>
              <w:spacing w:before="100" w:after="100"/>
            </w:pPr>
            <w:r/>
            <w:r/>
            <w:r/>
          </w:p>
        </w:tc>
      </w:tr>
      <w:tr>
        <w:tblPrEx/>
        <w:trPr/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before="100" w:after="100"/>
            </w:pPr>
            <w:r>
              <w:t xml:space="preserve">Направление вращения</w:t>
            </w:r>
            <w:r/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spacing w:before="100" w:after="100"/>
            </w:pPr>
            <w:r>
              <w:t xml:space="preserve">правое (по часовой стрелке)</w:t>
            </w:r>
            <w:r/>
            <w:r/>
          </w:p>
        </w:tc>
        <w:tc>
          <w:tcPr>
            <w:tcW w:w="3228" w:type="dxa"/>
            <w:textDirection w:val="lrTb"/>
            <w:noWrap w:val="false"/>
          </w:tcPr>
          <w:p>
            <w:pPr>
              <w:jc w:val="both"/>
              <w:spacing w:before="100" w:after="100"/>
            </w:pPr>
            <w:r/>
            <w:r/>
            <w:r/>
          </w:p>
        </w:tc>
      </w:tr>
      <w:tr>
        <w:tblPrEx/>
        <w:trPr>
          <w:trHeight w:val="276"/>
        </w:trPr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before="100" w:after="100"/>
            </w:pPr>
            <w:r>
              <w:t xml:space="preserve">Тип крепления</w:t>
            </w:r>
            <w:r/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spacing w:before="100" w:after="100"/>
            </w:pPr>
            <w:r>
              <w:t xml:space="preserve">3 болта</w:t>
            </w:r>
            <w:r/>
            <w:r/>
          </w:p>
        </w:tc>
        <w:tc>
          <w:tcPr>
            <w:tcW w:w="3228" w:type="dxa"/>
            <w:textDirection w:val="lrTb"/>
            <w:noWrap w:val="false"/>
          </w:tcPr>
          <w:p>
            <w:pPr>
              <w:jc w:val="both"/>
              <w:spacing w:before="100" w:after="100"/>
            </w:pPr>
            <w:r/>
            <w:r/>
            <w:r/>
          </w:p>
        </w:tc>
      </w:tr>
      <w:tr>
        <w:tblPrEx/>
        <w:trPr>
          <w:trHeight w:val="276"/>
        </w:trPr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709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before="100" w:after="100"/>
            </w:pPr>
            <w:r>
              <w:t xml:space="preserve">Количество зубьев на шестерне</w:t>
            </w:r>
            <w:r/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spacing w:before="100" w:after="100"/>
            </w:pPr>
            <w:r>
              <w:t xml:space="preserve">11</w:t>
            </w:r>
            <w:r/>
            <w:r/>
          </w:p>
        </w:tc>
        <w:tc>
          <w:tcPr>
            <w:tcW w:w="3228" w:type="dxa"/>
            <w:textDirection w:val="lrTb"/>
            <w:noWrap w:val="false"/>
          </w:tcPr>
          <w:p>
            <w:pPr>
              <w:jc w:val="both"/>
              <w:spacing w:before="100" w:after="100"/>
            </w:pPr>
            <w:r/>
            <w:r/>
            <w:r/>
          </w:p>
        </w:tc>
      </w:tr>
      <w:tr>
        <w:tblPrEx/>
        <w:trPr>
          <w:trHeight w:val="438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Комплект проводов системы зажигания (провод АКБ)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</w:pPr>
            <w:r>
              <w:t xml:space="preserve">комплект </w:t>
            </w:r>
            <w:r/>
            <w:r/>
          </w:p>
          <w:p>
            <w:r/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before="100" w:after="100"/>
            </w:pPr>
            <w:r>
              <w:t xml:space="preserve">Монтажные размеры</w:t>
            </w:r>
            <w:r/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spacing w:before="100" w:after="100"/>
            </w:pPr>
            <w:r>
              <w:t xml:space="preserve">2380 мм (плюс) и 1730 мм (минус)</w:t>
            </w:r>
            <w:r/>
            <w:r/>
          </w:p>
        </w:tc>
        <w:tc>
          <w:tcPr>
            <w:tcW w:w="3228" w:type="dxa"/>
            <w:textDirection w:val="lrTb"/>
            <w:noWrap w:val="false"/>
          </w:tcPr>
          <w:p>
            <w:pPr>
              <w:ind w:right="-38"/>
              <w:jc w:val="both"/>
              <w:tabs>
                <w:tab w:val="left" w:pos="567" w:leader="none"/>
              </w:tabs>
            </w:pPr>
            <w:r>
              <w:t xml:space="preserve">Провод АКБ - </w:t>
            </w:r>
            <w:r>
              <w:t xml:space="preserve">комплект </w:t>
            </w:r>
            <w:r>
              <w:t xml:space="preserve">аккумуляторных </w:t>
            </w:r>
            <w:r>
              <w:t xml:space="preserve">проводов, предназначенный для соединения аккумуляторной батареи с другими элементами электрической системы автомобиля. Провода выполнены из многожильного медного провода ПВА сечением 16 и 6 мм², который имеет изоляцию из ПВХ пластиката.</w:t>
            </w:r>
            <w:r/>
            <w:r/>
          </w:p>
        </w:tc>
      </w:tr>
      <w:tr>
        <w:tblPrEx/>
        <w:trPr>
          <w:trHeight w:val="438"/>
        </w:trPr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W w:w="850" w:type="dxa"/>
            <w:textDirection w:val="lrTb"/>
            <w:noWrap w:val="false"/>
          </w:tcPr>
          <w:p>
            <w:r/>
            <w:r/>
          </w:p>
        </w:tc>
        <w:tc>
          <w:tcPr>
            <w:tcW w:w="709" w:type="dxa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before="100" w:after="100"/>
            </w:pPr>
            <w:r>
              <w:t xml:space="preserve">Тип клемм</w:t>
            </w:r>
            <w:r/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jc w:val="left"/>
              <w:spacing w:before="100" w:after="100"/>
            </w:pPr>
            <w:r>
              <w:t xml:space="preserve">О</w:t>
            </w:r>
            <w:r>
              <w:t xml:space="preserve">дноконтактная</w:t>
            </w:r>
            <w:r>
              <w:t xml:space="preserve"> </w:t>
            </w:r>
            <w:r>
              <w:t xml:space="preserve">(«-»)</w:t>
            </w:r>
            <w:r>
              <w:t xml:space="preserve">,</w:t>
            </w:r>
            <w:r>
              <w:t xml:space="preserve">  трёхконтактная («+»)</w:t>
            </w:r>
            <w:r/>
            <w:r/>
          </w:p>
        </w:tc>
        <w:tc>
          <w:tcPr>
            <w:tcW w:w="3228" w:type="dxa"/>
            <w:textDirection w:val="lrTb"/>
            <w:noWrap w:val="false"/>
          </w:tcPr>
          <w:p>
            <w:pPr>
              <w:jc w:val="both"/>
              <w:spacing w:before="100" w:after="100"/>
            </w:pPr>
            <w:r/>
            <w:r/>
            <w:r/>
          </w:p>
        </w:tc>
      </w:tr>
    </w:tbl>
    <w:p>
      <w:pPr>
        <w:ind w:left="89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9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9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100" w:after="10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Инженер-механик отдела МТО  </w:t>
      </w:r>
      <w:bookmarkStart w:id="0" w:name="_GoBack"/>
      <w:r/>
      <w:bookmarkEnd w:id="0"/>
      <w:r>
        <w:rPr>
          <w:sz w:val="28"/>
          <w:szCs w:val="28"/>
          <w:lang w:eastAsia="ar-SA"/>
        </w:rPr>
        <w:t xml:space="preserve">                                                               Д.В. Трубин </w:t>
      </w:r>
      <w:r>
        <w:rPr>
          <w:color w:val="000000"/>
        </w:rPr>
      </w:r>
    </w:p>
    <w:p>
      <w:pPr>
        <w:spacing w:before="100" w:after="100"/>
        <w:rPr>
          <w:color w:val="000000"/>
        </w:rPr>
      </w:pPr>
      <w:r>
        <w:rPr>
          <w:sz w:val="28"/>
          <w:szCs w:val="28"/>
          <w:lang w:eastAsia="ar-SA"/>
        </w:rPr>
      </w:r>
      <w:r>
        <w:rPr>
          <w:b/>
          <w:color w:val="000000"/>
          <w:sz w:val="28"/>
          <w:szCs w:val="28"/>
        </w:rPr>
        <w:t xml:space="preserve">   </w:t>
      </w:r>
      <w:r>
        <w:rPr>
          <w:b/>
          <w:color w:val="000000"/>
        </w:rPr>
        <w:t xml:space="preserve">                                               </w:t>
      </w:r>
      <w:r>
        <w:rPr>
          <w:b/>
          <w:color w:val="000000"/>
        </w:rPr>
        <w:t xml:space="preserve">                </w:t>
      </w:r>
      <w:r>
        <w:rPr>
          <w:color w:val="000000"/>
        </w:rPr>
      </w:r>
      <w:r/>
    </w:p>
    <w:sectPr>
      <w:footnotePr/>
      <w:endnotePr/>
      <w:type w:val="nextPage"/>
      <w:pgSz w:w="11906" w:h="16838" w:orient="portrait"/>
      <w:pgMar w:top="567" w:right="567" w:bottom="567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Segoe UI">
    <w:panose1 w:val="020B0502040504020204"/>
  </w:font>
  <w:font w:name="SimSun">
    <w:panose1 w:val="02000506000000020000"/>
  </w:font>
  <w:font w:name="Mangal">
    <w:panose1 w:val="0204050305040603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(%1)"/>
      <w:lvlJc w:val="left"/>
      <w:pPr>
        <w:ind w:left="89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1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3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5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7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9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1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3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5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70"/>
    <w:link w:val="66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70"/>
    <w:link w:val="662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70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70"/>
    <w:link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70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70"/>
    <w:link w:val="66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70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70"/>
    <w:link w:val="66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70"/>
    <w:link w:val="66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70"/>
    <w:link w:val="684"/>
    <w:uiPriority w:val="10"/>
    <w:rPr>
      <w:sz w:val="48"/>
      <w:szCs w:val="48"/>
    </w:rPr>
  </w:style>
  <w:style w:type="character" w:styleId="38">
    <w:name w:val="Subtitle Char"/>
    <w:basedOn w:val="670"/>
    <w:link w:val="686"/>
    <w:uiPriority w:val="11"/>
    <w:rPr>
      <w:sz w:val="24"/>
      <w:szCs w:val="24"/>
    </w:rPr>
  </w:style>
  <w:style w:type="character" w:styleId="40">
    <w:name w:val="Quote Char"/>
    <w:link w:val="688"/>
    <w:uiPriority w:val="29"/>
    <w:rPr>
      <w:i/>
    </w:rPr>
  </w:style>
  <w:style w:type="character" w:styleId="42">
    <w:name w:val="Intense Quote Char"/>
    <w:link w:val="690"/>
    <w:uiPriority w:val="30"/>
    <w:rPr>
      <w:i/>
    </w:rPr>
  </w:style>
  <w:style w:type="character" w:styleId="48">
    <w:name w:val="Caption Char"/>
    <w:basedOn w:val="670"/>
    <w:link w:val="696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25"/>
    <w:uiPriority w:val="99"/>
    <w:rPr>
      <w:sz w:val="18"/>
    </w:rPr>
  </w:style>
  <w:style w:type="character" w:styleId="180">
    <w:name w:val="Endnote Text Char"/>
    <w:link w:val="828"/>
    <w:uiPriority w:val="99"/>
    <w:rPr>
      <w:sz w:val="20"/>
    </w:rPr>
  </w:style>
  <w:style w:type="paragraph" w:styleId="660" w:default="1">
    <w:name w:val="Normal"/>
    <w:qFormat/>
    <w:pPr>
      <w:widowControl w:val="off"/>
    </w:pPr>
    <w:rPr>
      <w:rFonts w:eastAsia="SimSun" w:cs="Mangal"/>
      <w:sz w:val="24"/>
      <w:szCs w:val="24"/>
      <w:lang w:bidi="hi-IN"/>
    </w:rPr>
  </w:style>
  <w:style w:type="paragraph" w:styleId="661">
    <w:name w:val="Heading 1"/>
    <w:basedOn w:val="660"/>
    <w:next w:val="660"/>
    <w:link w:val="673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62">
    <w:name w:val="Heading 2"/>
    <w:basedOn w:val="660"/>
    <w:next w:val="660"/>
    <w:link w:val="67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63">
    <w:name w:val="Heading 3"/>
    <w:basedOn w:val="660"/>
    <w:next w:val="660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64">
    <w:name w:val="Heading 4"/>
    <w:basedOn w:val="660"/>
    <w:next w:val="660"/>
    <w:link w:val="67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660"/>
    <w:next w:val="660"/>
    <w:link w:val="67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</w:rPr>
  </w:style>
  <w:style w:type="paragraph" w:styleId="666">
    <w:name w:val="Heading 6"/>
    <w:basedOn w:val="660"/>
    <w:next w:val="660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660"/>
    <w:next w:val="660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8">
    <w:name w:val="Heading 8"/>
    <w:basedOn w:val="660"/>
    <w:next w:val="660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9">
    <w:name w:val="Heading 9"/>
    <w:basedOn w:val="660"/>
    <w:next w:val="660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0" w:default="1">
    <w:name w:val="Default Paragraph Font"/>
    <w:uiPriority w:val="1"/>
    <w:semiHidden/>
    <w:unhideWhenUsed/>
  </w:style>
  <w:style w:type="table" w:styleId="6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2" w:default="1">
    <w:name w:val="No List"/>
    <w:uiPriority w:val="99"/>
    <w:semiHidden/>
    <w:unhideWhenUsed/>
  </w:style>
  <w:style w:type="character" w:styleId="673" w:customStyle="1">
    <w:name w:val="Заголовок 1 Знак"/>
    <w:link w:val="66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4" w:customStyle="1">
    <w:name w:val="Заголовок 2 Знак"/>
    <w:link w:val="662"/>
    <w:uiPriority w:val="9"/>
    <w:rPr>
      <w:rFonts w:ascii="Liberation Sans" w:hAnsi="Liberation Sans" w:eastAsia="Liberation Sans" w:cs="Liberation Sans"/>
      <w:sz w:val="34"/>
    </w:rPr>
  </w:style>
  <w:style w:type="character" w:styleId="675" w:customStyle="1">
    <w:name w:val="Заголовок 3 Знак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6" w:customStyle="1">
    <w:name w:val="Заголовок 4 Знак"/>
    <w:link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7" w:customStyle="1">
    <w:name w:val="Заголовок 5 Знак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8" w:customStyle="1">
    <w:name w:val="Заголовок 6 Знак"/>
    <w:link w:val="66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9" w:customStyle="1">
    <w:name w:val="Заголовок 7 Знак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 w:customStyle="1">
    <w:name w:val="Заголовок 8 Знак"/>
    <w:link w:val="66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1" w:customStyle="1">
    <w:name w:val="Заголовок 9 Знак"/>
    <w:link w:val="66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2">
    <w:name w:val="List Paragraph"/>
    <w:basedOn w:val="660"/>
    <w:uiPriority w:val="34"/>
    <w:qFormat/>
    <w:pPr>
      <w:contextualSpacing/>
      <w:ind w:left="720"/>
    </w:pPr>
  </w:style>
  <w:style w:type="paragraph" w:styleId="683">
    <w:name w:val="No Spacing"/>
    <w:uiPriority w:val="1"/>
    <w:qFormat/>
  </w:style>
  <w:style w:type="paragraph" w:styleId="684">
    <w:name w:val="Title"/>
    <w:basedOn w:val="660"/>
    <w:next w:val="660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 w:customStyle="1">
    <w:name w:val="Название Знак"/>
    <w:link w:val="684"/>
    <w:uiPriority w:val="10"/>
    <w:rPr>
      <w:sz w:val="48"/>
      <w:szCs w:val="48"/>
    </w:rPr>
  </w:style>
  <w:style w:type="paragraph" w:styleId="686">
    <w:name w:val="Subtitle"/>
    <w:basedOn w:val="660"/>
    <w:next w:val="660"/>
    <w:link w:val="687"/>
    <w:uiPriority w:val="11"/>
    <w:qFormat/>
    <w:pPr>
      <w:spacing w:before="200" w:after="200"/>
    </w:pPr>
  </w:style>
  <w:style w:type="character" w:styleId="687" w:customStyle="1">
    <w:name w:val="Подзаголовок Знак"/>
    <w:link w:val="686"/>
    <w:uiPriority w:val="11"/>
    <w:rPr>
      <w:sz w:val="24"/>
      <w:szCs w:val="24"/>
    </w:rPr>
  </w:style>
  <w:style w:type="paragraph" w:styleId="688">
    <w:name w:val="Quote"/>
    <w:basedOn w:val="660"/>
    <w:next w:val="660"/>
    <w:link w:val="689"/>
    <w:uiPriority w:val="29"/>
    <w:qFormat/>
    <w:pPr>
      <w:ind w:left="720" w:right="720"/>
    </w:pPr>
    <w:rPr>
      <w:i/>
    </w:rPr>
  </w:style>
  <w:style w:type="character" w:styleId="689" w:customStyle="1">
    <w:name w:val="Цитата 2 Знак"/>
    <w:link w:val="688"/>
    <w:uiPriority w:val="29"/>
    <w:rPr>
      <w:i/>
    </w:rPr>
  </w:style>
  <w:style w:type="paragraph" w:styleId="690">
    <w:name w:val="Intense Quote"/>
    <w:basedOn w:val="660"/>
    <w:next w:val="660"/>
    <w:link w:val="69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 w:customStyle="1">
    <w:name w:val="Выделенная цитата Знак"/>
    <w:link w:val="690"/>
    <w:uiPriority w:val="30"/>
    <w:rPr>
      <w:i/>
    </w:rPr>
  </w:style>
  <w:style w:type="paragraph" w:styleId="692">
    <w:name w:val="Header"/>
    <w:basedOn w:val="660"/>
    <w:link w:val="844"/>
    <w:pPr>
      <w:tabs>
        <w:tab w:val="center" w:pos="4677" w:leader="none"/>
        <w:tab w:val="right" w:pos="9355" w:leader="none"/>
      </w:tabs>
    </w:pPr>
    <w:rPr>
      <w:szCs w:val="21"/>
    </w:rPr>
  </w:style>
  <w:style w:type="character" w:styleId="693" w:customStyle="1">
    <w:name w:val="Header Char"/>
    <w:uiPriority w:val="99"/>
  </w:style>
  <w:style w:type="paragraph" w:styleId="694">
    <w:name w:val="Footer"/>
    <w:basedOn w:val="660"/>
    <w:link w:val="845"/>
    <w:pPr>
      <w:tabs>
        <w:tab w:val="center" w:pos="4677" w:leader="none"/>
        <w:tab w:val="right" w:pos="9355" w:leader="none"/>
      </w:tabs>
    </w:pPr>
    <w:rPr>
      <w:szCs w:val="21"/>
    </w:rPr>
  </w:style>
  <w:style w:type="character" w:styleId="695" w:customStyle="1">
    <w:name w:val="Footer Char"/>
    <w:uiPriority w:val="99"/>
  </w:style>
  <w:style w:type="paragraph" w:styleId="696">
    <w:name w:val="Caption"/>
    <w:basedOn w:val="660"/>
    <w:next w:val="660"/>
    <w:link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 w:customStyle="1">
    <w:name w:val="Название объекта Знак"/>
    <w:link w:val="696"/>
    <w:uiPriority w:val="35"/>
    <w:rPr>
      <w:b/>
      <w:bCs/>
      <w:color w:val="4f81bd" w:themeColor="accent1"/>
      <w:sz w:val="18"/>
      <w:szCs w:val="18"/>
    </w:rPr>
  </w:style>
  <w:style w:type="table" w:styleId="698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2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8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9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0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31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32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3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0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4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7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9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0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1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2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3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4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6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3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4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5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6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7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8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9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0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91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92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3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4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5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6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2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3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4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5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6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7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8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9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0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1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2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3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4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5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6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7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8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9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0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21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22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3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paragraph" w:styleId="825">
    <w:name w:val="footnote text"/>
    <w:basedOn w:val="660"/>
    <w:link w:val="826"/>
    <w:uiPriority w:val="99"/>
    <w:semiHidden/>
    <w:unhideWhenUsed/>
    <w:pPr>
      <w:spacing w:after="40"/>
    </w:pPr>
    <w:rPr>
      <w:sz w:val="18"/>
    </w:rPr>
  </w:style>
  <w:style w:type="character" w:styleId="826" w:customStyle="1">
    <w:name w:val="Текст сноски Знак"/>
    <w:link w:val="825"/>
    <w:uiPriority w:val="99"/>
    <w:rPr>
      <w:sz w:val="18"/>
    </w:rPr>
  </w:style>
  <w:style w:type="character" w:styleId="827">
    <w:name w:val="footnote reference"/>
    <w:uiPriority w:val="99"/>
    <w:unhideWhenUsed/>
    <w:rPr>
      <w:vertAlign w:val="superscript"/>
    </w:rPr>
  </w:style>
  <w:style w:type="paragraph" w:styleId="828">
    <w:name w:val="endnote text"/>
    <w:basedOn w:val="660"/>
    <w:link w:val="829"/>
    <w:uiPriority w:val="99"/>
    <w:semiHidden/>
    <w:unhideWhenUsed/>
    <w:rPr>
      <w:sz w:val="20"/>
    </w:rPr>
  </w:style>
  <w:style w:type="character" w:styleId="829" w:customStyle="1">
    <w:name w:val="Текст концевой сноски Знак"/>
    <w:link w:val="828"/>
    <w:uiPriority w:val="99"/>
    <w:rPr>
      <w:sz w:val="20"/>
    </w:rPr>
  </w:style>
  <w:style w:type="character" w:styleId="830">
    <w:name w:val="endnote reference"/>
    <w:uiPriority w:val="99"/>
    <w:semiHidden/>
    <w:unhideWhenUsed/>
    <w:rPr>
      <w:vertAlign w:val="superscript"/>
    </w:rPr>
  </w:style>
  <w:style w:type="paragraph" w:styleId="831">
    <w:name w:val="toc 1"/>
    <w:basedOn w:val="660"/>
    <w:next w:val="660"/>
    <w:uiPriority w:val="39"/>
    <w:unhideWhenUsed/>
    <w:pPr>
      <w:spacing w:after="57"/>
    </w:pPr>
  </w:style>
  <w:style w:type="paragraph" w:styleId="832">
    <w:name w:val="toc 2"/>
    <w:basedOn w:val="660"/>
    <w:next w:val="660"/>
    <w:uiPriority w:val="39"/>
    <w:unhideWhenUsed/>
    <w:pPr>
      <w:ind w:left="283"/>
      <w:spacing w:after="57"/>
    </w:pPr>
  </w:style>
  <w:style w:type="paragraph" w:styleId="833">
    <w:name w:val="toc 3"/>
    <w:basedOn w:val="660"/>
    <w:next w:val="660"/>
    <w:uiPriority w:val="39"/>
    <w:unhideWhenUsed/>
    <w:pPr>
      <w:ind w:left="567"/>
      <w:spacing w:after="57"/>
    </w:pPr>
  </w:style>
  <w:style w:type="paragraph" w:styleId="834">
    <w:name w:val="toc 4"/>
    <w:basedOn w:val="660"/>
    <w:next w:val="660"/>
    <w:uiPriority w:val="39"/>
    <w:unhideWhenUsed/>
    <w:pPr>
      <w:ind w:left="850"/>
      <w:spacing w:after="57"/>
    </w:pPr>
  </w:style>
  <w:style w:type="paragraph" w:styleId="835">
    <w:name w:val="toc 5"/>
    <w:basedOn w:val="660"/>
    <w:next w:val="660"/>
    <w:uiPriority w:val="39"/>
    <w:unhideWhenUsed/>
    <w:pPr>
      <w:ind w:left="1134"/>
      <w:spacing w:after="57"/>
    </w:pPr>
  </w:style>
  <w:style w:type="paragraph" w:styleId="836">
    <w:name w:val="toc 6"/>
    <w:basedOn w:val="660"/>
    <w:next w:val="660"/>
    <w:uiPriority w:val="39"/>
    <w:unhideWhenUsed/>
    <w:pPr>
      <w:ind w:left="1417"/>
      <w:spacing w:after="57"/>
    </w:pPr>
  </w:style>
  <w:style w:type="paragraph" w:styleId="837">
    <w:name w:val="toc 7"/>
    <w:basedOn w:val="660"/>
    <w:next w:val="660"/>
    <w:uiPriority w:val="39"/>
    <w:unhideWhenUsed/>
    <w:pPr>
      <w:ind w:left="1701"/>
      <w:spacing w:after="57"/>
    </w:pPr>
  </w:style>
  <w:style w:type="paragraph" w:styleId="838">
    <w:name w:val="toc 8"/>
    <w:basedOn w:val="660"/>
    <w:next w:val="660"/>
    <w:uiPriority w:val="39"/>
    <w:unhideWhenUsed/>
    <w:pPr>
      <w:ind w:left="1984"/>
      <w:spacing w:after="57"/>
    </w:pPr>
  </w:style>
  <w:style w:type="paragraph" w:styleId="839">
    <w:name w:val="toc 9"/>
    <w:basedOn w:val="660"/>
    <w:next w:val="660"/>
    <w:uiPriority w:val="39"/>
    <w:unhideWhenUsed/>
    <w:pPr>
      <w:ind w:left="2268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660"/>
    <w:next w:val="660"/>
    <w:uiPriority w:val="99"/>
    <w:unhideWhenUsed/>
  </w:style>
  <w:style w:type="paragraph" w:styleId="842">
    <w:name w:val="Balloon Text"/>
    <w:basedOn w:val="660"/>
    <w:link w:val="843"/>
    <w:rPr>
      <w:rFonts w:ascii="Segoe UI" w:hAnsi="Segoe UI"/>
      <w:sz w:val="18"/>
      <w:szCs w:val="16"/>
    </w:rPr>
  </w:style>
  <w:style w:type="character" w:styleId="843" w:customStyle="1">
    <w:name w:val="Текст выноски Знак"/>
    <w:link w:val="842"/>
    <w:rPr>
      <w:rFonts w:ascii="Segoe UI" w:hAnsi="Segoe UI" w:eastAsia="SimSun" w:cs="Mangal"/>
      <w:sz w:val="18"/>
      <w:szCs w:val="16"/>
      <w:lang w:eastAsia="zh-CN" w:bidi="hi-IN"/>
    </w:rPr>
  </w:style>
  <w:style w:type="character" w:styleId="844" w:customStyle="1">
    <w:name w:val="Верхний колонтитул Знак"/>
    <w:link w:val="692"/>
    <w:rPr>
      <w:rFonts w:eastAsia="SimSun" w:cs="Mangal"/>
      <w:sz w:val="24"/>
      <w:szCs w:val="21"/>
      <w:lang w:eastAsia="zh-CN" w:bidi="hi-IN"/>
    </w:rPr>
  </w:style>
  <w:style w:type="character" w:styleId="845" w:customStyle="1">
    <w:name w:val="Нижний колонтитул Знак"/>
    <w:link w:val="694"/>
    <w:rPr>
      <w:rFonts w:eastAsia="SimSun" w:cs="Mangal"/>
      <w:sz w:val="24"/>
      <w:szCs w:val="21"/>
      <w:lang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Home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РосПотребНадзор</dc:creator>
  <cp:lastModifiedBy>user</cp:lastModifiedBy>
  <cp:revision>3</cp:revision>
  <dcterms:created xsi:type="dcterms:W3CDTF">2026-08-05T12:36:00Z</dcterms:created>
  <dcterms:modified xsi:type="dcterms:W3CDTF">2026-08-06T10:54:59Z</dcterms:modified>
  <cp:version>917504</cp:version>
</cp:coreProperties>
</file>