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ind w:hanging="0" w:left="0"/>
        <w:jc w:val="right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caps/>
          <w:sz w:val="24"/>
          <w:szCs w:val="24"/>
        </w:rPr>
        <w:t>О</w:t>
      </w:r>
      <w:r>
        <w:rPr>
          <w:rFonts w:ascii="PT Astra Serif" w:hAnsi="PT Astra Serif"/>
          <w:b/>
          <w:caps/>
          <w:sz w:val="20"/>
          <w:szCs w:val="20"/>
        </w:rPr>
        <w:t>писание объекта закупки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0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</w:r>
    </w:p>
    <w:p>
      <w:pPr>
        <w:pStyle w:val="Normal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1. Наименование объекта закупки: </w:t>
      </w:r>
      <w:r>
        <w:rPr>
          <w:rFonts w:ascii="PT Astra Serif" w:hAnsi="PT Astra Serif"/>
          <w:b/>
          <w:color w:val="000000"/>
          <w:sz w:val="20"/>
          <w:szCs w:val="20"/>
        </w:rPr>
        <w:t>Рукоятка ультразвуковой хирургической системы для мягких тканей с ручным управлением, многоразового использования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outlineLvl w:val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2. Количество, код позиции, функциональные, технические и качественные характеристики, эксплуатационные характеристики объекта закупки:</w:t>
      </w:r>
    </w:p>
    <w:tbl>
      <w:tblPr>
        <w:tblW w:w="157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983"/>
        <w:gridCol w:w="883"/>
        <w:gridCol w:w="3198"/>
        <w:gridCol w:w="3573"/>
        <w:gridCol w:w="1528"/>
        <w:gridCol w:w="3014"/>
        <w:gridCol w:w="1186"/>
        <w:gridCol w:w="885"/>
      </w:tblGrid>
      <w:tr>
        <w:trPr>
          <w:trHeight w:val="1023" w:hRule="atLeast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 xml:space="preserve">№ </w:t>
            </w: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Код ОКПД2,</w:t>
            </w:r>
          </w:p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код позиции</w:t>
            </w:r>
          </w:p>
        </w:tc>
        <w:tc>
          <w:tcPr>
            <w:tcW w:w="1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Количество (объем работы, услуги)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Единица измерения</w:t>
            </w:r>
          </w:p>
        </w:tc>
      </w:tr>
      <w:tr>
        <w:trPr>
          <w:trHeight w:val="331" w:hRule="atLeast"/>
        </w:trPr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overflowPunct w:val="true"/>
              <w:textAlignment w:val="baseline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Рукоятка ультразвуковой хирургической системы для мягких тканей с ручным управлением, многоразового использования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left="0" w:right="0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32.50.50.190-00001079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Для преобразования электрических импульсов ультразвукового хирургического генератора в высокочастотные механические колебания и их передачи на лезвия инструментов-насадок ультразвукового скальпеля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  <w:shd w:fill="FFFFFF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шт</w:t>
            </w:r>
          </w:p>
        </w:tc>
      </w:tr>
      <w:tr>
        <w:trPr>
          <w:trHeight w:val="567" w:hRule="atLeast"/>
        </w:trPr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overflowPunct w:val="true"/>
              <w:textAlignment w:val="baseline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left="0" w:right="0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Совместимость</w:t>
            </w:r>
          </w:p>
        </w:tc>
        <w:tc>
          <w:tcPr>
            <w:tcW w:w="357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С генератором HARMONIC GEN11, имеющимся у Заказчика</w:t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</w:r>
          </w:p>
        </w:tc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582" w:hRule="atLeast"/>
        </w:trPr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9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Конструкция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 xml:space="preserve">Рукоятка с резьбовым штоком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</w:r>
          </w:p>
        </w:tc>
        <w:tc>
          <w:tcPr>
            <w:tcW w:w="3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  <w:shd w:fill="FFFFFF" w:val="clear"/>
              </w:rPr>
              <w:t xml:space="preserve">Участник закупки указывает в заявке  </w:t>
            </w: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  <w:shd w:fill="FFFFFF" w:val="clear"/>
              </w:rPr>
              <w:t>все</w:t>
            </w: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  <w:shd w:fill="FFFFFF" w:val="clear"/>
              </w:rPr>
              <w:t xml:space="preserve"> значени</w:t>
            </w: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  <w:shd w:fill="FFFFFF" w:val="clear"/>
              </w:rPr>
              <w:t xml:space="preserve">я </w:t>
            </w: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  <w:shd w:fill="FFFFFF" w:val="clear"/>
              </w:rPr>
              <w:t>характеристики</w:t>
            </w:r>
          </w:p>
        </w:tc>
        <w:tc>
          <w:tcPr>
            <w:tcW w:w="11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582" w:hRule="atLeast"/>
        </w:trPr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98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7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Гибкий изоляционный провод с прорезиненным штекером для соединения с разъемом на передней панели генератора</w:t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hd w:fill="FFFFFF" w:val="clear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01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582" w:hRule="atLeast"/>
        </w:trPr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Использование</w:t>
            </w:r>
          </w:p>
        </w:tc>
        <w:tc>
          <w:tcPr>
            <w:tcW w:w="357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С насадками диаметром 5 и 10 для открытой и эндоскопической хирургии</w:t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</w:r>
          </w:p>
        </w:tc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Предохранительный колпачок для защиты резьбового штока</w:t>
            </w:r>
          </w:p>
        </w:tc>
        <w:tc>
          <w:tcPr>
            <w:tcW w:w="357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</w:r>
          </w:p>
        </w:tc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Замок рабочей части</w:t>
            </w:r>
          </w:p>
        </w:tc>
        <w:tc>
          <w:tcPr>
            <w:tcW w:w="357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</w:r>
          </w:p>
        </w:tc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488" w:hRule="atLeast"/>
        </w:trPr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Проверочный наконечник</w:t>
            </w:r>
          </w:p>
        </w:tc>
        <w:tc>
          <w:tcPr>
            <w:tcW w:w="357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</w:r>
          </w:p>
        </w:tc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571" w:hRule="atLeast"/>
        </w:trPr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Количество активаций</w:t>
            </w:r>
          </w:p>
        </w:tc>
        <w:tc>
          <w:tcPr>
            <w:tcW w:w="357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 xml:space="preserve">≥ </w:t>
            </w: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</w:r>
          </w:p>
        </w:tc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571" w:hRule="atLeast"/>
        </w:trPr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Самотестирование</w:t>
            </w:r>
          </w:p>
        </w:tc>
        <w:tc>
          <w:tcPr>
            <w:tcW w:w="357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</w:r>
          </w:p>
        </w:tc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571" w:hRule="atLeast"/>
        </w:trPr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Стерильность</w:t>
            </w:r>
          </w:p>
        </w:tc>
        <w:tc>
          <w:tcPr>
            <w:tcW w:w="357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21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Нестерильно</w:t>
            </w:r>
          </w:p>
        </w:tc>
        <w:tc>
          <w:tcPr>
            <w:tcW w:w="1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</w:r>
          </w:p>
        </w:tc>
        <w:tc>
          <w:tcPr>
            <w:tcW w:w="30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34" w:hRule="atLeast"/>
        </w:trPr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9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Активация инструмента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С помощью ручного триггера на насадке или съемного адаптера к рукояти для ручной активации насадок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  <w:t xml:space="preserve">Участник закупки указывает в заявке  </w:t>
            </w: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  <w:t>все</w:t>
            </w: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  <w:t xml:space="preserve"> значени</w:t>
            </w: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  <w:t xml:space="preserve">я </w:t>
            </w: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  <w:t>характеристики</w:t>
            </w:r>
          </w:p>
          <w:p>
            <w:pPr>
              <w:pStyle w:val="Normal"/>
              <w:jc w:val="center"/>
              <w:rPr>
                <w:shd w:fill="FFFFFF" w:val="clear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34" w:hRule="atLeast"/>
        </w:trPr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98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С билатерально продублированными кнопками активации режима минимальной и максимальной мощности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</w:r>
          </w:p>
        </w:tc>
        <w:tc>
          <w:tcPr>
            <w:tcW w:w="3014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98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1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21"/>
              <w:ind w:hanging="0" w:left="0" w:right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При помощи ножного педального привода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  <w:shd w:fill="FFFFFF" w:val="clear"/>
              </w:rPr>
            </w:r>
          </w:p>
        </w:tc>
        <w:tc>
          <w:tcPr>
            <w:tcW w:w="3014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766" w:leader="none"/>
        </w:tabs>
        <w:ind w:left="-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ab/>
        <w:tab/>
      </w:r>
    </w:p>
    <w:p>
      <w:pPr>
        <w:pStyle w:val="Normal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</w:t>
      </w:r>
      <w:r>
        <w:rPr>
          <w:rFonts w:ascii="PT Astra Serif" w:hAnsi="PT Astra Serif"/>
          <w:b/>
          <w:bCs/>
          <w:sz w:val="20"/>
          <w:szCs w:val="20"/>
        </w:rPr>
        <w:t xml:space="preserve">ребования к упаковке, маркировке товара: </w:t>
      </w:r>
      <w:r>
        <w:rPr>
          <w:rFonts w:ascii="PT Astra Serif" w:hAnsi="PT Astra Serif"/>
          <w:sz w:val="20"/>
          <w:szCs w:val="20"/>
        </w:rPr>
        <w:t>Поставщик должен обеспечить упаковку Оборудования, способную предотвратить его повреждение или порчу во время перевозки к Месту доставки. Упаковка Оборудования должна полностью обеспечивать условия транспортировки, предъявляемые к данному виду Оборудования. Упаковка и маркировка на упаковке, а также документация внутри и вне упаковки должны строго соответствовать специальным требованиям, установленным в Технических требованиях (приложение N 2 к Контракту).</w:t>
      </w:r>
    </w:p>
    <w:p>
      <w:pPr>
        <w:pStyle w:val="Normal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/>
          <w:i/>
          <w:sz w:val="20"/>
          <w:szCs w:val="20"/>
          <w:shd w:fill="FFFFFF" w:val="clear"/>
        </w:rPr>
        <w:t xml:space="preserve">Требование к качеству: </w:t>
      </w:r>
      <w:r>
        <w:rPr>
          <w:rFonts w:ascii="PT Astra Serif" w:hAnsi="PT Astra Serif"/>
          <w:b w:val="false"/>
          <w:bCs w:val="false"/>
          <w:i w:val="false"/>
          <w:iCs w:val="false"/>
          <w:sz w:val="20"/>
          <w:szCs w:val="20"/>
          <w:shd w:fill="FFFFFF" w:val="clear"/>
        </w:rPr>
        <w:t xml:space="preserve">Гарантия Поставщика на поставленное Оборудование составляет не менее 12 месяцев. Гарантия производителя на Оборудование составляет не менее 12 месяцев. </w:t>
      </w:r>
    </w:p>
    <w:p>
      <w:pPr>
        <w:pStyle w:val="Normal"/>
        <w:bidi w:val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/>
          <w:i/>
          <w:iCs/>
          <w:strike w:val="false"/>
          <w:dstrike w:val="false"/>
          <w:outline w:val="false"/>
          <w:shadow w:val="false"/>
          <w:color w:val="FF0000"/>
          <w:sz w:val="20"/>
          <w:szCs w:val="20"/>
          <w:u w:val="none"/>
          <w:shd w:fill="FFFFFF" w:val="clear"/>
          <w:em w:val="none"/>
        </w:rPr>
        <w:tab/>
      </w:r>
      <w:r>
        <w:rPr>
          <w:rFonts w:ascii="PT Astra Serif" w:hAnsi="PT Astra Serif"/>
          <w:b/>
          <w:i/>
          <w:iCs/>
          <w:color w:val="FF0000"/>
          <w:sz w:val="20"/>
          <w:szCs w:val="20"/>
          <w:shd w:fill="FFFFFF" w:val="clear"/>
        </w:rPr>
        <w:t xml:space="preserve">      </w:t>
      </w:r>
    </w:p>
    <w:p>
      <w:pPr>
        <w:pStyle w:val="Normal"/>
        <w:bidi w:val="0"/>
        <w:jc w:val="both"/>
        <w:rPr>
          <w:rFonts w:ascii="PT Astra Serif" w:hAnsi="PT Astra Serif"/>
          <w:b/>
          <w:i/>
          <w:iCs/>
          <w:color w:val="FF0000"/>
          <w:sz w:val="20"/>
          <w:szCs w:val="20"/>
          <w:shd w:fill="FFFFFF" w:val="clear"/>
        </w:rPr>
      </w:pPr>
      <w:r>
        <w:rPr>
          <w:rFonts w:ascii="PT Astra Serif" w:hAnsi="PT Astra Serif"/>
          <w:b/>
          <w:i/>
          <w:iCs/>
          <w:color w:val="FF0000"/>
          <w:sz w:val="20"/>
          <w:szCs w:val="20"/>
          <w:shd w:fill="FFFFFF" w:val="clear"/>
        </w:rPr>
      </w:r>
    </w:p>
    <w:p>
      <w:pPr>
        <w:pStyle w:val="Normal"/>
        <w:bidi w:val="0"/>
        <w:jc w:val="both"/>
        <w:rPr>
          <w:rFonts w:ascii="PT Astra Serif" w:hAnsi="PT Astra Serif"/>
          <w:b/>
          <w:i/>
          <w:iCs/>
          <w:color w:val="FF0000"/>
          <w:sz w:val="20"/>
          <w:szCs w:val="20"/>
          <w:shd w:fill="FFFFFF" w:val="clear"/>
        </w:rPr>
      </w:pPr>
      <w:r>
        <w:rPr>
          <w:rFonts w:ascii="PT Astra Serif" w:hAnsi="PT Astra Serif"/>
          <w:b/>
          <w:i/>
          <w:iCs/>
          <w:color w:val="FF0000"/>
          <w:sz w:val="20"/>
          <w:szCs w:val="20"/>
          <w:shd w:fill="FFFFFF" w:val="clear"/>
        </w:rPr>
      </w:r>
    </w:p>
    <w:p>
      <w:pPr>
        <w:pStyle w:val="Normal"/>
        <w:bidi w:val="0"/>
        <w:jc w:val="center"/>
        <w:rPr>
          <w:rFonts w:ascii="PT Astra Serif" w:hAnsi="PT Astra Serif"/>
          <w:b/>
          <w:bCs/>
          <w:i w:val="false"/>
          <w:iCs w:val="false"/>
          <w:color w:val="000000"/>
          <w:sz w:val="20"/>
          <w:szCs w:val="20"/>
          <w:shd w:fill="FFFFFF" w:val="clear"/>
        </w:rPr>
      </w:pPr>
      <w:r>
        <w:rPr>
          <w:rFonts w:ascii="PT Astra Serif" w:hAnsi="PT Astra Serif"/>
          <w:b/>
          <w:bCs/>
          <w:i w:val="false"/>
          <w:iCs w:val="false"/>
          <w:color w:val="000000"/>
          <w:sz w:val="20"/>
          <w:szCs w:val="20"/>
          <w:shd w:fill="FFFFFF" w:val="clear"/>
        </w:rPr>
      </w:r>
    </w:p>
    <w:p>
      <w:pPr>
        <w:pStyle w:val="Normal"/>
        <w:bidi w:val="0"/>
        <w:jc w:val="center"/>
        <w:rPr>
          <w:rFonts w:ascii="PT Astra Serif" w:hAnsi="PT Astra Serif"/>
          <w:b/>
          <w:bCs/>
          <w:i w:val="false"/>
          <w:iCs w:val="false"/>
          <w:color w:val="000000"/>
          <w:sz w:val="20"/>
          <w:szCs w:val="20"/>
          <w:shd w:fill="FFFFFF" w:val="clear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295" w:right="543" w:gutter="0" w:header="0" w:top="333" w:footer="304" w:bottom="12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>
        <w:rFonts w:ascii="PT Astra Serif" w:hAnsi="PT Astra Serif"/>
        <w:sz w:val="20"/>
        <w:szCs w:val="20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>
        <w:rFonts w:ascii="PT Astra Serif" w:hAnsi="PT Astra Serif"/>
        <w:sz w:val="20"/>
        <w:szCs w:val="20"/>
      </w:rPr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"/>
    <w:qFormat/>
    <w:p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chars-valuevalue">
    <w:name w:val="chars-value__value"/>
    <w:basedOn w:val="DefaultParagraphFont"/>
    <w:qFormat/>
    <w:rPr/>
  </w:style>
  <w:style w:type="character" w:styleId="chars-valuevalue-text-desc">
    <w:name w:val="chars-value__value-text-desc"/>
    <w:basedOn w:val="DefaultParagraphFont"/>
    <w:qFormat/>
    <w:rPr/>
  </w:style>
  <w:style w:type="character" w:styleId="Style13">
    <w:name w:val="Другое_"/>
    <w:link w:val="Style19"/>
    <w:qFormat/>
    <w:rPr>
      <w:rFonts w:ascii="Times New Roman" w:hAnsi="Times New Roman" w:eastAsia="Times New Roman" w:cs="Times New Roman"/>
      <w:sz w:val="20"/>
      <w:szCs w:val="20"/>
    </w:rPr>
  </w:style>
  <w:style w:type="character" w:styleId="ng-star-inserted">
    <w:name w:val="ng-star-inserted"/>
    <w:basedOn w:val="DefaultParagraphFont"/>
    <w:qFormat/>
    <w:rPr/>
  </w:style>
  <w:style w:type="character" w:styleId="chars-valuevalue-min-val">
    <w:name w:val="chars-value__value-min-val"/>
    <w:basedOn w:val="DefaultParagraph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>
    <w:name w:val="Без интервала Знак"/>
    <w:link w:val="NoSpacing"/>
    <w:qFormat/>
    <w:rPr>
      <w:rFonts w:ascii="Calibri" w:hAnsi="Calibri" w:eastAsia="Calibri" w:cs="Times New Roma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9">
    <w:name w:val="Другое"/>
    <w:basedOn w:val="Normal"/>
    <w:link w:val="Style13"/>
    <w:qFormat/>
    <w:pPr>
      <w:widowControl w:val="false"/>
    </w:pPr>
    <w:rPr>
      <w:sz w:val="20"/>
      <w:szCs w:val="20"/>
      <w:lang w:eastAsia="en-US"/>
    </w:rPr>
  </w:style>
  <w:style w:type="paragraph" w:styleId="Style20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Style16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user5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Application>LibreOffice/25.8.6.2$Windows_X86_64 LibreOffice_project/b4b39682cd9868fa725bc664aff94278d315bd04</Application>
  <AppVersion>15.0000</AppVersion>
  <Pages>2</Pages>
  <Words>361</Words>
  <Characters>2822</Characters>
  <CharactersWithSpaces>3138</CharactersWithSpaces>
  <Paragraphs>60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2024-11-27T08:08:00Z</dcterms:created>
  <dc:creator>Priem 1 korp</dc:creator>
  <dc:description/>
  <dc:language>ru-RU</dc:language>
  <cp:lastModifiedBy/>
  <cp:lastPrinted>2025-04-23T14:17:59Z</cp:lastPrinted>
  <dcterms:modified xsi:type="dcterms:W3CDTF">2026-06-17T10:27:42Z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