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59" w:before="0" w:after="60"/>
        <w:ind w:hanging="0" w:left="426"/>
        <w:jc w:val="center"/>
        <w:outlineLvl w:val="0"/>
        <w:rPr>
          <w:rFonts w:eastAsia="Calibri"/>
          <w:b/>
          <w:bCs/>
          <w:kern w:val="2"/>
        </w:rPr>
      </w:pPr>
      <w:bookmarkStart w:id="0" w:name="Par550"/>
      <w:bookmarkEnd w:id="0"/>
      <w:r>
        <w:rPr>
          <w:rFonts w:eastAsia="Calibri"/>
          <w:b/>
          <w:bCs/>
          <w:kern w:val="2"/>
        </w:rPr>
        <w:t>ТЕХНИЧЕСКОЕ ЗАДАНИЕ</w:t>
        <w:br/>
        <w:t xml:space="preserve">на оказание услуг по обучению </w:t>
      </w:r>
    </w:p>
    <w:p>
      <w:pPr>
        <w:pStyle w:val="Normal"/>
        <w:numPr>
          <w:ilvl w:val="0"/>
          <w:numId w:val="0"/>
        </w:numPr>
        <w:spacing w:lineRule="auto" w:line="259" w:before="0" w:after="60"/>
        <w:ind w:hanging="0" w:left="426"/>
        <w:jc w:val="center"/>
        <w:outlineLvl w:val="0"/>
        <w:rPr>
          <w:rFonts w:eastAsia="Calibri"/>
          <w:b/>
          <w:bCs/>
          <w:kern w:val="2"/>
        </w:rPr>
      </w:pPr>
      <w:r>
        <w:rPr>
          <w:rFonts w:eastAsia="Calibri"/>
          <w:b/>
          <w:bCs/>
          <w:kern w:val="2"/>
        </w:rPr>
      </w:r>
      <w:bookmarkStart w:id="1" w:name="_GoBack"/>
      <w:bookmarkStart w:id="2" w:name="_GoBack"/>
      <w:bookmarkEnd w:id="2"/>
    </w:p>
    <w:p>
      <w:pPr>
        <w:pStyle w:val="Normal"/>
        <w:suppressAutoHyphens w:val="true"/>
        <w:jc w:val="center"/>
        <w:rPr>
          <w:b/>
          <w:lang w:eastAsia="ar-SA"/>
        </w:rPr>
      </w:pPr>
      <w:r>
        <w:rPr>
          <w:b/>
          <w:lang w:eastAsia="ar-SA"/>
        </w:rPr>
        <w:t>1. Наименование и описание услуг</w:t>
      </w:r>
    </w:p>
    <w:p>
      <w:pPr>
        <w:pStyle w:val="Normal"/>
        <w:ind w:firstLine="567"/>
        <w:rPr/>
      </w:pPr>
      <w:r>
        <w:rPr>
          <w:b/>
        </w:rPr>
        <w:t>1.1.</w:t>
      </w:r>
      <w:r>
        <w:rPr/>
        <w:t xml:space="preserve"> Оказание образовательных услуг по повышению квалификации по программе дополнительного профессионального образования: </w:t>
      </w:r>
    </w:p>
    <w:p>
      <w:pPr>
        <w:pStyle w:val="Normal"/>
        <w:numPr>
          <w:ilvl w:val="0"/>
          <w:numId w:val="0"/>
        </w:numPr>
        <w:spacing w:lineRule="auto" w:line="259"/>
        <w:ind w:hanging="0" w:left="567"/>
        <w:outlineLvl w:val="0"/>
        <w:rPr>
          <w:rFonts w:eastAsia="Calibri"/>
          <w:bCs/>
          <w:kern w:val="2"/>
        </w:rPr>
      </w:pPr>
      <w:r>
        <w:rPr>
          <w:rFonts w:eastAsia="Calibri"/>
          <w:bCs/>
          <w:kern w:val="2"/>
        </w:rPr>
        <w:t xml:space="preserve">- </w:t>
      </w:r>
      <w:r>
        <w:rPr>
          <w:rFonts w:eastAsia="Calibri"/>
          <w:bCs/>
          <w:kern w:val="2"/>
          <w:szCs w:val="28"/>
        </w:rPr>
        <w:t>«Администрирование VipNet Prime»</w:t>
      </w:r>
      <w:r>
        <w:rPr>
          <w:rFonts w:eastAsia="Calibri"/>
          <w:bCs/>
          <w:kern w:val="2"/>
        </w:rPr>
        <w:t xml:space="preserve">  </w:t>
      </w:r>
    </w:p>
    <w:p>
      <w:pPr>
        <w:pStyle w:val="Normal"/>
        <w:ind w:firstLine="567"/>
        <w:jc w:val="center"/>
        <w:rPr>
          <w:b/>
        </w:rPr>
      </w:pPr>
      <w:r>
        <w:rPr>
          <w:b/>
        </w:rPr>
        <w:t>2. Объем оказываемых услуг</w:t>
      </w:r>
    </w:p>
    <w:p>
      <w:pPr>
        <w:pStyle w:val="Normal"/>
        <w:ind w:firstLine="567"/>
        <w:rPr/>
      </w:pPr>
      <w:r>
        <w:rPr>
          <w:b/>
        </w:rPr>
        <w:t>2</w:t>
      </w:r>
      <w:r>
        <w:rPr>
          <w:b/>
          <w:color w:val="000000"/>
        </w:rPr>
        <w:t>.1.</w:t>
      </w:r>
      <w:r>
        <w:rPr>
          <w:color w:val="000000"/>
        </w:rPr>
        <w:t xml:space="preserve"> Объем услуг: </w:t>
      </w:r>
    </w:p>
    <w:p>
      <w:pPr>
        <w:pStyle w:val="Normal"/>
        <w:numPr>
          <w:ilvl w:val="0"/>
          <w:numId w:val="0"/>
        </w:numPr>
        <w:spacing w:lineRule="auto" w:line="259"/>
        <w:ind w:hanging="0" w:left="567"/>
        <w:outlineLvl w:val="0"/>
        <w:rPr>
          <w:color w:val="000000"/>
        </w:rPr>
      </w:pPr>
      <w:r>
        <w:rPr>
          <w:rFonts w:eastAsia="Calibri"/>
          <w:bCs/>
          <w:color w:val="000000"/>
          <w:kern w:val="2"/>
        </w:rPr>
        <w:t xml:space="preserve">- </w:t>
      </w:r>
      <w:r>
        <w:rPr>
          <w:rFonts w:eastAsia="Calibri"/>
          <w:bCs/>
          <w:color w:val="000000"/>
          <w:kern w:val="2"/>
          <w:szCs w:val="28"/>
        </w:rPr>
        <w:t>«Администрирование VipNet Prime»</w:t>
      </w:r>
    </w:p>
    <w:p>
      <w:pPr>
        <w:pStyle w:val="Normal"/>
        <w:suppressAutoHyphens w:val="true"/>
        <w:jc w:val="center"/>
        <w:rPr>
          <w:b/>
          <w:lang w:eastAsia="ar-SA"/>
        </w:rPr>
      </w:pPr>
      <w:r>
        <w:rPr>
          <w:b/>
          <w:lang w:eastAsia="ar-SA"/>
        </w:rPr>
        <w:t>3. Характеристики оказываемых услуг</w:t>
      </w:r>
    </w:p>
    <w:p>
      <w:pPr>
        <w:pStyle w:val="Normal"/>
        <w:ind w:firstLine="709"/>
        <w:rPr/>
      </w:pPr>
      <w:r>
        <w:rPr>
          <w:b/>
        </w:rPr>
        <w:t>3.1. Категория слушателей</w:t>
      </w:r>
      <w:r>
        <w:rPr/>
        <w:t>:</w:t>
      </w:r>
      <w:r>
        <w:rPr>
          <w:rFonts w:eastAsia="Arial"/>
        </w:rPr>
        <w:t xml:space="preserve"> сотрудники и работники Главного управления МЧС России по Амурской области</w:t>
      </w:r>
    </w:p>
    <w:p>
      <w:pPr>
        <w:pStyle w:val="Normal"/>
        <w:ind w:firstLine="709"/>
        <w:rPr>
          <w:b/>
        </w:rPr>
      </w:pPr>
      <w:r>
        <w:rPr>
          <w:b/>
        </w:rPr>
        <w:t>3.2. Количество слушателей:</w:t>
      </w:r>
    </w:p>
    <w:p>
      <w:pPr>
        <w:pStyle w:val="Normal"/>
        <w:numPr>
          <w:ilvl w:val="0"/>
          <w:numId w:val="0"/>
        </w:numPr>
        <w:spacing w:lineRule="auto" w:line="259"/>
        <w:ind w:hanging="0" w:left="567"/>
        <w:outlineLvl w:val="0"/>
        <w:rPr>
          <w:color w:val="FF0000"/>
        </w:rPr>
      </w:pPr>
      <w:r>
        <w:rPr>
          <w:rFonts w:eastAsia="Calibri"/>
          <w:bCs/>
          <w:color w:val="FF0000"/>
          <w:kern w:val="2"/>
        </w:rPr>
        <w:t xml:space="preserve">- </w:t>
      </w:r>
      <w:r>
        <w:rPr>
          <w:rFonts w:eastAsia="Calibri"/>
          <w:bCs/>
          <w:color w:val="000000"/>
          <w:kern w:val="2"/>
          <w:szCs w:val="28"/>
        </w:rPr>
        <w:t>«Администрирование VipNet Prime»</w:t>
      </w:r>
      <w:r>
        <w:rPr>
          <w:rFonts w:eastAsia="Calibri"/>
          <w:bCs/>
          <w:color w:val="000000"/>
          <w:kern w:val="2"/>
        </w:rPr>
        <w:t xml:space="preserve"> 1</w:t>
      </w:r>
      <w:r>
        <w:rPr>
          <w:color w:val="000000"/>
        </w:rPr>
        <w:t xml:space="preserve"> (один) человек</w:t>
      </w:r>
      <w:r>
        <w:rPr>
          <w:rFonts w:eastAsia="Calibri"/>
          <w:bCs/>
          <w:color w:val="000000"/>
          <w:kern w:val="2"/>
        </w:rPr>
        <w:t>.</w:t>
      </w:r>
    </w:p>
    <w:p>
      <w:pPr>
        <w:pStyle w:val="Normal"/>
        <w:ind w:firstLine="567"/>
        <w:rPr>
          <w:b/>
        </w:rPr>
      </w:pPr>
      <w:r>
        <w:rPr/>
        <w:t xml:space="preserve"> </w:t>
      </w:r>
      <w:r>
        <w:rPr>
          <w:b/>
        </w:rPr>
        <w:t>3.3. Объем Программы:</w:t>
      </w:r>
    </w:p>
    <w:p>
      <w:pPr>
        <w:pStyle w:val="Normal"/>
        <w:numPr>
          <w:ilvl w:val="0"/>
          <w:numId w:val="0"/>
        </w:numPr>
        <w:spacing w:lineRule="auto" w:line="259"/>
        <w:ind w:hanging="0" w:left="567"/>
        <w:outlineLvl w:val="0"/>
        <w:rPr>
          <w:color w:val="000000"/>
        </w:rPr>
      </w:pPr>
      <w:r>
        <w:rPr>
          <w:rFonts w:eastAsia="Calibri"/>
          <w:bCs/>
          <w:color w:val="000000"/>
          <w:kern w:val="2"/>
        </w:rPr>
        <w:t xml:space="preserve">- </w:t>
      </w:r>
      <w:r>
        <w:rPr>
          <w:rFonts w:eastAsia="Calibri"/>
          <w:bCs/>
          <w:color w:val="000000"/>
          <w:kern w:val="2"/>
          <w:szCs w:val="28"/>
        </w:rPr>
        <w:t>«Администрирование VipNet Prime»</w:t>
      </w:r>
      <w:r>
        <w:rPr>
          <w:rFonts w:eastAsia="Calibri"/>
          <w:bCs/>
          <w:color w:val="000000"/>
          <w:kern w:val="2"/>
        </w:rPr>
        <w:t xml:space="preserve"> объемом не менее 40 академических часов.</w:t>
      </w:r>
    </w:p>
    <w:p>
      <w:pPr>
        <w:pStyle w:val="Normal"/>
        <w:ind w:firstLine="709"/>
        <w:rPr/>
      </w:pPr>
      <w:r>
        <w:rPr>
          <w:b/>
        </w:rPr>
        <w:t>3.4. Форма обучения:</w:t>
      </w:r>
      <w:r>
        <w:rPr/>
        <w:t xml:space="preserve"> очно-дистанционная</w:t>
      </w:r>
      <w:bookmarkStart w:id="3" w:name="__DdeLink__764_2149891696"/>
      <w:r>
        <w:rPr/>
        <w:t xml:space="preserve">, с применением электронного обучения и дистанционных образовательных технологий, с освобождением от исполнения служебных обязанностей.  </w:t>
      </w:r>
      <w:bookmarkEnd w:id="3"/>
    </w:p>
    <w:p>
      <w:pPr>
        <w:pStyle w:val="Normal"/>
        <w:ind w:firstLine="709"/>
        <w:rPr/>
      </w:pPr>
      <w:r>
        <w:rPr>
          <w:b/>
        </w:rPr>
        <w:t xml:space="preserve">3.5. Сроки оказания услуги: </w:t>
      </w:r>
      <w:r>
        <w:rPr/>
        <w:t xml:space="preserve">со дня заключения Государственного контракта и не позднее 01 декабря 2026 г. </w:t>
      </w:r>
    </w:p>
    <w:p>
      <w:pPr>
        <w:pStyle w:val="Normal"/>
        <w:ind w:firstLine="709"/>
        <w:rPr/>
      </w:pPr>
      <w:r>
        <w:rPr>
          <w:b/>
        </w:rPr>
        <w:t xml:space="preserve">3.6. Место оказания услуг: </w:t>
      </w:r>
      <w:r>
        <w:rPr/>
        <w:t>Рабочее место, предоставляемое Заказчиком на территории          г. Благовещенска Амурской области.</w:t>
      </w:r>
    </w:p>
    <w:p>
      <w:pPr>
        <w:pStyle w:val="Normal"/>
        <w:ind w:firstLine="709"/>
        <w:rPr/>
      </w:pPr>
      <w:r>
        <w:rPr>
          <w:b/>
          <w:bCs/>
        </w:rPr>
        <w:t>3.7. Цель оказания услуг:</w:t>
      </w:r>
      <w:r>
        <w:rPr/>
        <w:t xml:space="preserve"> формирование профессиональных компетенций, необходимых для выполнения нового вида профессиональной деятельности.</w:t>
      </w:r>
    </w:p>
    <w:p>
      <w:pPr>
        <w:pStyle w:val="Normal"/>
        <w:suppressAutoHyphens w:val="true"/>
        <w:spacing w:before="0" w:after="0"/>
        <w:ind w:firstLine="709"/>
        <w:contextualSpacing/>
        <w:rPr>
          <w:b/>
          <w:lang w:eastAsia="ar-SA"/>
        </w:rPr>
      </w:pPr>
      <w:r>
        <w:rPr>
          <w:b/>
          <w:lang w:eastAsia="ar-SA"/>
        </w:rPr>
        <w:t>3.8. Общие требования к дополнительной профессиональной программе.</w:t>
      </w:r>
    </w:p>
    <w:p>
      <w:pPr>
        <w:pStyle w:val="Normal"/>
        <w:suppressAutoHyphens w:val="true"/>
        <w:spacing w:before="0" w:after="0"/>
        <w:ind w:firstLine="709"/>
        <w:contextualSpacing/>
        <w:rPr>
          <w:lang w:eastAsia="ar-SA"/>
        </w:rPr>
      </w:pPr>
      <w:r>
        <w:rPr>
          <w:lang w:eastAsia="ar-SA"/>
        </w:rPr>
        <w:t>3.8.1. Исполнитель обеспечивает уровень профессионального обучения в соответствии с Порядком организации и осуществления образовательной деятельности по дополнительным профессиональным программам, утвержденным приказом Министерства науки и высшего образования Российской Федерации от 24 марта 2025 г. № 266 «Об утверждении Порядка организации и осуществления образовательной деятельности по дополнительным профессиональным программам» (зарегистрирован в Минюсте России 22 апреля 2025 г. № 81928), в согласованные сроки. Исполнитель должен являться авторизованным учебным центром компании АО «ИнфоТеКС» (аналог не назначается так как в Главном управлении используется оборудование производства компании АО «ИнфоТекс»).</w:t>
      </w:r>
    </w:p>
    <w:p>
      <w:pPr>
        <w:pStyle w:val="Normal"/>
        <w:suppressAutoHyphens w:val="true"/>
        <w:spacing w:before="0" w:after="0"/>
        <w:ind w:firstLine="709"/>
        <w:contextualSpacing/>
        <w:rPr>
          <w:lang w:eastAsia="ar-SA"/>
        </w:rPr>
      </w:pPr>
      <w:r>
        <w:rPr>
          <w:lang w:eastAsia="ar-SA"/>
        </w:rPr>
        <w:t xml:space="preserve">3.8.2. Исполнитель предоставляет Государственному заказчику в течение 2 (двух) рабочих дней со дня заключения контракта подробную информацию об ответственном лице Исполнителя, осуществляющем организацию и сопровождение обучения (фамилия, имя, отчество, телефон, </w:t>
      </w:r>
      <w:r>
        <w:rPr>
          <w:lang w:val="en-US" w:eastAsia="ar-SA"/>
        </w:rPr>
        <w:t>e</w:t>
      </w:r>
      <w:r>
        <w:rPr>
          <w:lang w:eastAsia="ar-SA"/>
        </w:rPr>
        <w:t>-</w:t>
      </w:r>
      <w:r>
        <w:rPr>
          <w:lang w:val="en-US" w:eastAsia="ar-SA"/>
        </w:rPr>
        <w:t>mail</w:t>
      </w:r>
      <w:r>
        <w:rPr>
          <w:lang w:eastAsia="ar-SA"/>
        </w:rPr>
        <w:t>).</w:t>
      </w:r>
    </w:p>
    <w:p>
      <w:pPr>
        <w:pStyle w:val="Normal"/>
        <w:suppressAutoHyphens w:val="true"/>
        <w:spacing w:before="0" w:after="0"/>
        <w:ind w:firstLine="709"/>
        <w:contextualSpacing/>
        <w:rPr>
          <w:lang w:eastAsia="ar-SA"/>
        </w:rPr>
      </w:pPr>
      <w:r>
        <w:rPr>
          <w:lang w:eastAsia="ar-SA"/>
        </w:rPr>
        <w:t xml:space="preserve">3.8.3. Исполнитель предоставляет Государственному заказчику не позднее чем за 2 (два) рабочих дня до начала обучения </w:t>
      </w:r>
      <w:r>
        <w:rPr>
          <w:lang w:eastAsia="ar-SA"/>
        </w:rPr>
        <w:t>сведения</w:t>
      </w:r>
      <w:r>
        <w:rPr>
          <w:lang w:eastAsia="ar-SA"/>
        </w:rPr>
        <w:t xml:space="preserve">: </w:t>
      </w:r>
    </w:p>
    <w:p>
      <w:pPr>
        <w:pStyle w:val="Normal"/>
        <w:suppressAutoHyphens w:val="true"/>
        <w:spacing w:before="0" w:after="0"/>
        <w:ind w:firstLine="709"/>
        <w:contextualSpacing/>
        <w:rPr>
          <w:lang w:eastAsia="ar-SA"/>
        </w:rPr>
      </w:pPr>
      <w:r>
        <w:rPr>
          <w:lang w:eastAsia="ar-SA"/>
        </w:rPr>
        <w:t>- учебный план;</w:t>
      </w:r>
    </w:p>
    <w:p>
      <w:pPr>
        <w:pStyle w:val="Normal"/>
        <w:suppressAutoHyphens w:val="true"/>
        <w:spacing w:before="0" w:after="0"/>
        <w:ind w:firstLine="709"/>
        <w:contextualSpacing/>
        <w:rPr>
          <w:lang w:eastAsia="ar-SA"/>
        </w:rPr>
      </w:pPr>
      <w:r>
        <w:rPr>
          <w:lang w:eastAsia="ar-SA"/>
        </w:rPr>
        <w:t>- расписание занятий;</w:t>
      </w:r>
    </w:p>
    <w:p>
      <w:pPr>
        <w:pStyle w:val="Normal"/>
        <w:suppressAutoHyphens w:val="true"/>
        <w:spacing w:before="0" w:after="0"/>
        <w:ind w:firstLine="709"/>
        <w:contextualSpacing/>
        <w:rPr>
          <w:lang w:eastAsia="ar-SA"/>
        </w:rPr>
      </w:pPr>
      <w:r>
        <w:rPr>
          <w:lang w:eastAsia="ar-SA"/>
        </w:rPr>
        <w:t>- учебно-методические материалы в электронном виде;</w:t>
      </w:r>
    </w:p>
    <w:p>
      <w:pPr>
        <w:pStyle w:val="Normal"/>
        <w:suppressAutoHyphens w:val="true"/>
        <w:spacing w:before="0" w:after="0"/>
        <w:ind w:firstLine="709"/>
        <w:contextualSpacing/>
        <w:rPr>
          <w:lang w:eastAsia="ar-SA"/>
        </w:rPr>
      </w:pPr>
      <w:r>
        <w:rPr>
          <w:lang w:eastAsia="ar-SA"/>
        </w:rPr>
        <w:t xml:space="preserve">- </w:t>
      </w:r>
      <w:r>
        <w:rPr>
          <w:lang w:eastAsia="ar-SA"/>
        </w:rPr>
        <w:t xml:space="preserve">сведения о </w:t>
      </w:r>
      <w:r>
        <w:rPr>
          <w:lang w:eastAsia="ar-SA"/>
        </w:rPr>
        <w:t>преподавател</w:t>
      </w:r>
      <w:r>
        <w:rPr>
          <w:lang w:eastAsia="ar-SA"/>
        </w:rPr>
        <w:t>ях</w:t>
      </w:r>
      <w:r>
        <w:rPr>
          <w:lang w:eastAsia="ar-SA"/>
        </w:rPr>
        <w:t>, привлекаемых к образовательному процессу;</w:t>
      </w:r>
    </w:p>
    <w:p>
      <w:pPr>
        <w:pStyle w:val="Normal"/>
        <w:suppressAutoHyphens w:val="true"/>
        <w:spacing w:before="0" w:after="0"/>
        <w:ind w:firstLine="709"/>
        <w:contextualSpacing/>
        <w:rPr>
          <w:lang w:eastAsia="ar-SA"/>
        </w:rPr>
      </w:pPr>
      <w:r>
        <w:rPr>
          <w:lang w:eastAsia="ar-SA"/>
        </w:rPr>
        <w:t>- материалы итоговой аттестации.</w:t>
      </w:r>
    </w:p>
    <w:p>
      <w:pPr>
        <w:pStyle w:val="Normal"/>
        <w:ind w:firstLine="709"/>
        <w:rPr/>
      </w:pPr>
      <w:r>
        <w:rPr/>
        <w:t>3.8.4. Учебный план, расписание программы повышения квалификации утверждаются с учетом требований, определенных настоящим Техническим заданием на оказание услуг.</w:t>
      </w:r>
    </w:p>
    <w:p>
      <w:pPr>
        <w:pStyle w:val="Normal"/>
        <w:ind w:firstLine="709"/>
        <w:rPr/>
      </w:pPr>
      <w:r>
        <w:rPr/>
        <w:t xml:space="preserve">Расписание занятий должно иметь вид таблицы, содержать дату и время проведения занятий, наименование тем, в том числе формы (лекция, входной контроль, итоговая аттестация), фамилии, имена, отчества преподавателей, участвующих в обучении, и их должности, контактные данные ответственного лица Исполнителя, осуществляющего организацию и сопровождение обучения. </w:t>
      </w:r>
    </w:p>
    <w:p>
      <w:pPr>
        <w:pStyle w:val="Normal"/>
        <w:ind w:firstLine="709"/>
        <w:rPr/>
      </w:pPr>
      <w:r>
        <w:rPr/>
        <w:t>3.8.5. Форма анкеты оценки качества обучения по программе дополнительного профессионального образования разрабатывается Исполнителем и в обязательном порядке согласовывается с Государственным заказчиком.</w:t>
      </w:r>
    </w:p>
    <w:p>
      <w:pPr>
        <w:pStyle w:val="Normal"/>
        <w:ind w:firstLine="709"/>
        <w:rPr/>
      </w:pPr>
      <w:r>
        <w:rPr/>
        <w:t>3.8.6. Информация и документы, указанные в пунктах 3.8.2 и 3.8.3 настоящего Технического задания, предоставляются в оригиналах обязательно сопроводительным письмом с описью направленных документов в адрес Главного управления МЧС России по Амурской области.</w:t>
      </w:r>
    </w:p>
    <w:p>
      <w:pPr>
        <w:pStyle w:val="Normal"/>
        <w:ind w:firstLine="709"/>
        <w:rPr/>
      </w:pPr>
      <w:r>
        <w:rPr/>
        <w:t>3.8.7. Государственный заказчик не позднее 5 (пяти) рабочих дней с даты получения от Исполнителя информации и документов, указанных в пунктах 3.8.2 и 3.8.3 настоящего Технического задания на оказание услуг, согласовывает их или направляет замечания по их доработке.</w:t>
      </w:r>
    </w:p>
    <w:p>
      <w:pPr>
        <w:pStyle w:val="Normal"/>
        <w:ind w:firstLine="709"/>
        <w:rPr/>
      </w:pPr>
      <w:r>
        <w:rPr/>
        <w:t>3.8.8. В случае, если по истечении срока, установленного в пункте 3.8.7 настоящего Технического задания, Государственным заказчиком в адрес Исполнителя не направлены замечания с указанием срока их устранения, информация и документы считаются согласованными.</w:t>
      </w:r>
    </w:p>
    <w:p>
      <w:pPr>
        <w:pStyle w:val="Normal"/>
        <w:ind w:firstLine="709"/>
        <w:rPr/>
      </w:pPr>
      <w:r>
        <w:rPr/>
        <w:t>3.8.9. Исполнитель (ответственное лицо Исполнителя) осуществляет организацию и сопровождение обучения, в том числе:</w:t>
      </w:r>
    </w:p>
    <w:p>
      <w:pPr>
        <w:pStyle w:val="Normal"/>
        <w:ind w:firstLine="709"/>
        <w:rPr/>
      </w:pPr>
      <w:r>
        <w:rPr/>
        <w:t>осуществляет рассылку Слушателям на адрес электронной почты расписания занятий (не позднее, чем за 2 (два) рабочих дня до начала обучения);</w:t>
      </w:r>
    </w:p>
    <w:p>
      <w:pPr>
        <w:pStyle w:val="Normal"/>
        <w:ind w:firstLine="709"/>
        <w:rPr/>
      </w:pPr>
      <w:r>
        <w:rPr/>
        <w:t xml:space="preserve">проводит регистрацию Слушателей, информирует об условиях обучения; </w:t>
      </w:r>
    </w:p>
    <w:p>
      <w:pPr>
        <w:pStyle w:val="Normal"/>
        <w:ind w:firstLine="709"/>
        <w:rPr/>
      </w:pPr>
      <w:r>
        <w:rPr/>
        <w:t>обеспечивает проведение форм контроля, предусмотренных настоящим Техническим заданием, анкетирование слушателей;</w:t>
      </w:r>
    </w:p>
    <w:p>
      <w:pPr>
        <w:pStyle w:val="Normal"/>
        <w:ind w:firstLine="709"/>
        <w:rPr/>
      </w:pPr>
      <w:r>
        <w:rPr/>
        <w:t>осуществляет контроль и учет посещаемости Слушателями Программы;</w:t>
      </w:r>
    </w:p>
    <w:p>
      <w:pPr>
        <w:pStyle w:val="Normal"/>
        <w:ind w:firstLine="709"/>
        <w:rPr/>
      </w:pPr>
      <w:r>
        <w:rPr/>
        <w:t xml:space="preserve">обеспечивает Слушателей учебно-методическими материалами в электронном виде (в первый день занятий). </w:t>
      </w:r>
    </w:p>
    <w:p>
      <w:pPr>
        <w:pStyle w:val="Normal"/>
        <w:ind w:firstLine="709"/>
        <w:rPr/>
      </w:pPr>
      <w:r>
        <w:rPr/>
        <w:t>3.8.10. Исполнитель предоставляет Слушателям возможность прохождения итоговой аттестации при условии полного выполнения ими требований Программы, установленных объемов учебной нагрузки и самостоятельной работы.</w:t>
      </w:r>
    </w:p>
    <w:p>
      <w:pPr>
        <w:pStyle w:val="Normal"/>
        <w:ind w:firstLine="709"/>
        <w:rPr/>
      </w:pPr>
      <w:r>
        <w:rPr/>
        <w:t>3.8.11. Исполнитель выдает Слушателям в случае успешного прохождения ими всех установленных видов итоговой аттестации по Программе документ установленного образца.</w:t>
      </w:r>
    </w:p>
    <w:p>
      <w:pPr>
        <w:pStyle w:val="Normal"/>
        <w:ind w:firstLine="709"/>
        <w:rPr/>
      </w:pPr>
      <w:r>
        <w:rPr/>
        <w:t>3.8.12. Исполнитель в процессе обучения обеспечивает консультационную поддержку Слушателей по вопросам, связанным с практическим применением полученных знаний в процессе решения профессиональных задач.</w:t>
      </w:r>
    </w:p>
    <w:p>
      <w:pPr>
        <w:pStyle w:val="Normal"/>
        <w:ind w:firstLine="709"/>
        <w:rPr/>
      </w:pPr>
      <w:r>
        <w:rPr/>
        <w:t>3.8.13. Содержание курса:</w:t>
      </w:r>
    </w:p>
    <w:p>
      <w:pPr>
        <w:pStyle w:val="Normal"/>
        <w:ind w:firstLine="709"/>
        <w:rPr/>
      </w:pPr>
      <w:r>
        <w:rPr/>
        <w:t>Общие положения об информационной безопасности для телекоммуникационных систем.</w:t>
      </w:r>
    </w:p>
    <w:p>
      <w:pPr>
        <w:pStyle w:val="Normal"/>
        <w:ind w:firstLine="709"/>
        <w:rPr/>
      </w:pPr>
      <w:r>
        <w:rPr/>
        <w:t>Основные компоненты системы защиты информации.</w:t>
      </w:r>
    </w:p>
    <w:p>
      <w:pPr>
        <w:pStyle w:val="Normal"/>
        <w:ind w:firstLine="709"/>
        <w:rPr/>
      </w:pPr>
      <w:r>
        <w:rPr/>
        <w:t>VPN: определение, состав, характеристики, требования.</w:t>
      </w:r>
    </w:p>
    <w:p>
      <w:pPr>
        <w:pStyle w:val="Normal"/>
        <w:ind w:firstLine="709"/>
        <w:rPr/>
      </w:pPr>
      <w:r>
        <w:rPr/>
        <w:t>Система защиты информации ViPNet: общие сведения.</w:t>
      </w:r>
    </w:p>
    <w:p>
      <w:pPr>
        <w:pStyle w:val="Normal"/>
        <w:ind w:firstLine="709"/>
        <w:rPr/>
      </w:pPr>
      <w:r>
        <w:rPr/>
        <w:t>Технология ViPNet - концепция защиты и разграничения доступа.</w:t>
      </w:r>
    </w:p>
    <w:p>
      <w:pPr>
        <w:pStyle w:val="Normal"/>
        <w:ind w:firstLine="709"/>
        <w:rPr/>
      </w:pPr>
      <w:r>
        <w:rPr/>
        <w:t>Типовые схемы применения ПО ViPNet.</w:t>
      </w:r>
    </w:p>
    <w:p>
      <w:pPr>
        <w:pStyle w:val="Normal"/>
        <w:ind w:firstLine="709"/>
        <w:rPr/>
      </w:pPr>
      <w:r>
        <w:rPr/>
        <w:t>Состав системы защиты информации ViPNet (ViPNet Prime, ViPNet Coordinator HW/VA 4, ViPNet Client 4).</w:t>
      </w:r>
    </w:p>
    <w:p>
      <w:pPr>
        <w:pStyle w:val="Normal"/>
        <w:ind w:firstLine="709"/>
        <w:rPr/>
      </w:pPr>
      <w:r>
        <w:rPr/>
        <w:t>Основные функции и возможности комплекса ViPNet.</w:t>
      </w:r>
    </w:p>
    <w:p>
      <w:pPr>
        <w:pStyle w:val="Normal"/>
        <w:ind w:firstLine="709"/>
        <w:rPr/>
      </w:pPr>
      <w:r>
        <w:rPr/>
        <w:t>Ключевая структура сети ViPNet (ключевая система, формирование и управление ключевой системой).</w:t>
      </w:r>
    </w:p>
    <w:p>
      <w:pPr>
        <w:pStyle w:val="Normal"/>
        <w:ind w:firstLine="709"/>
        <w:rPr/>
      </w:pPr>
      <w:r>
        <w:rPr/>
        <w:t>Основные функции и принципы работы системы мониторинга ViPNet Network Visibility System.</w:t>
      </w:r>
    </w:p>
    <w:p>
      <w:pPr>
        <w:pStyle w:val="Normal"/>
        <w:ind w:firstLine="709"/>
        <w:rPr/>
      </w:pPr>
      <w:r>
        <w:rPr/>
        <w:t>Основные функции и принципы работы модуля централизованной рассылки политики информационной безопасности ViPNet Policy Management Module.</w:t>
      </w:r>
    </w:p>
    <w:p>
      <w:pPr>
        <w:pStyle w:val="Normal"/>
        <w:ind w:firstLine="709"/>
        <w:rPr/>
      </w:pPr>
      <w:r>
        <w:rPr/>
        <w:t>Взаимодействие модулей ViPNet Prime друг с другом.</w:t>
      </w:r>
    </w:p>
    <w:p>
      <w:pPr>
        <w:pStyle w:val="Normal"/>
        <w:ind w:firstLine="709"/>
        <w:rPr/>
      </w:pPr>
      <w:r>
        <w:rPr/>
        <w:t>Формирование, модификация и межсетевое взаимодействие в сети ViPNet.</w:t>
      </w:r>
    </w:p>
    <w:p>
      <w:pPr>
        <w:pStyle w:val="Normal"/>
        <w:ind w:firstLine="709"/>
        <w:rPr/>
      </w:pPr>
      <w:r>
        <w:rPr/>
        <w:t>Функции ViPNet Coordinator HW/VA 4. первоначальные настройки в ViPNet Prime, логика взаимодействия сетевых узлов.</w:t>
      </w:r>
    </w:p>
    <w:p>
      <w:pPr>
        <w:pStyle w:val="Normal"/>
        <w:ind w:firstLine="709"/>
        <w:rPr/>
      </w:pPr>
      <w:r>
        <w:rPr/>
        <w:t>Логика обработки IP-трафика.</w:t>
      </w:r>
    </w:p>
    <w:p>
      <w:pPr>
        <w:pStyle w:val="Normal"/>
        <w:ind w:firstLine="709"/>
        <w:rPr/>
      </w:pPr>
      <w:r>
        <w:rPr/>
        <w:t>Настройка туннелирования на ViPNet Coordinator HW/VA 4.</w:t>
      </w:r>
    </w:p>
    <w:p>
      <w:pPr>
        <w:pStyle w:val="Normal"/>
        <w:ind w:firstLine="709"/>
        <w:rPr/>
      </w:pPr>
      <w:r>
        <w:rPr/>
        <w:t>Функции ViPNet Client 4, установка и настройка программного обеспечения, принципы взаимодействия с другими защищенными узлами сети ViPNet.</w:t>
      </w:r>
    </w:p>
    <w:p>
      <w:pPr>
        <w:pStyle w:val="Normal"/>
        <w:ind w:firstLine="709"/>
        <w:rPr>
          <w:b/>
        </w:rPr>
      </w:pPr>
      <w:r>
        <w:rPr>
          <w:b/>
        </w:rPr>
        <w:t>3.9. Обеспечение программы учебно-методическими материалами:</w:t>
      </w:r>
    </w:p>
    <w:p>
      <w:pPr>
        <w:pStyle w:val="Normal"/>
        <w:ind w:firstLine="709"/>
        <w:rPr/>
      </w:pPr>
      <w:r>
        <w:rPr/>
        <w:t>- раздаточный материал (структурированные лекции и/или презентации преподавателей, действующие на момент обучения нормативные правовые акты, методические материалы и пособия и иные материалы в электронном виде);</w:t>
      </w:r>
    </w:p>
    <w:p>
      <w:pPr>
        <w:pStyle w:val="Normal"/>
        <w:ind w:firstLine="709"/>
        <w:rPr>
          <w:b/>
        </w:rPr>
      </w:pPr>
      <w:r>
        <w:rPr>
          <w:b/>
        </w:rPr>
        <w:t xml:space="preserve">3.10. Формы контроля: </w:t>
      </w:r>
      <w:r>
        <w:rPr/>
        <w:t>итоговая аттестация – итоговый экзамен: оценка освоения Программы и формирования у слушателей знаний и умений, установленной Программы обучения.</w:t>
      </w:r>
    </w:p>
    <w:p>
      <w:pPr>
        <w:pStyle w:val="Normal"/>
        <w:ind w:firstLine="709"/>
        <w:rPr>
          <w:b/>
          <w:color w:val="FF0000"/>
        </w:rPr>
      </w:pPr>
      <w:r>
        <w:rPr>
          <w:b/>
        </w:rPr>
        <w:t xml:space="preserve">3.11. Отчетная документация: </w:t>
      </w:r>
    </w:p>
    <w:p>
      <w:pPr>
        <w:pStyle w:val="Normal"/>
        <w:ind w:firstLine="709"/>
        <w:rPr/>
      </w:pPr>
      <w:r>
        <w:rPr/>
        <w:t>акт сдачи-приемки оказанных услуг;</w:t>
      </w:r>
    </w:p>
    <w:p>
      <w:pPr>
        <w:pStyle w:val="Normal"/>
        <w:ind w:firstLine="709"/>
        <w:rPr/>
      </w:pPr>
      <w:r>
        <w:rPr/>
        <w:t>копии документов, подтверждающих факт зачисления-отчисления Слушателей;</w:t>
      </w:r>
    </w:p>
    <w:p>
      <w:pPr>
        <w:pStyle w:val="Normal"/>
        <w:ind w:firstLine="709"/>
        <w:rPr/>
      </w:pPr>
      <w:r>
        <w:rPr/>
        <w:t xml:space="preserve">удостоверение о повышении квалификации, сертификат АО «ИнфоТекс» </w:t>
      </w:r>
      <w:r>
        <w:rPr>
          <w:lang w:eastAsia="ar-SA"/>
        </w:rPr>
        <w:t xml:space="preserve"> (аналог не назначается так как в Главном управлении используется оборудование производства компании АО «ИнфоТекс») </w:t>
      </w:r>
      <w:r>
        <w:rPr/>
        <w:t>(при условии успешного прохождения сертификационного тестирования, не менее 75% правильных ответов). .</w:t>
      </w:r>
    </w:p>
    <w:p>
      <w:pPr>
        <w:pStyle w:val="Normal"/>
        <w:ind w:firstLine="539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  </w:t>
      </w:r>
      <w:r>
        <w:rPr>
          <w:rFonts w:eastAsia="Calibri"/>
          <w:szCs w:val="22"/>
          <w:lang w:eastAsia="en-US"/>
        </w:rPr>
        <w:t>Срок сдачи Исполнителем отчета об оказанных Услугах и представление документов на оплату оказанных Услуг: в течение 5 рабочих дней со дня окончания обучения.</w:t>
      </w:r>
    </w:p>
    <w:p>
      <w:pPr>
        <w:pStyle w:val="Normal"/>
        <w:spacing w:before="0" w:after="0"/>
        <w:ind w:firstLine="539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Исполнитель должен иметь действующую лицензию на осуществление образовательной деятельности.</w:t>
      </w:r>
    </w:p>
    <w:p>
      <w:pPr>
        <w:pStyle w:val="Normal"/>
        <w:spacing w:before="0" w:after="0"/>
        <w:ind w:firstLine="539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</w:r>
    </w:p>
    <w:tbl>
      <w:tblPr>
        <w:tblW w:w="10140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3"/>
        <w:gridCol w:w="3936"/>
      </w:tblGrid>
      <w:tr>
        <w:trPr>
          <w:trHeight w:val="1515" w:hRule="atLeast"/>
        </w:trPr>
        <w:tc>
          <w:tcPr>
            <w:tcW w:w="620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Начальник отдела управления информационных технологий и связи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ГУ МЧС России по Амурской области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подполковник  внутренней службы</w:t>
            </w:r>
          </w:p>
        </w:tc>
        <w:tc>
          <w:tcPr>
            <w:tcW w:w="393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Горьковский М.В.</w:t>
            </w:r>
          </w:p>
        </w:tc>
      </w:tr>
    </w:tbl>
    <w:p>
      <w:pPr>
        <w:pStyle w:val="Normal"/>
        <w:spacing w:before="0" w:after="0"/>
        <w:ind w:firstLine="539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</w:r>
    </w:p>
    <w:sectPr>
      <w:type w:val="nextPage"/>
      <w:pgSz w:w="11906" w:h="16838"/>
      <w:pgMar w:left="850" w:right="991" w:gutter="0" w:header="0" w:top="567" w:footer="0" w:bottom="70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FF"/>
      <w:u w:val="single"/>
    </w:rPr>
  </w:style>
  <w:style w:type="character" w:styleId="Style14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qFormat/>
    <w:pPr>
      <w:spacing w:before="0" w:after="0"/>
      <w:ind w:hanging="0" w:left="720"/>
      <w:contextualSpacing/>
    </w:pPr>
    <w:rPr/>
  </w:style>
  <w:style w:type="paragraph" w:styleId="Style17">
    <w:name w:val="Обычный таблица"/>
    <w:basedOn w:val="Normal"/>
    <w:qFormat/>
    <w:pPr>
      <w:suppressAutoHyphens w:val="true"/>
      <w:spacing w:lineRule="atLeast" w:line="100"/>
      <w:jc w:val="left"/>
    </w:pPr>
    <w:rPr>
      <w:sz w:val="18"/>
      <w:szCs w:val="18"/>
      <w:lang w:eastAsia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18">
    <w:name w:val="Содержимое врезки"/>
    <w:basedOn w:val="Normal"/>
    <w:qFormat/>
    <w:pPr/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Style21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Application>LibreOffice/24.8.4.2$Linux_X86_64 LibreOffice_project/480$Build-2</Application>
  <AppVersion>15.0000</AppVersion>
  <Pages>3</Pages>
  <Words>916</Words>
  <Characters>6858</Characters>
  <CharactersWithSpaces>7751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2023-02-14T02:07:00Z</dcterms:created>
  <dc:creator>amur-umto-user</dc:creator>
  <dc:description/>
  <dc:language>ru-RU</dc:language>
  <cp:lastModifiedBy/>
  <cp:lastPrinted>2026-06-26T15:59:45Z</cp:lastPrinted>
  <dcterms:modified xsi:type="dcterms:W3CDTF">2026-07-01T17:31:19Z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