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100" w:afterAutospacing="1" w:before="100" w:beforeAutospacing="1" w:line="240" w:lineRule="auto"/>
        <w:ind w:firstLine="567"/>
        <w:jc w:val="center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СУБ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ЛИЦЕНЗИОННЫЙ КОНТРАКТ № </w:t>
      </w:r>
      <w:r>
        <w:rPr>
          <w:rFonts w:ascii="Times New Roman" w:hAnsi="Times New Roman" w:eastAsia="Arial" w:cs="Times New Roman"/>
          <w:b/>
          <w:sz w:val="24"/>
          <w:szCs w:val="24"/>
        </w:rPr>
        <w:t xml:space="preserve">_________________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r>
    </w:p>
    <w:tbl>
      <w:tblPr>
        <w:tblW w:w="9755" w:type="dxa"/>
        <w:tblCellMar>
          <w:left w:w="15" w:type="dxa"/>
          <w:top w:w="15" w:type="dxa"/>
          <w:right w:w="15" w:type="dxa"/>
          <w:bottom w:w="15" w:type="dxa"/>
        </w:tblCellMar>
        <w:tblBorders/>
        <w:tblCellSpacing w:w="15" w:type="dxa"/>
        <w:tblLook w:val="04A0" w:firstRow="1" w:lastRow="0" w:firstColumn="1" w:lastColumn="0" w:noHBand="0" w:noVBand="1"/>
      </w:tblPr>
      <w:tblGrid>
        <w:gridCol w:w="6849"/>
        <w:gridCol w:w="2798"/>
        <w:gridCol w:w="108"/>
      </w:tblGrid>
      <w:tr>
        <w:trPr>
          <w:tblCellSpacing w:w="15" w:type="dxa"/>
        </w:trPr>
        <w:tc>
          <w:tcPr>
            <w:tcBorders/>
            <w:tcW w:w="0" w:type="auto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529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Москва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Borders/>
            <w:tcW w:w="0" w:type="auto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  <w:lang w:val="en-US"/>
              </w:rPr>
              <w:t xml:space="preserve">2026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Borders/>
            <w:tcW w:w="0" w:type="auto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</w:p>
        </w:tc>
      </w:tr>
    </w:tbl>
    <w:p>
      <w:pPr>
        <w:pBdr/>
        <w:spacing w:after="170" w:before="100" w:beforeAutospacing="1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_________________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именуемое в дальнейшем «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Сублицензиар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», в лице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____________________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действующ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на основании _______, с одной стороны и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Arial" w:cs="Times New Roman"/>
          <w:sz w:val="20"/>
          <w:szCs w:val="20"/>
        </w:rPr>
        <w:t xml:space="preserve">ФЕДЕРАЛЬНОЕ ГОСУДАРСТВЕННОЕ БЮДЖЕТНОЕ УЧРЕЖДЕНИЕ НАУКИ ИНСТИТУТ ЯЗЫКОЗНАНИЯ РОССИЙСКОЙ АКАДЕМИИ НАУК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именуемый</w:t>
      </w:r>
      <w:r>
        <w:rPr>
          <w:rFonts w:ascii="Times New Roman" w:hAnsi="Times New Roman" w:eastAsia="Times New Roman" w:cs="Times New Roman"/>
          <w:sz w:val="20"/>
          <w:szCs w:val="20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sz w:val="20"/>
          <w:szCs w:val="20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дальнейшем</w:t>
      </w:r>
      <w:r>
        <w:rPr>
          <w:rFonts w:ascii="Times New Roman" w:hAnsi="Times New Roman" w:eastAsia="Times New Roman" w:cs="Times New Roman"/>
          <w:sz w:val="20"/>
          <w:szCs w:val="20"/>
          <w:lang w:val="en-US" w:eastAsia="ru-RU"/>
        </w:rPr>
        <w:t xml:space="preserve"> «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Сублицензиат</w:t>
      </w:r>
      <w:r>
        <w:rPr>
          <w:rFonts w:ascii="Times New Roman" w:hAnsi="Times New Roman" w:eastAsia="Times New Roman" w:cs="Times New Roman"/>
          <w:sz w:val="20"/>
          <w:szCs w:val="20"/>
          <w:lang w:val="en-US" w:eastAsia="ru-RU"/>
        </w:rPr>
        <w:t xml:space="preserve">»</w:t>
      </w:r>
      <w:r>
        <w:rPr>
          <w:rFonts w:ascii="Times New Roman" w:hAnsi="Times New Roman" w:eastAsia="Times New Roman" w:cs="Times New Roman"/>
          <w:sz w:val="20"/>
          <w:szCs w:val="20"/>
          <w:lang w:val="en-US" w:eastAsia="ru-RU"/>
        </w:rPr>
        <w:t xml:space="preserve">,</w:t>
      </w:r>
      <w:r>
        <w:rPr>
          <w:rFonts w:ascii="Times New Roman" w:hAnsi="Times New Roman" w:eastAsia="Times New Roman" w:cs="Times New Roman"/>
          <w:sz w:val="20"/>
          <w:szCs w:val="20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sz w:val="20"/>
          <w:szCs w:val="20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лице</w:t>
      </w:r>
      <w:r>
        <w:rPr>
          <w:rFonts w:ascii="Times New Roman" w:hAnsi="Times New Roman" w:eastAsia="Times New Roman" w:cs="Times New Roman"/>
          <w:sz w:val="20"/>
          <w:szCs w:val="20"/>
          <w:lang w:val="en-US" w:eastAsia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Директора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sz w:val="20"/>
          <w:lang w:val="en-US"/>
        </w:rPr>
        <w:t xml:space="preserve">Кибрика Андрея Александровича</w:t>
      </w:r>
      <w:r>
        <w:rPr>
          <w:rFonts w:ascii="Times New Roman" w:hAnsi="Times New Roman" w:eastAsia="Times New Roman" w:cs="Times New Roman"/>
          <w:sz w:val="20"/>
          <w:szCs w:val="20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действующего</w:t>
      </w:r>
      <w:r>
        <w:rPr>
          <w:rFonts w:ascii="Times New Roman" w:hAnsi="Times New Roman" w:eastAsia="Times New Roman" w:cs="Times New Roman"/>
          <w:sz w:val="20"/>
          <w:szCs w:val="20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на</w:t>
      </w:r>
      <w:r>
        <w:rPr>
          <w:rFonts w:ascii="Times New Roman" w:hAnsi="Times New Roman" w:eastAsia="Times New Roman" w:cs="Times New Roman"/>
          <w:sz w:val="20"/>
          <w:szCs w:val="20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основании</w:t>
      </w:r>
      <w:r>
        <w:rPr>
          <w:rFonts w:ascii="Times New Roman" w:hAnsi="Times New Roman" w:eastAsia="Times New Roman" w:cs="Times New Roman"/>
          <w:sz w:val="20"/>
          <w:szCs w:val="20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en-US" w:eastAsia="ru-RU"/>
        </w:rPr>
        <w:t xml:space="preserve">Устава</w:t>
      </w:r>
      <w:r>
        <w:rPr>
          <w:rFonts w:ascii="Times New Roman" w:hAnsi="Times New Roman" w:eastAsia="Times New Roman" w:cs="Times New Roman"/>
          <w:sz w:val="20"/>
          <w:szCs w:val="20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, с другой стороны, совместно именуемые «Стороны»,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а по отдельности – «Сторона»,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с соблюдением требований Гражданского кодекса Российской Федерации и руководствуясь пунктом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5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части 1 статьи 93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– Контракт) о нижеследующем: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Bdr/>
        <w:spacing w:after="170" w:before="170" w:line="240" w:lineRule="auto"/>
        <w:ind w:right="170" w:firstLine="567" w:left="17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. ПРЕДМЕТ КОНТРАКТА.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r>
    </w:p>
    <w:p>
      <w:pPr>
        <w:pBdr/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1.1. Сублицензиар передаёт Сублицензиату для личных и/или производственных нужд за плату следующее:</w:t>
      </w:r>
      <w:r>
        <w:rPr>
          <w:rFonts w:ascii="Times New Roman" w:hAnsi="Times New Roman" w:cs="Times New Roman"/>
          <w:sz w:val="20"/>
          <w:szCs w:val="20"/>
          <w:lang w:eastAsia="ru-RU"/>
        </w:rPr>
      </w:r>
      <w:r>
        <w:rPr>
          <w:rFonts w:ascii="Times New Roman" w:hAnsi="Times New Roman" w:cs="Times New Roman"/>
          <w:sz w:val="20"/>
          <w:szCs w:val="20"/>
          <w:lang w:eastAsia="ru-RU"/>
        </w:rPr>
      </w:r>
    </w:p>
    <w:p>
      <w:pPr>
        <w:pBdr/>
        <w:spacing w:after="0"/>
        <w:ind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            1.1.1. Предоставление права использования Средства защиты инфо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рмации Secret Net Studio 8 (реестровая запись № 3855 от 16.08.2017) сроком на 1 год в комплектации "Максимальная защита" с дополнительными функциональными возможностями;</w:t>
        <w:br/>
        <w:t xml:space="preserve">            1.1.2. Предоставление прав на использование "Сканер-ВС".НПЕШ.00606-01 (Рее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стровая запись № 231 от 18.03.2016) сроком на 1 год, лицензия на 4 IP адреса;</w:t>
        <w:br/>
        <w:t xml:space="preserve">            1.1.3. Предоставление права использования на ПП «SecretDoc» (реестровая запись № 10516 от 06.05.2021) сроком на 1 год с дополнительными функциональными возможностями.</w:t>
      </w:r>
      <w:r>
        <w:rPr>
          <w:rFonts w:ascii="Times New Roman" w:hAnsi="Times New Roman" w:cs="Times New Roman"/>
          <w:sz w:val="20"/>
          <w:szCs w:val="20"/>
          <w:lang w:eastAsia="ru-RU"/>
        </w:rPr>
      </w:r>
      <w:r>
        <w:rPr>
          <w:rFonts w:ascii="Times New Roman" w:hAnsi="Times New Roman" w:cs="Times New Roman"/>
          <w:sz w:val="20"/>
          <w:szCs w:val="20"/>
          <w:lang w:eastAsia="ru-RU"/>
        </w:rPr>
      </w:r>
    </w:p>
    <w:p>
      <w:pPr>
        <w:pBdr/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1.2. Лицензии на программы для ЭВМ (далее – Программы), перечисленные в настоящем разделе, передаются как простые (неисключительные) и действуют в течение срока, указанного в приложении к настоящему Контракту.</w:t>
      </w:r>
      <w:r>
        <w:rPr>
          <w:rFonts w:ascii="Times New Roman" w:hAnsi="Times New Roman" w:cs="Times New Roman"/>
          <w:sz w:val="20"/>
          <w:szCs w:val="20"/>
          <w:lang w:eastAsia="ru-RU"/>
        </w:rPr>
      </w:r>
      <w:r>
        <w:rPr>
          <w:rFonts w:ascii="Times New Roman" w:hAnsi="Times New Roman" w:cs="Times New Roman"/>
          <w:sz w:val="20"/>
          <w:szCs w:val="20"/>
          <w:lang w:eastAsia="ru-RU"/>
        </w:rPr>
      </w:r>
    </w:p>
    <w:p>
      <w:pPr>
        <w:pBdr/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1.3. Сублицензиату представляются Программы с дополнительными функциональными возможностями, указанными в приложении к настоящему Контракту.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ru-RU"/>
        </w:rPr>
      </w:r>
      <w:r>
        <w:rPr>
          <w:rFonts w:ascii="Times New Roman" w:hAnsi="Times New Roman" w:cs="Times New Roman"/>
          <w:sz w:val="20"/>
          <w:szCs w:val="20"/>
          <w:highlight w:val="none"/>
          <w:lang w:eastAsia="ru-RU"/>
        </w:rPr>
      </w:r>
    </w:p>
    <w:p w14:paraId="6EE82497">
      <w:pPr>
        <w:pBdr/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highlight w:val="none"/>
          <w:lang w:eastAsia="ru-RU"/>
        </w:rPr>
        <w:t xml:space="preserve">1.4.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ИКЗ:</w:t>
      </w:r>
      <w:r>
        <w:rPr>
          <w:rFonts w:ascii="Times New Roman" w:hAnsi="Times New Roman" w:cs="Times New Roman"/>
          <w:sz w:val="20"/>
          <w:szCs w:val="20"/>
        </w:rPr>
        <w:t xml:space="preserve">261770406800877040100100020000000244</w:t>
      </w:r>
      <w:r>
        <w:rPr>
          <w:rFonts w:ascii="Times New Roman" w:hAnsi="Times New Roman" w:cs="Times New Roman"/>
          <w:sz w:val="20"/>
          <w:szCs w:val="20"/>
          <w:lang w:eastAsia="ru-RU"/>
        </w:rPr>
      </w:r>
      <w:r>
        <w:rPr>
          <w:rFonts w:ascii="Times New Roman" w:hAnsi="Times New Roman" w:cs="Times New Roman"/>
          <w:sz w:val="20"/>
          <w:szCs w:val="20"/>
          <w:lang w:eastAsia="ru-RU"/>
        </w:rPr>
      </w:r>
    </w:p>
    <w:p w14:paraId="5EE72C51">
      <w:pPr>
        <w:pBdr/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highlight w:val="none"/>
          <w:lang w:eastAsia="ru-RU"/>
        </w:rPr>
      </w:r>
      <w:r>
        <w:rPr>
          <w:rFonts w:ascii="Times New Roman" w:hAnsi="Times New Roman" w:cs="Times New Roman"/>
          <w:sz w:val="20"/>
          <w:szCs w:val="20"/>
          <w:highlight w:val="none"/>
          <w:lang w:eastAsia="ru-RU"/>
        </w:rPr>
      </w:r>
      <w:r>
        <w:rPr>
          <w:rFonts w:ascii="Times New Roman" w:hAnsi="Times New Roman" w:cs="Times New Roman"/>
          <w:sz w:val="20"/>
          <w:szCs w:val="20"/>
          <w:lang w:eastAsia="ru-RU"/>
        </w:rPr>
      </w:r>
    </w:p>
    <w:p>
      <w:pPr>
        <w:pBdr/>
        <w:spacing w:after="170" w:before="170" w:line="240" w:lineRule="auto"/>
        <w:ind w:right="170" w:firstLine="567" w:left="17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. РАЗМЕР ВОЗНАГРАЖДЕНИЯ, ПОРЯДОК И СРОКИ ЕГО ВЫПЛАТЫ.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.1.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Сумма лицензионного вознаграждения составляет ________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руб. (______________ рублей ____ копеек)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Стоимость прав по настоящему Контракту НДС не облагается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пп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 26 п. 2 ст. 149 НК РФ)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2.2. Вознаграждение, предусмотренное настоящим Контрактом, оплачивается Сублицензиатом в течение 5 (пяти) рабочих дней со дня подписания Сторонами акта приёма-передачи.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Уплата вознаграждения производится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Сублицензиат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ом в российских рублях путем зачисления денежных средств на расчетный счет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Сублицензиар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а.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37F68903"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2.4. Цена Контракта является твердой и не может изменяться в ходе его исполнения, за и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сключением случаев, предусмотренных настоящим Контрактом,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 и действующим законодательством РФ.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569FF01F">
      <w:pPr>
        <w:pBdr/>
        <w:spacing w:after="0" w:line="240" w:lineRule="auto"/>
        <w:ind w:firstLine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2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.5. Оплата Цены Контракта производится Сублицензиатом по факту предоставления Сублицензиаром лицензий в полном объеме, путем перечисления денежных средств на расчетный счет Сублицензиара, указанный в настоящем Контракте, в течение 7 (Семи) рабочих дней с д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аты формирования Сублицензиатом акта приемки товаров, работ, услуг (ф. 0510452) и подписания Сторонами акта приема-передачи лицензии и/или универсального передаточного документа (УПД), а также выставленного Сублицензиаром счета.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76F33A71">
      <w:pPr>
        <w:pBdr/>
        <w:spacing w:after="0" w:line="240" w:lineRule="auto"/>
        <w:ind w:firstLine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2.6.  Датой оплаты счит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ается дата списания денежных средств со счета Сублицензиата и поступления денежных средств на расчетный счет Сублицензиара.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Bdr/>
        <w:spacing w:after="170" w:before="170" w:line="240" w:lineRule="auto"/>
        <w:ind w:right="170" w:firstLine="567" w:left="170"/>
        <w:jc w:val="center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. ПЕРЕДАЧА ПРАВ. </w:t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3.1. Передача прав по настоящему Контракту осуществляется в течение 90 (девяносто) рабочих дней с момента подписания сторонами настоящего Контракта.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Передача прав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Сублицензиат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у оформляется актом приёма-передачи.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Сублицензиат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обязан в течение 3 (трех) рабочих дней с момента получения акта приёма-передачи подписать его и предоставить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Сублицензиар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у, либо предоставить письменный мотивированный отказ от его подписания. В случае непредоставления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Сублицензиар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у подписанного акта приёма-передачи или письменного мотивированного отказа в указанные сроки права считаются переданными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Сублицензиар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ом и принятыми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Сублицензиат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ом в полном объёме.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</w:p>
    <w:p>
      <w:pPr>
        <w:pBdr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. ПРАВА И ОБЯЗАННОСТИ СТОРОН.</w:t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</w:p>
    <w:p>
      <w:pPr>
        <w:pBdr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</w:p>
    <w:p>
      <w:pPr>
        <w:widowControl w:val="false"/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.1. По настоящему Контракту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Сублицензиар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предоставляет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Сублицензиат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у право использования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Программы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способами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, предусмотренными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ст. 1280 ГК РФ и настоящим Контрактом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Bdr/>
        <w:spacing w:after="0"/>
        <w:ind w:firstLine="567"/>
        <w:rPr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.2.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Сублицензиат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обязуется:</w:t>
      </w:r>
      <w:r>
        <w:rPr>
          <w:lang w:eastAsia="ru-RU"/>
        </w:rPr>
      </w:r>
      <w:r>
        <w:rPr>
          <w:lang w:eastAsia="ru-RU"/>
        </w:rPr>
      </w:r>
    </w:p>
    <w:p>
      <w:pPr>
        <w:pStyle w:val="920"/>
        <w:pBdr/>
        <w:spacing w:after="0" w:line="240" w:lineRule="auto"/>
        <w:ind w:firstLine="540" w:left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.2.1. Представить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Сублицензиар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у документы и информацию (исходные данные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) по следующему п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ереч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ню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исходных данных: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Style w:val="920"/>
        <w:numPr>
          <w:ilvl w:val="0"/>
          <w:numId w:val="1"/>
        </w:numPr>
        <w:pBdr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Полное и сокращенное наименование организации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Сублицензиат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а, организационно-правовая форма, юридический адрес и адреса размещения информационной системы (ИС) организации.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Style w:val="920"/>
        <w:numPr>
          <w:ilvl w:val="0"/>
          <w:numId w:val="1"/>
        </w:numPr>
        <w:pBdr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Фамилия, имя и отчество руководителя организации, на основании чего действует.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Style w:val="920"/>
        <w:numPr>
          <w:ilvl w:val="0"/>
          <w:numId w:val="1"/>
        </w:numPr>
        <w:pBdr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Организационно-распорядительная документация по защите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ПДн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, имеющаяся в организации на момент проведения предварительного обследования.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Style w:val="920"/>
        <w:numPr>
          <w:ilvl w:val="0"/>
          <w:numId w:val="1"/>
        </w:numPr>
        <w:pBdr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Проектно-техническая и эксплуатационная документация на ИС.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Style w:val="920"/>
        <w:numPr>
          <w:ilvl w:val="0"/>
          <w:numId w:val="1"/>
        </w:numPr>
        <w:pBdr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Эксплуатационная и правоустанавливающая документация на средства вычислительной техники, входящие в состав ИС.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Style w:val="920"/>
        <w:numPr>
          <w:ilvl w:val="0"/>
          <w:numId w:val="1"/>
        </w:numPr>
        <w:pBdr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Проектно-техническая, эксплуатационная и правоустанавливающая документация на здания (помещения), где размещаются элементы ИС, а также проектно-техническая и эксплуатационная документация на инженерно-технические коммуникации.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Style w:val="920"/>
        <w:numPr>
          <w:ilvl w:val="0"/>
          <w:numId w:val="1"/>
        </w:numPr>
        <w:pBdr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Структурная схема ИС с указанием размещения элементов ИС.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Style w:val="920"/>
        <w:numPr>
          <w:ilvl w:val="0"/>
          <w:numId w:val="1"/>
        </w:numPr>
        <w:pBdr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Перечень и количество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ПДн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, обрабатываемых в организации.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Style w:val="920"/>
        <w:numPr>
          <w:ilvl w:val="0"/>
          <w:numId w:val="1"/>
        </w:numPr>
        <w:pBdr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Технология обработки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ПДн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в организации.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Style w:val="920"/>
        <w:numPr>
          <w:ilvl w:val="0"/>
          <w:numId w:val="1"/>
        </w:numPr>
        <w:pBdr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Перечень сотрудников организации, участвующих в обработке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ПДн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, их роли и возможности, должностные (функциональные обязанности), фамилия и инициалы.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Style w:val="920"/>
        <w:numPr>
          <w:ilvl w:val="0"/>
          <w:numId w:val="1"/>
        </w:numPr>
        <w:pBdr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Правоустанавливающая и эксплуатационная документация на общесистемное и специализированное программное обеспечение, установленное в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ИСПДн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Style w:val="920"/>
        <w:numPr>
          <w:ilvl w:val="0"/>
          <w:numId w:val="1"/>
        </w:numPr>
        <w:pBdr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Контактная информация (фамилия, имя и отчество, должность, номер телефона, адрес электронной почты) сотрудника организации, отвечающего за предоставление исходных данных.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.2.2. Обеспечить допуск специалистов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Сублицензиар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а к объекту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при необходимости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, создать условия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Сублицензиар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у для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исполнения своих обязательств по настоящему Контракту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.2.3. Выплатить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Сублицензиар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у вознаграждение по настоящему Контракту в полном объеме.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.2.4. Не позднее пяти рабочих дней с даты заключения Контракта предоставить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Сублицензиар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у цветные сканированные копии надлежащим образом оформленных документов, а именно: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Style w:val="920"/>
        <w:numPr>
          <w:ilvl w:val="0"/>
          <w:numId w:val="1"/>
        </w:numPr>
        <w:pBdr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акт классификации информационной системы / акт определения уровня защищенности персональных данных;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Style w:val="920"/>
        <w:numPr>
          <w:ilvl w:val="0"/>
          <w:numId w:val="1"/>
        </w:numPr>
        <w:pBdr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технический паспорт объекта информатизации;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Style w:val="920"/>
        <w:numPr>
          <w:ilvl w:val="0"/>
          <w:numId w:val="1"/>
        </w:numPr>
        <w:pBdr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программа и методики аттестационных испытаний объекта информатизации,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Style w:val="920"/>
        <w:numPr>
          <w:ilvl w:val="0"/>
          <w:numId w:val="1"/>
        </w:numPr>
        <w:pBdr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а также предоставить реквизиты (номер, дату) Приказа о вводе объекта информатизации.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Style w:val="920"/>
        <w:pBdr/>
        <w:spacing/>
        <w:ind w:firstLine="709" w:left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.3.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В случае неисполнения/ненадлежащего исполнения Сублицензиатом своих обязательств, предусмотренных п.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.2. настоящего Контракта, срок передачи прав передвигается соразмерно времени неисполнения/ненадлежащего исполнения Сублицензиатом своих обязанностей.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Style w:val="920"/>
        <w:pBdr/>
        <w:spacing/>
        <w:ind w:firstLine="709" w:left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.4.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Сублицензиар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не несет ответственность за соответствие Программы ожиданиям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Суб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лицензиата от ее использования, а также ни при каких обстоятельствах не будет нести ответственность перед Сублицензиатом за любые косвенные, случайные, специальные, последующие, штрафные убытки, во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з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никшие в связи с настоящим Контрактом, включая, без ограничения, убытки от претензий третьих лиц, потерю прибыли, потерю данных, нарушение конфиденциальности, нарушение обязательств действовать разумно и добросовестно, небрежности или иные убытки и потери.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Bdr/>
        <w:spacing w:after="170" w:before="170" w:line="240" w:lineRule="auto"/>
        <w:ind w:right="170" w:firstLine="567" w:left="17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. ОТВЕТСТВЕННОСТЬ СТОРОН.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r>
    </w:p>
    <w:p w14:paraId="0986EEA0">
      <w:pPr>
        <w:pStyle w:val="920"/>
        <w:pBdr/>
        <w:spacing/>
        <w:ind w:firstLine="709" w:left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5.1. Сублицензиар гарантирует, что исполнение настояще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го Контракта не нарушает законных прав третьих лиц и требований действующего российского законодательства и обязуется возместить Сублицензиату все убытки в размере документально подтвержденного реального ущерба, вызванные требованиями третьих лиц, в том чи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сле государственных органов, предъявляемыми в связи с нарушением законных прав третьих лиц или нарушением требований российского законодательства, за исключением случаев, когда такие требования вызваны нарушением условий Контракта со стороны Сублицензиата.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0CD09DE7">
      <w:pPr>
        <w:pStyle w:val="920"/>
        <w:pBdr/>
        <w:spacing/>
        <w:ind w:firstLine="709" w:left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5.2. За неисполнение либо ненадлежащее исполнение своих обязательств по Контракту Стороны несут ответственность в соответствии с действующим законодательством РФ.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68A144DB">
      <w:pPr>
        <w:pStyle w:val="920"/>
        <w:pBdr/>
        <w:spacing/>
        <w:ind w:firstLine="709" w:left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5.3. В случае просрочки исполнения Сублицензиатом обязательств, предусмотренных Контрактом,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а также в иных случаях неисполнения или ненадлежащего исполнения Сублицензиатом обязательств, предусмотренных Контрактом, Сублицензиар вправе потребовать уплаты штрафов, пеней. Пеня начисляется за каждый день просрочки исполнения обязательства, предусмотре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оссийской Федерации от неуплаченной в срок суммы.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308647A9">
      <w:pPr>
        <w:pStyle w:val="920"/>
        <w:pBdr/>
        <w:spacing/>
        <w:ind w:firstLine="709" w:left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5.4. За каждый факт неисполнения Сублицензиатом обязательств, предусмотренных Контрактом, за исключением просрочки исполнения обязательств, предусмотренных Контрактом, Сублицензиар вправе потребовать уплаты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штрафа в виде фиксированной суммы в размере 1000 рублей.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730EE556">
      <w:pPr>
        <w:pStyle w:val="920"/>
        <w:pBdr/>
        <w:spacing/>
        <w:ind w:firstLine="709" w:left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5.5. Общая сумма начисленных штрафов за ненадлежащее исполнение Сублицензиатом обязательств, предусмотренных Контрактом, не может превышать Цену Контракта.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308578E6">
      <w:pPr>
        <w:pStyle w:val="920"/>
        <w:pBdr/>
        <w:spacing/>
        <w:ind w:firstLine="709" w:left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5.6. В случае неисполнения или ненадлежаще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го исполнения Сублицензиаром обязательств, предусмотренных Контрактом, Сублицензиат направляет Сублицензиару требование об уплате штрафов, пеней. Пеня начисляется за каждый день просрочки исполнения Сублицензиаром обязательства, предусмотренного Контрактом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Лицензиат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ом.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3AB374F2">
      <w:pPr>
        <w:pStyle w:val="920"/>
        <w:pBdr/>
        <w:spacing/>
        <w:ind w:firstLine="709" w:left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5.7. За каждый факт неисполнения или ненадлежащего исполнения Сублицензиаром обязательств, предусмотренных Контрактом, за исключением просрочки исполнения обязательств, предусмотренных Контрактом, размер штрафа составляет в размере 10 процентов от цены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Контракта.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5CD6D4AD">
      <w:pPr>
        <w:pStyle w:val="920"/>
        <w:pBdr/>
        <w:spacing/>
        <w:ind w:firstLine="709" w:left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5.8. За каждый факт неисполнения или ненадлежащего исполнения Сублицензиаром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фиксированной суммы 1 000 (Одна тысяча) рублей.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4FEB0A53">
      <w:pPr>
        <w:pStyle w:val="920"/>
        <w:pBdr/>
        <w:spacing/>
        <w:ind w:firstLine="709" w:left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5.9. Общая сумма начисленных штрафов за неисполнение или ненадлежащее исполнение Сублицензиаром обязательств, предусмотренных Контрактом, не может превышать Цену Контракта.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34FFE64F">
      <w:pPr>
        <w:pStyle w:val="920"/>
        <w:pBdr/>
        <w:spacing/>
        <w:ind w:firstLine="709" w:left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5.10. Неустойки, указанные в пп.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5.3.-5.9. Контракта, определяются в соответствии с Правилами определения размера штрафа, начисляемого в случае ненадлежащего исполнения лицензиатом, неисполнения или ненадлежащего исполнения лицензиаром обязательств, предусмотренных контрактом (за исключен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ием просрочки исполнения обязательств и размера пени, начисляемой за каждый день просрочки исполнения обязательства, предусмотренного контрактом, утвержденными Постановлением Правительства РФ от 30.08.2017 № 1042.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255B63BC">
      <w:pPr>
        <w:pStyle w:val="920"/>
        <w:pBdr/>
        <w:spacing/>
        <w:ind w:firstLine="709" w:left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5.11. Сторона освобождается от уплаты неус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228DA866">
      <w:pPr>
        <w:pStyle w:val="920"/>
        <w:pBdr/>
        <w:spacing/>
        <w:ind w:firstLine="709" w:left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5.12. В случае неисполнения и/или ненадлежащего исполнения обяз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ательств по настоящему Контракту одной из Сторон, другая Сторона вправе потребовать возмещения убытков исключительно в размере документально подтвержденного реального ущерба.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Bdr/>
        <w:spacing w:after="170" w:before="170" w:line="240" w:lineRule="auto"/>
        <w:ind w:right="170" w:firstLine="567" w:left="17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. КОНФИДЕНЦИАЛЬНОСТЬ.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.1. Условия настоящего Контракта и дополнительных соглашений к нему, а также все материалы и (или) сведения, ставшие известными Сторонам, конфиденциальны и не подлежат разглашению.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.2. Стороны обязаны сохранять конфиденциальность сведений в течение всего срока действия настоящего Контракта, а также в течение 3 (трёх) лет по его истечении, расторжении.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Bdr/>
        <w:spacing w:after="170" w:before="170" w:line="240" w:lineRule="auto"/>
        <w:ind w:right="170" w:firstLine="567" w:left="17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. РАЗРЕШЕНИЕ СПОРОВ.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.1. Все споры и разногласия, которые могут возникнуть между Сторонами по вопросам, не нашедшим своего разрешения в тексте данного Контракта, будут разрешаться путем переговоров на основе действующего законодательства Российской Федерации.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.2. Стороны согласны при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з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навать данные, полученные в порядке электронного документооборота, установленного Контрактом, информацию в электронном виде и/или на бумаге в качестве доказательств для разрешения споров и разногласий, в том числе при разрешении споров в Арбитражном суде.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.3. При неурегулировании в процессе переговоров спорных вопросов споры разрешаются в Арбитражном суде Смоленской области.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08F9E41E">
      <w:pPr>
        <w:pBdr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 8. АНТИКОРУПЦИОННАЯ ОГОВОРКА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</w:p>
    <w:p w14:paraId="7CC13CAD"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0D7460F2"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8.1. При исполнении своих обязательств по Контракту Стороны обязуются не совершать, а также обязуются обеспечивать, чтобы их аффилированные лица, сотрудники и посредники не совершали прямо или косвенно следующих действий: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29CC6EB0"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- платить или предлагать уплатить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денежные средства или предоставить иные ценности, безвозмездно выполнить работы (передать права) публично-правовым образованиям, должностным лицам публично-правовых образований, близким родственникам таких должностных лиц либо лицам, иным образом, связанны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м с государством, в целях неправомерного получения преимуществ для Сторон по Контракту, их аффилированных лиц, работников или посредников, действующих по Контракту;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7D7D1CB3"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- платить или предлагать уплатить денежные средства или предоставить иные ценности, безвозм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ездно выполнить работы (передать права) сотрудникам другой Стороны по Контракту, ее аффилированным лицам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гарантии и т.д.);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641B2061"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- не совершать иных действий, нарушающих антикоррупционное законодательство Российской Федерации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7A3232C6"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16B2CA11">
      <w:pPr>
        <w:pBdr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10. ДОПОЛНИТЕЛЬНЫЕ УСЛОВИЯ И ЗАКЛЮЧИТЕЛЬНЫЕ ПОЛОЖЕНИЯ.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</w:p>
    <w:p w14:paraId="4F632647"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10.1. Контракт вступает в силу с момента его подписания Сторонами и действует по 30.0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9.2028 г., а в части обязательств до полного их исполнения Сторонами.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66F8B07E"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10.2.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Контракт может быть расторгнут по соглашению Сторон, решению суда, а также в случае принятия Сублицензиатом решения об одностороннем отказе от исполнения Контракта в соответствии с гражданским законодательством РФ.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66C2379E"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10.3.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При одностороннем внесудебном отказ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е Сублицензиата от исполнения Контракта, Контракт считается расторгнутым с момента получения Сублицензиаром уведомления Сублицензиата об одностороннем отказе от исполнения Контракта. Уведомление считается полученным Сублицензиаром также в случае, если увед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омление доставлено по юридическому или почтовому адресу, указанному в Контракте, но не получено Сублицензиаром.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4DF5B59B"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10.4. Во всем остальном, что не предусмотрено настоящим Контрактом, Стороны будут руководствоваться действующим законодательством Российской Фед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ерации.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154D857C"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10.5. Стороны осуществляют обмен информацией и документами в электронной форме, а также принимают меры по обеспечению конфиденциальности, передаваемых и полученных при совершении настоящего Контракта, и их безопасности при обработке в соответствии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с законодательством Российской Федерации.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41F2E332"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10.6. Стороны пришли к соглашению, что заключение любого дополнительного соглашения к настоящему Контракту осуществляется только в письменном виде на бумажном носителе.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7AD3755C"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10.7. Стороны выражают согласие на обмен док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ументами в электронном виде (включая, но не ограничиваясь, настоящим Контрактом, приложениями, счетами, актами, накладными, УПД, дополнительными соглашениями) с использованием электронного документооборота. Такие документы оформляются в соответствии с треб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ованиями действующих нормативно-правовых актов, в т.ч. Федерального закона от 06.04.2011 г. № 63-ФЗ «Об электронной подписи» и Федерального закона от 06.12.2011 № 402-ФЗ «О бухгалтерском учете», и подписываются квалифицированной электронной подписью. Сторо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ны признают указанные документы равнозначными документам на бумажном носителе, подписанным соответствующими собственноручными подписями своих уполномоченных представителей и заверенным печатями (при необходимости). Стороны несут ответственность за обеспече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ние конфиденциальности ключей электронной подписи и за их несанкционированное использование. Стороны также вправе производить оформление и обмен документами по настоящему Контракту на бумажном носителе с подписанием собственноручной подписью уполномоченных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представителей и приложением оттиска печати (при необходимости), при этом по требованию любой из Сторон оформление и обмен такими документами и/или дубликатами документов являются обязательными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65969BBD"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10.8. Настоящий Контракт составлен в двух экземплярах, имеющ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их одинаковую юридическую силу, из которых один находится у Сублицензиара, другой - у Сублицензиата.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5DF14D85"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10.9. Сублицензиар вправе передавать права и обязанности по настоящему Контракту третьим лицам полностью или частично в пределах срока действия настоящего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Контракта.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28A49021"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10.10. Настоящий Контракт действует до полного выполнения Сторонами своих обязательств.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02D54AEF"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10.11. Неотъемлесой частью контракта является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4A45ACC0"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– Приложение № 1 «Спецификация»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 w14:paraId="67B5AC5E"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         – Приложение № 2 «Техническое задание»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Bdr/>
        <w:spacing w:after="170" w:before="170" w:line="240" w:lineRule="auto"/>
        <w:ind w:right="170" w:firstLine="567" w:left="17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val="en-US" w:eastAsia="ru-RU"/>
        </w:rPr>
        <w:t xml:space="preserve">9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. АДРЕСА И РЕКВИЗИТЫ СТОРОН.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r>
    </w:p>
    <w:tbl>
      <w:tblPr>
        <w:tblW w:w="5299" w:type="pct"/>
        <w:tblCellMar>
          <w:left w:w="15" w:type="dxa"/>
          <w:top w:w="15" w:type="dxa"/>
          <w:right w:w="15" w:type="dxa"/>
          <w:bottom w:w="15" w:type="dxa"/>
        </w:tblCellMar>
        <w:tblBorders/>
        <w:tblLayout w:type="fixed"/>
        <w:tblCellSpacing w:w="15" w:type="dxa"/>
        <w:tblLook w:val="04A0" w:firstRow="1" w:lastRow="0" w:firstColumn="1" w:lastColumn="0" w:noHBand="0" w:noVBand="1"/>
      </w:tblPr>
      <w:tblGrid>
        <w:gridCol w:w="4957"/>
        <w:gridCol w:w="487"/>
        <w:gridCol w:w="408"/>
        <w:gridCol w:w="4709"/>
        <w:gridCol w:w="405"/>
      </w:tblGrid>
      <w:tr>
        <w:trPr>
          <w:gridAfter w:val="1"/>
          <w:tblCellSpacing w:w="15" w:type="dxa"/>
        </w:trPr>
        <w:tc>
          <w:tcPr>
            <w:tcBorders/>
            <w:tcW w:w="224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Сублицензиар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/>
            <w:tcW w:w="20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tcBorders/>
            <w:tcW w:w="2316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Сублицензиат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gridAfter w:val="1"/>
          <w:tblCellSpacing w:w="15" w:type="dxa"/>
        </w:trPr>
        <w:tc>
          <w:tcPr>
            <w:tcBorders/>
            <w:tcW w:w="2249" w:type="pct"/>
            <w:textDirection w:val="lrTb"/>
            <w:noWrap w:val="false"/>
          </w:tcPr>
          <w:p w14:paraId="51E539FE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0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tcBorders/>
            <w:tcW w:w="2316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ИЯЗ РАН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br/>
              <w:t xml:space="preserve">ИНН 7704068008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КПП 770401001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br/>
              <w:t xml:space="preserve">Юридический адрес: 125009, Москва, Большой Кисловский пер, д 1, стр 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br/>
              <w:t xml:space="preserve">Фактический адрес: 125009, Москва, Большой Кисловский пер, д 1, стр 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br/>
              <w:t xml:space="preserve">Телефон: 8 (495) 690-35-85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 w14:paraId="3153ECB8">
            <w:pPr>
              <w:pBdr/>
              <w:spacing w:after="0"/>
              <w:ind/>
              <w:jc w:val="both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Наименование в УФК: УФК по г. Москве (ИЯз РАН; л/сч 20736Ч84440)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 w14:paraId="3904F3E1">
            <w:pPr>
              <w:pBdr/>
              <w:spacing w:after="0"/>
              <w:ind/>
              <w:jc w:val="both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Единый казначейский счет: 40102810545370000003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 w14:paraId="1B550226">
            <w:pPr>
              <w:pBdr/>
              <w:spacing w:after="0"/>
              <w:ind/>
              <w:jc w:val="both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Казначейский счет:03214643000000017300 (указывать как расчётный счёт получателя)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 w14:paraId="50F520E5">
            <w:pPr>
              <w:pBdr/>
              <w:spacing w:after="0"/>
              <w:ind/>
              <w:jc w:val="both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КБК 00000000000000000130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 w14:paraId="030C3B91">
            <w:pPr>
              <w:pBdr/>
              <w:spacing w:after="0"/>
              <w:ind/>
              <w:jc w:val="both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ОКПО: 02699109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 w14:paraId="7EDD635A">
            <w:pPr>
              <w:pBdr/>
              <w:spacing w:after="0"/>
              <w:ind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ОКТМО: 45374000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 w14:paraId="62E8683E">
            <w:pPr>
              <w:pBdr/>
              <w:spacing w:after="0"/>
              <w:ind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ОКАТО: 45286552000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</w:tr>
      <w:tr>
        <w:trPr>
          <w:gridAfter w:val="1"/>
          <w:tblCellSpacing w:w="15" w:type="dxa"/>
          <w:trHeight w:val="315"/>
        </w:trPr>
        <w:tc>
          <w:tcPr>
            <w:tcBorders/>
            <w:tcW w:w="2249" w:type="pct"/>
            <w:textDirection w:val="lrTb"/>
            <w:noWrap w:val="false"/>
          </w:tcPr>
          <w:p w14:paraId="098AEFEB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0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gridSpan w:val="2"/>
            <w:tcBorders/>
            <w:tcW w:w="2316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ИЯЗ РАН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gridAfter w:val="1"/>
          <w:tblCellSpacing w:w="15" w:type="dxa"/>
        </w:trPr>
        <w:tc>
          <w:tcPr>
            <w:tcBorders>
              <w:bottom w:val="single" w:color="000000" w:sz="6" w:space="0"/>
            </w:tcBorders>
            <w:tcW w:w="2249" w:type="pct"/>
            <w:vAlign w:val="bottom"/>
            <w:textDirection w:val="lrTb"/>
            <w:noWrap w:val="false"/>
          </w:tcPr>
          <w:tbl>
            <w:tblPr>
              <w:tblStyle w:val="927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pPr w:horzAnchor="margin" w:tblpXSpec="left" w:vertAnchor="page" w:tblpY="1" w:leftFromText="180" w:topFromText="0" w:rightFromText="180" w:bottomFromText="0"/>
              <w:tblOverlap w:val="never"/>
              <w:tblLook w:val="04A0" w:firstRow="1" w:lastRow="0" w:firstColumn="1" w:lastColumn="0" w:noHBand="0" w:noVBand="1"/>
            </w:tblPr>
            <w:tblGrid>
              <w:gridCol w:w="2399"/>
              <w:gridCol w:w="2399"/>
            </w:tblGrid>
            <w:tr>
              <w:trPr/>
              <w:tc>
                <w:tcPr>
                  <w:tcBorders/>
                  <w:tcW w:w="2399" w:type="dxa"/>
                  <w:vAlign w:val="bottom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r>
                  <w: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r>
                  <w: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r>
                </w:p>
              </w:tc>
              <w:tc>
                <w:tcPr>
                  <w:tcBorders/>
                  <w:tcW w:w="2399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ascii="Times New Roman" w:hAnsi="Times New Roman" w:eastAsia="Times New Roman" w:cs="Times New Roman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Cs w:val="20"/>
                      <w:lang w:val="en-US"/>
                    </w:rPr>
                    <w:t xml:space="preserve">/</w:t>
                  </w:r>
                  <w:r>
                    <w:rPr>
                      <w:rFonts w:ascii="Times New Roman" w:hAnsi="Times New Roman" w:eastAsia="Times New Roman" w:cs="Times New Roman"/>
                      <w:szCs w:val="20"/>
                      <w:lang w:val="ru-RU"/>
                    </w:rPr>
                    <w:t xml:space="preserve">                            </w:t>
                  </w:r>
                  <w:r>
                    <w:rPr>
                      <w:rFonts w:ascii="Times New Roman" w:hAnsi="Times New Roman" w:eastAsia="Times New Roman" w:cs="Times New Roman"/>
                      <w:szCs w:val="20"/>
                      <w:lang w:val="en-US"/>
                    </w:rPr>
                    <w:t xml:space="preserve">/</w:t>
                  </w:r>
                  <w:r>
                    <w:rPr>
                      <w:rFonts w:ascii="Times New Roman" w:hAnsi="Times New Roman" w:eastAsia="Times New Roman" w:cs="Times New Roman"/>
                      <w:szCs w:val="20"/>
                      <w:lang w:val="en-US"/>
                    </w:rPr>
                  </w:r>
                  <w:r>
                    <w:rPr>
                      <w:rFonts w:ascii="Times New Roman" w:hAnsi="Times New Roman" w:eastAsia="Times New Roman" w:cs="Times New Roman"/>
                      <w:szCs w:val="20"/>
                      <w:lang w:val="en-US"/>
                    </w:rPr>
                  </w:r>
                </w:p>
                <w:p>
                  <w:pPr>
                    <w:pBdr/>
                    <w:spacing/>
                    <w:ind/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r>
                  <w: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r>
                  <w: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r>
                </w:p>
                <w:p>
                  <w:pPr>
                    <w:pBdr/>
                    <w:spacing/>
                    <w:ind/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r>
                  <w: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r>
                  <w: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r>
                </w:p>
                <w:p>
                  <w:pPr>
                    <w:pBdr/>
                    <w:spacing/>
                    <w:ind/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r>
                  <w: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r>
                  <w: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r>
                </w:p>
              </w:tc>
            </w:tr>
          </w:tbl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Borders/>
            <w:tcW w:w="209" w:type="pct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gridSpan w:val="2"/>
            <w:tcBorders>
              <w:bottom w:val="single" w:color="000000" w:sz="6" w:space="0"/>
            </w:tcBorders>
            <w:tcW w:w="2316" w:type="pct"/>
            <w:vAlign w:val="bottom"/>
            <w:textDirection w:val="lrTb"/>
            <w:noWrap w:val="false"/>
          </w:tcPr>
          <w:tbl>
            <w:tblPr>
              <w:tblStyle w:val="927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pPr w:horzAnchor="margin" w:tblpXSpec="left" w:vertAnchor="page" w:tblpY="1" w:leftFromText="180" w:topFromText="0" w:rightFromText="180" w:bottomFromText="0"/>
              <w:tblOverlap w:val="never"/>
              <w:tblLook w:val="04A0" w:firstRow="1" w:lastRow="0" w:firstColumn="1" w:lastColumn="0" w:noHBand="0" w:noVBand="1"/>
            </w:tblPr>
            <w:tblGrid>
              <w:gridCol w:w="2399"/>
              <w:gridCol w:w="2399"/>
            </w:tblGrid>
            <w:tr>
              <w:trPr/>
              <w:tc>
                <w:tcPr>
                  <w:tcBorders/>
                  <w:tcW w:w="2399" w:type="dxa"/>
                  <w:vAlign w:val="bottom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r>
                  <w: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r>
                  <w: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r>
                </w:p>
              </w:tc>
              <w:tc>
                <w:tcPr>
                  <w:tcBorders/>
                  <w:tcW w:w="2399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Cs w:val="20"/>
                      <w:lang w:val="en-US"/>
                    </w:rPr>
                    <w:t xml:space="preserve">/Кибрик А. А./</w:t>
                  </w:r>
                  <w: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r>
                  <w: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r>
                </w:p>
              </w:tc>
            </w:tr>
          </w:tbl>
          <w:p>
            <w:pPr>
              <w:pBdr/>
              <w:spacing w:after="0" w:line="240" w:lineRule="auto"/>
              <w:ind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</w:p>
        </w:tc>
      </w:tr>
      <w:tr>
        <w:trPr>
          <w:tblCellSpacing w:w="15" w:type="dxa"/>
        </w:trPr>
        <w:tc>
          <w:tcPr>
            <w:tcBorders/>
            <w:tcMar>
              <w:left w:w="15" w:type="dxa"/>
              <w:top w:w="15" w:type="dxa"/>
              <w:right w:w="567" w:type="dxa"/>
              <w:bottom w:w="15" w:type="dxa"/>
            </w:tcMar>
            <w:tcW w:w="2249" w:type="pct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м.п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tcBorders/>
            <w:tcMar>
              <w:left w:w="15" w:type="dxa"/>
              <w:top w:w="15" w:type="dxa"/>
              <w:right w:w="567" w:type="dxa"/>
              <w:bottom w:w="15" w:type="dxa"/>
            </w:tcMar>
            <w:tcW w:w="382" w:type="pct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tcBorders/>
            <w:tcMar>
              <w:left w:w="15" w:type="dxa"/>
              <w:top w:w="15" w:type="dxa"/>
              <w:right w:w="567" w:type="dxa"/>
              <w:bottom w:w="15" w:type="dxa"/>
            </w:tcMar>
            <w:tcW w:w="2308" w:type="pct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м.п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</w:tbl>
    <w:p w14:paraId="00B10639"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Приложение № 1 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br/>
        <w:t xml:space="preserve">к Сублицензионному контракту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№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С-О-ПД-77/26-8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-634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9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от _______</w:t>
      </w:r>
      <w:r>
        <w:rPr>
          <w:rFonts w:ascii="Times New Roman" w:hAnsi="Times New Roman" w:eastAsia="Arial" w:cs="Times New Roman"/>
          <w:sz w:val="20"/>
          <w:szCs w:val="20"/>
        </w:rPr>
        <w:t xml:space="preserve">.2026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г.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 w14:paraId="45B8F04F">
      <w:pPr>
        <w:pStyle w:val="926"/>
        <w:pBdr/>
        <w:spacing/>
        <w:ind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</w:r>
      <w:r>
        <w:rPr>
          <w:rFonts w:ascii="Times New Roman" w:hAnsi="Times New Roman" w:cs="Times New Roman"/>
          <w:sz w:val="20"/>
          <w:szCs w:val="20"/>
          <w:lang w:eastAsia="ru-RU"/>
        </w:rPr>
      </w:r>
      <w:r>
        <w:rPr>
          <w:rFonts w:ascii="Times New Roman" w:hAnsi="Times New Roman" w:cs="Times New Roman"/>
          <w:sz w:val="20"/>
          <w:szCs w:val="20"/>
          <w:lang w:eastAsia="ru-RU"/>
        </w:rPr>
      </w:r>
    </w:p>
    <w:tbl>
      <w:tblPr>
        <w:tblInd w:w="75" w:type="dxa"/>
        <w:tblW w:w="10488" w:type="dxa"/>
        <w:tblCellMar>
          <w:left w:w="7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2691"/>
        <w:gridCol w:w="1293"/>
        <w:gridCol w:w="1185"/>
        <w:gridCol w:w="1633"/>
        <w:gridCol w:w="1843"/>
        <w:gridCol w:w="1843"/>
      </w:tblGrid>
      <w:tr>
        <w:trPr>
          <w:trHeight w:val="848"/>
        </w:trPr>
        <w:tc>
          <w:tcPr>
            <w:shd w:val="clear" w:color="ffffff" w:fill="ffffff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6" w:space="0"/>
            </w:tcBorders>
            <w:tcW w:w="2693" w:type="dxa"/>
            <w:vAlign w:val="center"/>
            <w:textDirection w:val="lrTb"/>
            <w:noWrap w:val="false"/>
          </w:tcPr>
          <w:p w14:paraId="5A45BFBF">
            <w:pPr>
              <w:pBdr/>
              <w:spacing w:after="20" w:before="20"/>
              <w:ind w:right="20" w:hanging="20" w:left="2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zCs w:val="18"/>
              </w:rPr>
              <w:t xml:space="preserve">Простые (неисключительные) лицензии на Программы</w:t>
            </w:r>
            <w:r/>
          </w:p>
        </w:tc>
        <w:tc>
          <w:tcPr>
            <w:shd w:val="clear" w:color="ffffff" w:fill="ffffff"/>
            <w:tcBorders>
              <w:top w:val="single" w:color="000000" w:sz="12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293" w:type="dxa"/>
            <w:vAlign w:val="center"/>
            <w:textDirection w:val="lrTb"/>
            <w:noWrap w:val="false"/>
          </w:tcPr>
          <w:p w14:paraId="34CC0A1B">
            <w:pPr>
              <w:pBdr/>
              <w:spacing w:after="20" w:before="20"/>
              <w:ind w:right="20" w:hanging="20" w:left="2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zCs w:val="18"/>
              </w:rPr>
              <w:t xml:space="preserve">Цена за единицу, руб.</w:t>
            </w:r>
            <w:r/>
          </w:p>
        </w:tc>
        <w:tc>
          <w:tcPr>
            <w:shd w:val="clear" w:color="ffffff" w:fill="ffffff"/>
            <w:tcBorders>
              <w:top w:val="single" w:color="000000" w:sz="12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185" w:type="dxa"/>
            <w:vAlign w:val="center"/>
            <w:textDirection w:val="lrTb"/>
            <w:noWrap w:val="false"/>
          </w:tcPr>
          <w:p w14:paraId="27E8F015">
            <w:pPr>
              <w:pBdr/>
              <w:spacing w:after="20" w:before="20"/>
              <w:ind w:right="20" w:left="2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zCs w:val="18"/>
              </w:rPr>
              <w:t xml:space="preserve">Кол-во</w:t>
            </w:r>
            <w:r/>
          </w:p>
        </w:tc>
        <w:tc>
          <w:tcPr>
            <w:shd w:val="clear" w:color="ffffff" w:fill="ffffff"/>
            <w:tcBorders>
              <w:top w:val="single" w:color="000000" w:sz="12" w:space="0"/>
              <w:left w:val="single" w:color="000000" w:sz="6" w:space="0"/>
              <w:bottom w:val="single" w:color="000000" w:sz="4" w:space="0"/>
              <w:right w:val="single" w:color="000000" w:sz="12" w:space="0"/>
            </w:tcBorders>
            <w:tcW w:w="1633" w:type="dxa"/>
            <w:vAlign w:val="center"/>
            <w:textDirection w:val="lrTb"/>
            <w:noWrap w:val="false"/>
          </w:tcPr>
          <w:p w14:paraId="1D442264">
            <w:pPr>
              <w:pBdr/>
              <w:spacing w:after="20" w:before="20"/>
              <w:ind w:right="20" w:hanging="20" w:left="2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zCs w:val="18"/>
              </w:rPr>
              <w:t xml:space="preserve">Сумма, руб.</w:t>
            </w:r>
            <w:r/>
          </w:p>
        </w:tc>
        <w:tc>
          <w:tcPr>
            <w:shd w:val="clear" w:color="ffffff" w:fill="ffffff"/>
            <w:tcBorders>
              <w:top w:val="single" w:color="000000" w:sz="12" w:space="0"/>
              <w:left w:val="single" w:color="000000" w:sz="6" w:space="0"/>
              <w:bottom w:val="single" w:color="000000" w:sz="4" w:space="0"/>
              <w:right w:val="single" w:color="000000" w:sz="12" w:space="0"/>
            </w:tcBorders>
            <w:tcW w:w="1843" w:type="dxa"/>
            <w:vAlign w:val="center"/>
            <w:textDirection w:val="lrTb"/>
            <w:noWrap w:val="false"/>
          </w:tcPr>
          <w:p w14:paraId="2E087492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Страна происхождения программного обеспечения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 w14:paraId="3C52BDD0">
            <w:pPr>
              <w:pBdr/>
              <w:spacing/>
              <w:ind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  <w:tc>
          <w:tcPr>
            <w:shd w:val="clear" w:color="ffffff" w:fill="ffffff"/>
            <w:tcBorders>
              <w:top w:val="single" w:color="000000" w:sz="12" w:space="0"/>
              <w:left w:val="single" w:color="000000" w:sz="6" w:space="0"/>
              <w:bottom w:val="single" w:color="000000" w:sz="4" w:space="0"/>
              <w:right w:val="single" w:color="000000" w:sz="12" w:space="0"/>
            </w:tcBorders>
            <w:tcW w:w="1843" w:type="dxa"/>
            <w:vAlign w:val="center"/>
            <w:textDirection w:val="lrTb"/>
            <w:noWrap w:val="false"/>
          </w:tcPr>
          <w:p w14:paraId="6C33C16F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ОКПД2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 w14:paraId="4E7FF28B">
            <w:pPr>
              <w:pBdr/>
              <w:spacing/>
              <w:ind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</w:tr>
      <w:tr>
        <w:trPr>
          <w:trHeight w:val="84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6" w:space="0"/>
            </w:tcBorders>
            <w:tcW w:w="2693" w:type="dxa"/>
            <w:textDirection w:val="lrTb"/>
            <w:noWrap w:val="false"/>
          </w:tcPr>
          <w:p w14:paraId="5C5F13F4">
            <w:pPr>
              <w:pBdr/>
              <w:spacing w:after="20" w:before="20"/>
              <w:ind w:right="20" w:hanging="20" w:left="20"/>
              <w:rPr/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Предоставление права использования Средства защиты информации Secret Net Studio 8 (реестровая запись № 3855 от 16.08.2017) сроком на 1 год в комплектации "Максимальная защита"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 дополнительными функциональными возможностями на 1 компьютер:защита от НСД; контроль устройств; защита диска и шифрование контейнеров;персональный межсетевой экран; антивирус (технология Касперского); обнаружение и предотвращение вторжений.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293" w:type="dxa"/>
            <w:textDirection w:val="lrTb"/>
            <w:noWrap w:val="false"/>
          </w:tcPr>
          <w:p w14:paraId="45A03323"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185" w:type="dxa"/>
            <w:textDirection w:val="lrTb"/>
            <w:noWrap w:val="false"/>
          </w:tcPr>
          <w:p w14:paraId="64C414FE">
            <w:pPr>
              <w:pBdr/>
              <w:spacing w:after="20" w:before="20"/>
              <w:ind w:right="20" w:hanging="20"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12" w:space="0"/>
            </w:tcBorders>
            <w:tcW w:w="1633" w:type="dxa"/>
            <w:textDirection w:val="lrTb"/>
            <w:noWrap w:val="false"/>
          </w:tcPr>
          <w:p w14:paraId="131D1454"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12" w:space="0"/>
            </w:tcBorders>
            <w:tcW w:w="1843" w:type="dxa"/>
            <w:textDirection w:val="lrTb"/>
            <w:noWrap w:val="false"/>
          </w:tcPr>
          <w:p w14:paraId="027D22B4"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12" w:space="0"/>
            </w:tcBorders>
            <w:tcW w:w="1843" w:type="dxa"/>
            <w:textDirection w:val="lrTb"/>
            <w:noWrap w:val="false"/>
          </w:tcPr>
          <w:p w14:paraId="1BF808CE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58.29.11.000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 w14:paraId="598A8C6D"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84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6" w:space="0"/>
            </w:tcBorders>
            <w:tcW w:w="2693" w:type="dxa"/>
            <w:textDirection w:val="lrTb"/>
            <w:noWrap w:val="false"/>
          </w:tcPr>
          <w:p w14:paraId="370F60A2">
            <w:pPr>
              <w:pBdr/>
              <w:spacing w:after="20" w:before="20"/>
              <w:ind w:right="20" w:hanging="20" w:left="20"/>
              <w:rPr/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Предоставление прав на использование "Сканер-ВС".НПЕШ.00606-01 (Реестровая запись № 231 от 18.03.2016) сроком на 1 год, лицензия на 4 IP адреса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293" w:type="dxa"/>
            <w:textDirection w:val="lrTb"/>
            <w:noWrap w:val="false"/>
          </w:tcPr>
          <w:p w14:paraId="7E8A28B3"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185" w:type="dxa"/>
            <w:textDirection w:val="lrTb"/>
            <w:noWrap w:val="false"/>
          </w:tcPr>
          <w:p w14:paraId="215389D5">
            <w:pPr>
              <w:pBdr/>
              <w:spacing w:after="20" w:before="20"/>
              <w:ind w:right="20" w:hanging="20"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12" w:space="0"/>
            </w:tcBorders>
            <w:tcW w:w="1633" w:type="dxa"/>
            <w:textDirection w:val="lrTb"/>
            <w:noWrap w:val="false"/>
          </w:tcPr>
          <w:p w14:paraId="4DE47932"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12" w:space="0"/>
            </w:tcBorders>
            <w:tcW w:w="1843" w:type="dxa"/>
            <w:textDirection w:val="lrTb"/>
            <w:noWrap w:val="false"/>
          </w:tcPr>
          <w:p w14:paraId="36D1607A"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12" w:space="0"/>
            </w:tcBorders>
            <w:tcW w:w="1843" w:type="dxa"/>
            <w:textDirection w:val="lrTb"/>
            <w:noWrap w:val="false"/>
          </w:tcPr>
          <w:p w14:paraId="4DB0DD0F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58.29.11.000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 w14:paraId="29FA5D69"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84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tcW w:w="2693" w:type="dxa"/>
            <w:textDirection w:val="lrTb"/>
            <w:noWrap w:val="false"/>
          </w:tcPr>
          <w:p w14:paraId="474340BE">
            <w:pPr>
              <w:pBdr/>
              <w:spacing w:after="20" w:before="20"/>
              <w:ind w:right="20" w:hanging="20" w:left="20"/>
              <w:rPr/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Предоставление права использования на ПП «SecretDoc»* (реестровая запись № 10516 от 06.05.2021) сроком на 1 год с дополнительными функциональными возможностями.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tcW w:w="1293" w:type="dxa"/>
            <w:textDirection w:val="lrTb"/>
            <w:noWrap w:val="false"/>
          </w:tcPr>
          <w:p w14:paraId="47B7F4F9"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tcW w:w="1185" w:type="dxa"/>
            <w:textDirection w:val="lrTb"/>
            <w:noWrap w:val="false"/>
          </w:tcPr>
          <w:p w14:paraId="5113050F">
            <w:pPr>
              <w:pBdr/>
              <w:spacing w:after="20" w:before="20"/>
              <w:ind w:right="20" w:hanging="20"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tcW w:w="1633" w:type="dxa"/>
            <w:textDirection w:val="lrTb"/>
            <w:noWrap w:val="false"/>
          </w:tcPr>
          <w:p w14:paraId="5614E011"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tcW w:w="1843" w:type="dxa"/>
            <w:textDirection w:val="lrTb"/>
            <w:noWrap w:val="false"/>
          </w:tcPr>
          <w:p w14:paraId="62EDA9AC"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tcW w:w="1843" w:type="dxa"/>
            <w:textDirection w:val="lrTb"/>
            <w:noWrap w:val="false"/>
          </w:tcPr>
          <w:p w14:paraId="15F3475D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58.29.11.000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 w14:paraId="019FFFD3"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 w14:paraId="0C422BC5">
      <w:pPr>
        <w:pStyle w:val="926"/>
        <w:pBdr/>
        <w:spacing/>
        <w:ind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Всего на сумму </w:t>
      </w:r>
      <w:r>
        <w:rPr>
          <w:rFonts w:ascii="Times New Roman" w:hAnsi="Times New Roman" w:cs="Times New Roman"/>
          <w:b/>
          <w:sz w:val="20"/>
          <w:szCs w:val="20"/>
        </w:rPr>
        <w:t xml:space="preserve">____________ руб. (_______________________________ рублей ____ копеек)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, без НДС.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Не подлежит налогообложению НДС в соответствии с пп. 26 п. 2 ст. 149 Налогового Кодекса РФ. </w:t>
      </w:r>
      <w:r>
        <w:rPr>
          <w:rFonts w:ascii="Times New Roman" w:hAnsi="Times New Roman" w:cs="Times New Roman"/>
          <w:sz w:val="20"/>
          <w:szCs w:val="20"/>
          <w:lang w:eastAsia="ru-RU"/>
        </w:rPr>
      </w:r>
      <w:r>
        <w:rPr>
          <w:rFonts w:ascii="Times New Roman" w:hAnsi="Times New Roman" w:cs="Times New Roman"/>
          <w:sz w:val="20"/>
          <w:szCs w:val="20"/>
          <w:lang w:eastAsia="ru-RU"/>
        </w:rPr>
      </w:r>
    </w:p>
    <w:p w14:paraId="7A105093">
      <w:pPr>
        <w:pBdr/>
        <w:spacing/>
        <w:ind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*В целях полноценной эксплуатации программного обеспечения Сублицензиар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ом предоставляется:</w:t>
      </w:r>
      <w:r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- Установка и настройка средств защиты информации</w:t>
      </w:r>
      <w:r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- Оценка эффективности реализованных мер объекта информатизации в соответствии с требованиями безопасности информации</w:t>
      </w:r>
      <w:r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- Комплект типовой организационно-распорядительной документации, в э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лектронном виде, подписанный электронной подписью, на цифровом носителе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cs="Times New Roman"/>
          <w:sz w:val="20"/>
          <w:szCs w:val="20"/>
          <w:lang w:eastAsia="ru-RU"/>
        </w:rPr>
      </w:r>
      <w:r>
        <w:rPr>
          <w:rFonts w:ascii="Times New Roman" w:hAnsi="Times New Roman" w:cs="Times New Roman"/>
          <w:sz w:val="20"/>
          <w:szCs w:val="20"/>
          <w:lang w:eastAsia="ru-RU"/>
        </w:rPr>
      </w:r>
    </w:p>
    <w:tbl>
      <w:tblPr>
        <w:tblInd w:w="15" w:type="dxa"/>
        <w:tblW w:w="5000" w:type="pct"/>
        <w:tblCellMar>
          <w:left w:w="15" w:type="dxa"/>
          <w:top w:w="15" w:type="dxa"/>
          <w:right w:w="15" w:type="dxa"/>
          <w:bottom w:w="1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162"/>
        <w:gridCol w:w="76"/>
        <w:gridCol w:w="621"/>
        <w:gridCol w:w="30"/>
        <w:gridCol w:w="5488"/>
      </w:tblGrid>
      <w:tr>
        <w:trPr/>
        <w:tc>
          <w:tcPr>
            <w:gridSpan w:val="2"/>
            <w:tcBorders/>
            <w:tcW w:w="4226" w:type="dxa"/>
            <w:vAlign w:val="center"/>
            <w:textDirection w:val="lrTb"/>
            <w:noWrap w:val="false"/>
          </w:tcPr>
          <w:p w14:paraId="7A9DDF1A"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От Сублицензиара: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/>
            <w:tcW w:w="619" w:type="dxa"/>
            <w:vAlign w:val="center"/>
            <w:textDirection w:val="lrTb"/>
            <w:noWrap w:val="false"/>
          </w:tcPr>
          <w:p w14:paraId="3C64BF8C"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tcBorders/>
            <w:tcW w:w="5502" w:type="dxa"/>
            <w:vAlign w:val="center"/>
            <w:textDirection w:val="lrTb"/>
            <w:noWrap w:val="false"/>
          </w:tcPr>
          <w:p w14:paraId="41B5D75F"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От Сублицензиата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gridSpan w:val="2"/>
            <w:tcBorders/>
            <w:tcW w:w="4226" w:type="dxa"/>
            <w:textDirection w:val="lrTb"/>
            <w:noWrap w:val="false"/>
          </w:tcPr>
          <w:p w14:paraId="43DB6AB0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619" w:type="dxa"/>
            <w:textDirection w:val="lrTb"/>
            <w:noWrap w:val="false"/>
          </w:tcPr>
          <w:p w14:paraId="003F25D0"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tcBorders/>
            <w:tcW w:w="5502" w:type="dxa"/>
            <w:textDirection w:val="lrTb"/>
            <w:noWrap w:val="false"/>
          </w:tcPr>
          <w:p w14:paraId="3A78E63E"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Директор ИЯз РАН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bottom w:val="single" w:color="000000" w:sz="6" w:space="0"/>
            </w:tcBorders>
            <w:tcW w:w="4150" w:type="dxa"/>
            <w:textDirection w:val="lrTb"/>
            <w:noWrap w:val="false"/>
          </w:tcPr>
          <w:p w14:paraId="25DE9527">
            <w:pPr>
              <w:pBdr/>
              <w:spacing w:after="0" w:line="240" w:lineRule="auto"/>
              <w:ind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</w:p>
          <w:p w14:paraId="4045FDD3">
            <w:pPr>
              <w:pBdr/>
              <w:spacing w:after="0" w:line="240" w:lineRule="auto"/>
              <w:ind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</w:t>
            </w:r>
            <w:r>
              <w:rPr>
                <w:sz w:val="20"/>
                <w:szCs w:val="20"/>
                <w:lang w:val="ru-RU"/>
              </w:rPr>
              <w:t xml:space="preserve">__________</w:t>
            </w:r>
            <w:r>
              <w:rPr>
                <w:sz w:val="20"/>
                <w:szCs w:val="20"/>
                <w:lang w:val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gridSpan w:val="3"/>
            <w:tcBorders/>
            <w:tcW w:w="725" w:type="dxa"/>
            <w:textDirection w:val="lrTb"/>
            <w:noWrap w:val="false"/>
          </w:tcPr>
          <w:p w14:paraId="01546EBF">
            <w:pPr>
              <w:pBdr/>
              <w:spacing w:after="0" w:line="240" w:lineRule="auto"/>
              <w:ind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bottom w:val="single" w:color="000000" w:sz="6" w:space="0"/>
            </w:tcBorders>
            <w:tcW w:w="5472" w:type="dxa"/>
            <w:vAlign w:val="bottom"/>
            <w:textDirection w:val="lrTb"/>
            <w:noWrap w:val="false"/>
          </w:tcPr>
          <w:p w14:paraId="6E502B3E">
            <w:pPr>
              <w:pBdr/>
              <w:spacing w:after="0" w:line="240" w:lineRule="auto"/>
              <w:ind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  <w:p w14:paraId="53B12A9B">
            <w:pPr>
              <w:pBdr/>
              <w:spacing w:after="0" w:line="240" w:lineRule="auto"/>
              <w:ind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Кибрик А.А.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</w:p>
        </w:tc>
      </w:tr>
      <w:tr>
        <w:trPr/>
        <w:tc>
          <w:tcPr>
            <w:gridSpan w:val="2"/>
            <w:tcBorders/>
            <w:tcMar>
              <w:left w:w="15" w:type="dxa"/>
              <w:top w:w="15" w:type="dxa"/>
              <w:right w:w="567" w:type="dxa"/>
              <w:bottom w:w="15" w:type="dxa"/>
            </w:tcMar>
            <w:tcW w:w="4226" w:type="dxa"/>
            <w:vAlign w:val="center"/>
            <w:textDirection w:val="lrTb"/>
            <w:noWrap w:val="false"/>
          </w:tcPr>
          <w:p w14:paraId="7DAAE4FE"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/>
            <w:tcMar>
              <w:left w:w="15" w:type="dxa"/>
              <w:top w:w="15" w:type="dxa"/>
              <w:right w:w="567" w:type="dxa"/>
              <w:bottom w:w="15" w:type="dxa"/>
            </w:tcMar>
            <w:tcW w:w="619" w:type="dxa"/>
            <w:vAlign w:val="center"/>
            <w:textDirection w:val="lrTb"/>
            <w:noWrap w:val="false"/>
          </w:tcPr>
          <w:p w14:paraId="6DFA4E19"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tcBorders/>
            <w:tcMar>
              <w:left w:w="15" w:type="dxa"/>
              <w:top w:w="15" w:type="dxa"/>
              <w:right w:w="567" w:type="dxa"/>
              <w:bottom w:w="15" w:type="dxa"/>
            </w:tcMar>
            <w:tcW w:w="5502" w:type="dxa"/>
            <w:vAlign w:val="center"/>
            <w:textDirection w:val="lrTb"/>
            <w:noWrap w:val="false"/>
          </w:tcPr>
          <w:p w14:paraId="54D15517"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</w:tbl>
    <w:p w14:paraId="75CC6CC0"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sz w:val="20"/>
          <w:szCs w:val="20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sz w:val="20"/>
          <w:szCs w:val="20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Приложение № 2 от</w:t>
      </w:r>
      <w:r>
        <w:rPr>
          <w:rFonts w:ascii="Times New Roman" w:hAnsi="Times New Roman" w:eastAsia="Arial" w:cs="Times New Roman"/>
          <w:sz w:val="20"/>
          <w:szCs w:val="20"/>
        </w:rPr>
        <w:t xml:space="preserve">                      .2026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г.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br/>
        <w:t xml:space="preserve">к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Субл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ицензионному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Контракту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№ С-О-ПД-77/26-8-6349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от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Arial" w:cs="Times New Roman"/>
          <w:sz w:val="20"/>
          <w:szCs w:val="20"/>
        </w:rPr>
        <w:t xml:space="preserve">31.08.2026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г.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eastAsia="ru-RU"/>
        </w:rPr>
      </w:r>
    </w:p>
    <w:p w14:paraId="68E099EB"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sz w:val="20"/>
          <w:szCs w:val="20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eastAsia="ru-RU"/>
        </w:rPr>
      </w:r>
    </w:p>
    <w:p w14:paraId="49F61EB9">
      <w:pPr>
        <w:widowControl w:val="false"/>
        <w:pBdr/>
        <w:spacing w:line="276" w:lineRule="auto"/>
        <w:ind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ТЕХНИЧЕСКОЕ ЗАДАНИЕ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 w14:paraId="2039F0EF">
      <w:pPr>
        <w:widowControl w:val="false"/>
        <w:pBdr/>
        <w:spacing w:line="276" w:lineRule="auto"/>
        <w:ind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 w14:paraId="30101AB3">
      <w:pPr>
        <w:pBdr/>
        <w:spacing w:line="276" w:lineRule="auto"/>
        <w:ind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на предоставление прав на средства защиты информации для подключения информационной системы персональных данных </w:t>
      </w:r>
      <w:r>
        <w:rPr>
          <w:rFonts w:ascii="Times New Roman" w:hAnsi="Times New Roman" w:cs="Times New Roman"/>
          <w:b/>
          <w:bCs/>
        </w:rPr>
        <w:t xml:space="preserve">Федерального государственного бюджетного учреждения науки Институт языкознания Российской академии наук к ИТКИ 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 w14:paraId="26E423F0">
      <w:pPr>
        <w:pBdr/>
        <w:spacing w:line="276" w:lineRule="auto"/>
        <w:ind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ПЕРЕЧЕНЬ ПРИНЯТЫХ СОКРАЩЕНИЙ И ОБОЗНАЧЕНИЙ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tbl>
      <w:tblPr>
        <w:tblInd w:w="-106" w:type="dxa"/>
        <w:tblW w:w="9923" w:type="dxa"/>
        <w:tblBorders/>
        <w:tblLayout w:type="fixed"/>
        <w:tblLook w:val="0000" w:firstRow="0" w:lastRow="0" w:firstColumn="0" w:lastColumn="0" w:noHBand="0" w:noVBand="0"/>
      </w:tblPr>
      <w:tblGrid>
        <w:gridCol w:w="3049"/>
        <w:gridCol w:w="6874"/>
      </w:tblGrid>
      <w:tr>
        <w:trPr>
          <w:trHeight w:val="454"/>
        </w:trPr>
        <w:tc>
          <w:tcPr>
            <w:tcBorders/>
            <w:tcW w:w="3049" w:type="dxa"/>
            <w:vAlign w:val="center"/>
            <w:textDirection w:val="lrTb"/>
            <w:noWrap w:val="false"/>
          </w:tcPr>
          <w:p w14:paraId="575E57B6">
            <w:pPr>
              <w:pBdr/>
              <w:spacing w:line="276" w:lineRule="auto"/>
              <w:ind/>
              <w:rPr>
                <w:rFonts w:ascii="Times New Roman" w:hAnsi="Times New Roman" w:cs="Times New Roman"/>
                <w:spacing w:val="-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lang w:eastAsia="ru-RU"/>
              </w:rPr>
              <w:t xml:space="preserve">АРМ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</w:p>
        </w:tc>
        <w:tc>
          <w:tcPr>
            <w:tcBorders/>
            <w:tcW w:w="6874" w:type="dxa"/>
            <w:vAlign w:val="center"/>
            <w:textDirection w:val="lrTb"/>
            <w:noWrap w:val="false"/>
          </w:tcPr>
          <w:p w14:paraId="6FA0F695">
            <w:pPr>
              <w:pBdr/>
              <w:spacing w:line="276" w:lineRule="auto"/>
              <w:ind/>
              <w:rPr>
                <w:rFonts w:ascii="Times New Roman" w:hAnsi="Times New Roman" w:cs="Times New Roman"/>
                <w:spacing w:val="-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lang w:eastAsia="ru-RU"/>
              </w:rPr>
              <w:t xml:space="preserve">Автоматизированное рабочее место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</w:p>
        </w:tc>
      </w:tr>
      <w:tr>
        <w:trPr>
          <w:trHeight w:val="454"/>
        </w:trPr>
        <w:tc>
          <w:tcPr>
            <w:tcBorders/>
            <w:tcW w:w="3049" w:type="dxa"/>
            <w:vAlign w:val="center"/>
            <w:textDirection w:val="lrTb"/>
            <w:noWrap w:val="false"/>
          </w:tcPr>
          <w:p w14:paraId="6BB46B7D">
            <w:pPr>
              <w:pBdr/>
              <w:spacing w:line="276" w:lineRule="auto"/>
              <w:ind/>
              <w:rPr>
                <w:rFonts w:ascii="Times New Roman" w:hAnsi="Times New Roman" w:cs="Times New Roman"/>
                <w:spacing w:val="-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lang w:eastAsia="ru-RU"/>
              </w:rPr>
              <w:t xml:space="preserve">ИСПДн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</w:p>
        </w:tc>
        <w:tc>
          <w:tcPr>
            <w:tcBorders/>
            <w:tcW w:w="6874" w:type="dxa"/>
            <w:vAlign w:val="center"/>
            <w:textDirection w:val="lrTb"/>
            <w:noWrap w:val="false"/>
          </w:tcPr>
          <w:p w14:paraId="6A4DA3A4">
            <w:pPr>
              <w:pBdr/>
              <w:spacing w:line="276" w:lineRule="auto"/>
              <w:ind/>
              <w:rPr>
                <w:rFonts w:ascii="Times New Roman" w:hAnsi="Times New Roman" w:cs="Times New Roman"/>
                <w:spacing w:val="-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lang w:eastAsia="ru-RU"/>
              </w:rPr>
              <w:t xml:space="preserve">Информационная (-ых) система (-х) персональных данных 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</w:p>
        </w:tc>
      </w:tr>
      <w:tr>
        <w:trPr>
          <w:trHeight w:val="454"/>
        </w:trPr>
        <w:tc>
          <w:tcPr>
            <w:tcBorders/>
            <w:tcW w:w="3049" w:type="dxa"/>
            <w:vAlign w:val="center"/>
            <w:textDirection w:val="lrTb"/>
            <w:noWrap w:val="false"/>
          </w:tcPr>
          <w:p w14:paraId="42DA844A">
            <w:pPr>
              <w:pBdr/>
              <w:spacing w:line="276" w:lineRule="auto"/>
              <w:ind/>
              <w:rPr>
                <w:rFonts w:ascii="Times New Roman" w:hAnsi="Times New Roman" w:cs="Times New Roman"/>
                <w:spacing w:val="-1"/>
                <w:lang w:eastAsia="ru-RU"/>
              </w:rPr>
            </w:pPr>
            <w:r/>
            <w:bookmarkStart w:id="1" w:name="_Hlk204010695"/>
            <w:r>
              <w:rPr>
                <w:rFonts w:ascii="Times New Roman" w:hAnsi="Times New Roman" w:cs="Times New Roman"/>
                <w:spacing w:val="-1"/>
                <w:lang w:eastAsia="ru-RU"/>
              </w:rPr>
              <w:t xml:space="preserve">ИТКИ </w:t>
            </w:r>
            <w:bookmarkEnd w:id="1"/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</w:p>
        </w:tc>
        <w:tc>
          <w:tcPr>
            <w:tcBorders/>
            <w:tcW w:w="6874" w:type="dxa"/>
            <w:vAlign w:val="center"/>
            <w:textDirection w:val="lrTb"/>
            <w:noWrap w:val="false"/>
          </w:tcPr>
          <w:p w14:paraId="3F948F82">
            <w:pPr>
              <w:pBdr/>
              <w:spacing w:line="276" w:lineRule="auto"/>
              <w:ind/>
              <w:rPr>
                <w:rFonts w:ascii="Times New Roman" w:hAnsi="Times New Roman" w:cs="Times New Roman"/>
                <w:spacing w:val="-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lang w:eastAsia="ru-RU"/>
              </w:rPr>
              <w:t xml:space="preserve">Информационно-телекоммуникационная инфраструктура Министерства науки и высшего образования Российской Федерации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</w:p>
        </w:tc>
      </w:tr>
      <w:tr>
        <w:trPr>
          <w:trHeight w:val="454"/>
        </w:trPr>
        <w:tc>
          <w:tcPr>
            <w:tcBorders/>
            <w:tcW w:w="3049" w:type="dxa"/>
            <w:vAlign w:val="center"/>
            <w:textDirection w:val="lrTb"/>
            <w:noWrap w:val="false"/>
          </w:tcPr>
          <w:p w14:paraId="59275B11">
            <w:pPr>
              <w:pBdr/>
              <w:spacing w:line="276" w:lineRule="auto"/>
              <w:ind/>
              <w:rPr>
                <w:rFonts w:ascii="Times New Roman" w:hAnsi="Times New Roman" w:cs="Times New Roman"/>
                <w:spacing w:val="-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lang w:eastAsia="ru-RU"/>
              </w:rPr>
              <w:t xml:space="preserve">НСД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</w:p>
        </w:tc>
        <w:tc>
          <w:tcPr>
            <w:tcBorders/>
            <w:tcW w:w="6874" w:type="dxa"/>
            <w:vAlign w:val="center"/>
            <w:textDirection w:val="lrTb"/>
            <w:noWrap w:val="false"/>
          </w:tcPr>
          <w:p w14:paraId="516D7DDB">
            <w:pPr>
              <w:pBdr/>
              <w:spacing w:line="276" w:lineRule="auto"/>
              <w:ind/>
              <w:rPr>
                <w:rFonts w:ascii="Times New Roman" w:hAnsi="Times New Roman" w:cs="Times New Roman"/>
                <w:spacing w:val="-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lang w:eastAsia="ru-RU"/>
              </w:rPr>
              <w:t xml:space="preserve">Несанкционированный доступ к информации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</w:p>
        </w:tc>
      </w:tr>
      <w:tr>
        <w:trPr>
          <w:trHeight w:val="454"/>
        </w:trPr>
        <w:tc>
          <w:tcPr>
            <w:tcBorders/>
            <w:tcW w:w="3049" w:type="dxa"/>
            <w:vAlign w:val="center"/>
            <w:textDirection w:val="lrTb"/>
            <w:noWrap w:val="false"/>
          </w:tcPr>
          <w:p w14:paraId="2FD72DA6">
            <w:pPr>
              <w:pBdr/>
              <w:spacing w:line="276" w:lineRule="auto"/>
              <w:ind/>
              <w:rPr>
                <w:rFonts w:ascii="Times New Roman" w:hAnsi="Times New Roman" w:cs="Times New Roman"/>
                <w:spacing w:val="-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lang w:eastAsia="ru-RU"/>
              </w:rPr>
              <w:t xml:space="preserve">ПДн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</w:p>
        </w:tc>
        <w:tc>
          <w:tcPr>
            <w:tcBorders/>
            <w:tcW w:w="6874" w:type="dxa"/>
            <w:vAlign w:val="center"/>
            <w:textDirection w:val="lrTb"/>
            <w:noWrap w:val="false"/>
          </w:tcPr>
          <w:p w14:paraId="56C4592A">
            <w:pPr>
              <w:pBdr/>
              <w:spacing w:line="276" w:lineRule="auto"/>
              <w:ind/>
              <w:rPr>
                <w:rFonts w:ascii="Times New Roman" w:hAnsi="Times New Roman" w:cs="Times New Roman"/>
                <w:spacing w:val="-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lang w:eastAsia="ru-RU"/>
              </w:rPr>
              <w:t xml:space="preserve">Персональные данные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</w:p>
        </w:tc>
      </w:tr>
      <w:tr>
        <w:trPr>
          <w:trHeight w:val="454"/>
        </w:trPr>
        <w:tc>
          <w:tcPr>
            <w:tcBorders/>
            <w:tcW w:w="3049" w:type="dxa"/>
            <w:vAlign w:val="center"/>
            <w:textDirection w:val="lrTb"/>
            <w:noWrap w:val="false"/>
          </w:tcPr>
          <w:p w14:paraId="3B3D71DC">
            <w:pPr>
              <w:pBdr/>
              <w:spacing w:line="276" w:lineRule="auto"/>
              <w:ind/>
              <w:rPr>
                <w:rFonts w:ascii="Times New Roman" w:hAnsi="Times New Roman" w:cs="Times New Roman"/>
                <w:spacing w:val="-1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</w:rPr>
              <w:t xml:space="preserve">ПП «SecretDoc»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</w:p>
        </w:tc>
        <w:tc>
          <w:tcPr>
            <w:tcBorders/>
            <w:tcW w:w="6874" w:type="dxa"/>
            <w:vAlign w:val="center"/>
            <w:textDirection w:val="lrTb"/>
            <w:noWrap w:val="false"/>
          </w:tcPr>
          <w:p w14:paraId="6AB00B0A">
            <w:pPr>
              <w:pBdr/>
              <w:spacing w:line="276" w:lineRule="auto"/>
              <w:ind/>
              <w:rPr>
                <w:rFonts w:ascii="Times New Roman" w:hAnsi="Times New Roman" w:cs="Times New Roman"/>
                <w:spacing w:val="-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lang w:eastAsia="ru-RU"/>
              </w:rPr>
              <w:t xml:space="preserve">Программный продукт «SecretDoc»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</w:p>
        </w:tc>
      </w:tr>
      <w:tr>
        <w:trPr>
          <w:trHeight w:val="454"/>
        </w:trPr>
        <w:tc>
          <w:tcPr>
            <w:tcBorders/>
            <w:tcW w:w="3049" w:type="dxa"/>
            <w:vAlign w:val="center"/>
            <w:textDirection w:val="lrTb"/>
            <w:noWrap w:val="false"/>
          </w:tcPr>
          <w:p w14:paraId="0AF498A0">
            <w:pPr>
              <w:pBdr/>
              <w:spacing w:line="276" w:lineRule="auto"/>
              <w:ind/>
              <w:rPr>
                <w:rFonts w:ascii="Times New Roman" w:hAnsi="Times New Roman" w:cs="Times New Roman"/>
                <w:spacing w:val="-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lang w:eastAsia="ru-RU"/>
              </w:rPr>
              <w:t xml:space="preserve">ПО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</w:p>
        </w:tc>
        <w:tc>
          <w:tcPr>
            <w:tcBorders/>
            <w:tcW w:w="6874" w:type="dxa"/>
            <w:vAlign w:val="center"/>
            <w:textDirection w:val="lrTb"/>
            <w:noWrap w:val="false"/>
          </w:tcPr>
          <w:p w14:paraId="3A382E91">
            <w:pPr>
              <w:pBdr/>
              <w:spacing w:line="276" w:lineRule="auto"/>
              <w:ind/>
              <w:rPr>
                <w:rFonts w:ascii="Times New Roman" w:hAnsi="Times New Roman" w:cs="Times New Roman"/>
                <w:spacing w:val="-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lang w:eastAsia="ru-RU"/>
              </w:rPr>
              <w:t xml:space="preserve">Программное обеспечение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</w:p>
        </w:tc>
      </w:tr>
      <w:tr>
        <w:trPr>
          <w:trHeight w:val="454"/>
        </w:trPr>
        <w:tc>
          <w:tcPr>
            <w:tcBorders/>
            <w:tcW w:w="3049" w:type="dxa"/>
            <w:vAlign w:val="center"/>
            <w:textDirection w:val="lrTb"/>
            <w:noWrap w:val="false"/>
          </w:tcPr>
          <w:p w14:paraId="53FF9345">
            <w:pPr>
              <w:pBdr/>
              <w:spacing w:line="276" w:lineRule="auto"/>
              <w:ind/>
              <w:rPr>
                <w:rFonts w:ascii="Times New Roman" w:hAnsi="Times New Roman" w:cs="Times New Roman"/>
                <w:spacing w:val="-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lang w:eastAsia="ru-RU"/>
              </w:rPr>
              <w:t xml:space="preserve">РФ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</w:p>
        </w:tc>
        <w:tc>
          <w:tcPr>
            <w:tcBorders/>
            <w:tcW w:w="6874" w:type="dxa"/>
            <w:vAlign w:val="center"/>
            <w:textDirection w:val="lrTb"/>
            <w:noWrap w:val="false"/>
          </w:tcPr>
          <w:p w14:paraId="291E1451">
            <w:pPr>
              <w:pBdr/>
              <w:spacing w:line="276" w:lineRule="auto"/>
              <w:ind/>
              <w:rPr>
                <w:rFonts w:ascii="Times New Roman" w:hAnsi="Times New Roman" w:cs="Times New Roman"/>
                <w:spacing w:val="-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lang w:eastAsia="ru-RU"/>
              </w:rPr>
              <w:t xml:space="preserve">Российская Федерация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</w:p>
        </w:tc>
      </w:tr>
      <w:tr>
        <w:trPr>
          <w:trHeight w:val="454"/>
        </w:trPr>
        <w:tc>
          <w:tcPr>
            <w:tcBorders/>
            <w:tcW w:w="3049" w:type="dxa"/>
            <w:vAlign w:val="center"/>
            <w:textDirection w:val="lrTb"/>
            <w:noWrap w:val="false"/>
          </w:tcPr>
          <w:p w14:paraId="31926D47">
            <w:pPr>
              <w:pBdr/>
              <w:spacing w:line="276" w:lineRule="auto"/>
              <w:ind/>
              <w:rPr>
                <w:rFonts w:ascii="Times New Roman" w:hAnsi="Times New Roman" w:cs="Times New Roman"/>
                <w:spacing w:val="-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lang w:eastAsia="ru-RU"/>
              </w:rPr>
              <w:t xml:space="preserve">СЗИ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</w:p>
        </w:tc>
        <w:tc>
          <w:tcPr>
            <w:tcBorders/>
            <w:tcW w:w="6874" w:type="dxa"/>
            <w:vAlign w:val="center"/>
            <w:textDirection w:val="lrTb"/>
            <w:noWrap w:val="false"/>
          </w:tcPr>
          <w:p w14:paraId="67897DD9">
            <w:pPr>
              <w:pBdr/>
              <w:spacing w:line="276" w:lineRule="auto"/>
              <w:ind/>
              <w:rPr>
                <w:rFonts w:ascii="Times New Roman" w:hAnsi="Times New Roman" w:cs="Times New Roman"/>
                <w:spacing w:val="-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lang w:eastAsia="ru-RU"/>
              </w:rPr>
              <w:t xml:space="preserve">Средство (-а) защиты информации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</w:p>
        </w:tc>
      </w:tr>
      <w:tr>
        <w:trPr>
          <w:trHeight w:val="454"/>
        </w:trPr>
        <w:tc>
          <w:tcPr>
            <w:tcBorders/>
            <w:tcW w:w="3049" w:type="dxa"/>
            <w:vAlign w:val="center"/>
            <w:textDirection w:val="lrTb"/>
            <w:noWrap w:val="false"/>
          </w:tcPr>
          <w:p w14:paraId="435C3821">
            <w:pPr>
              <w:pBdr/>
              <w:spacing w:line="276" w:lineRule="auto"/>
              <w:ind/>
              <w:rPr>
                <w:rFonts w:ascii="Times New Roman" w:hAnsi="Times New Roman" w:cs="Times New Roman"/>
                <w:spacing w:val="-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lang w:eastAsia="ru-RU"/>
              </w:rPr>
              <w:t xml:space="preserve">ФСТЭК России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</w:p>
        </w:tc>
        <w:tc>
          <w:tcPr>
            <w:tcBorders/>
            <w:tcW w:w="6874" w:type="dxa"/>
            <w:vAlign w:val="center"/>
            <w:textDirection w:val="lrTb"/>
            <w:noWrap w:val="false"/>
          </w:tcPr>
          <w:p w14:paraId="74FD929E">
            <w:pPr>
              <w:pBdr/>
              <w:spacing w:line="276" w:lineRule="auto"/>
              <w:ind/>
              <w:rPr>
                <w:rFonts w:ascii="Times New Roman" w:hAnsi="Times New Roman" w:cs="Times New Roman"/>
                <w:spacing w:val="-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lang w:eastAsia="ru-RU"/>
              </w:rPr>
              <w:t xml:space="preserve">Федеральная служба по техническому и экспортному контролю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</w:r>
          </w:p>
        </w:tc>
      </w:tr>
    </w:tbl>
    <w:p w14:paraId="57948C0B">
      <w:pPr>
        <w:pBdr/>
        <w:tabs>
          <w:tab w:val="left" w:leader="none" w:pos="9072"/>
        </w:tabs>
        <w:spacing w:after="240" w:before="24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ОБЩИЕ СВЕДЕНИЯ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5201CD46">
      <w:pPr>
        <w:pBdr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Настоящий документ содержит техническое задание на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предоставление прав на средства защиты информации для подключения информационной системы персональных данных Федерального государственного бюджетного учреждения науки Институт языкознания Российской академии наук к ИТКИ.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B1A189D">
      <w:pPr>
        <w:pStyle w:val="920"/>
        <w:numPr>
          <w:ilvl w:val="0"/>
          <w:numId w:val="8"/>
        </w:numPr>
        <w:pBdr/>
        <w:tabs>
          <w:tab w:val="left" w:leader="none" w:pos="993"/>
        </w:tabs>
        <w:spacing w:after="240" w:before="240" w:line="276" w:lineRule="auto"/>
        <w:ind w:firstLine="709"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СУБЛИЦЕНЗИАТ 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71D5F1D1">
      <w:pPr>
        <w:pBdr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Сублицензиат – Федер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альное государственное бюджетное учреждение науки Институт языкознания Российской академии наук (далее – ИЯз РАН).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0417475">
      <w:pPr>
        <w:pStyle w:val="930"/>
        <w:pBdr/>
        <w:spacing w:line="276" w:lineRule="auto"/>
        <w:ind/>
        <w:rPr>
          <w:color w:val="auto"/>
          <w:spacing w:val="-1"/>
          <w:sz w:val="24"/>
          <w:szCs w:val="24"/>
        </w:rPr>
      </w:pPr>
      <w:r>
        <w:rPr>
          <w:rFonts w:eastAsia="Times New Roman"/>
          <w:color w:val="auto"/>
          <w:spacing w:val="-1"/>
          <w:sz w:val="24"/>
          <w:szCs w:val="24"/>
          <w:lang w:val="ru-RU" w:eastAsia="ru-RU"/>
        </w:rPr>
        <w:t xml:space="preserve">Юридический адрес: </w:t>
      </w:r>
      <w:bookmarkStart w:id="2" w:name="_Hlk190253445"/>
      <w:r>
        <w:rPr>
          <w:rFonts w:eastAsia="Times New Roman"/>
          <w:iCs/>
          <w:color w:val="auto"/>
          <w:sz w:val="24"/>
          <w:szCs w:val="24"/>
          <w:lang w:val="ru-RU" w:eastAsia="ru-RU"/>
        </w:rPr>
        <w:t xml:space="preserve">125009, г. Москва, пер. Большой Кисловский, д. 1, стр. 1</w:t>
      </w:r>
      <w:r>
        <w:rPr>
          <w:rFonts w:eastAsia="Times New Roman"/>
          <w:iCs/>
          <w:color w:val="auto"/>
          <w:sz w:val="24"/>
          <w:szCs w:val="24"/>
          <w:lang w:eastAsia="ru-RU"/>
        </w:rPr>
        <w:t xml:space="preserve">.</w:t>
      </w:r>
      <w:bookmarkEnd w:id="2"/>
      <w:r>
        <w:rPr>
          <w:color w:val="auto"/>
          <w:spacing w:val="-1"/>
          <w:sz w:val="24"/>
          <w:szCs w:val="24"/>
        </w:rPr>
      </w:r>
      <w:r>
        <w:rPr>
          <w:color w:val="auto"/>
          <w:spacing w:val="-1"/>
          <w:sz w:val="24"/>
          <w:szCs w:val="24"/>
        </w:rPr>
      </w:r>
    </w:p>
    <w:p w14:paraId="339FE084">
      <w:pPr>
        <w:pStyle w:val="855"/>
        <w:numPr>
          <w:ilvl w:val="0"/>
          <w:numId w:val="8"/>
        </w:numPr>
        <w:pBdr/>
        <w:tabs>
          <w:tab w:val="left" w:leader="none" w:pos="993"/>
        </w:tabs>
        <w:spacing w:after="240" w:before="240" w:line="276" w:lineRule="auto"/>
        <w:ind w:firstLine="709" w:left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ЦЕЛЬ И ЗАДАЧИ ПРЕДОСТАВЛЕНИЯ ПРАВ</w:t>
      </w:r>
      <w:r>
        <w:rPr>
          <w:rFonts w:ascii="Times New Roman" w:hAnsi="Times New Roman" w:cs="Times New Roman"/>
          <w:color w:val="auto"/>
          <w:sz w:val="24"/>
          <w:szCs w:val="24"/>
        </w:rPr>
      </w:r>
      <w:r>
        <w:rPr>
          <w:rFonts w:ascii="Times New Roman" w:hAnsi="Times New Roman" w:cs="Times New Roman"/>
          <w:color w:val="auto"/>
          <w:sz w:val="24"/>
          <w:szCs w:val="24"/>
        </w:rPr>
      </w:r>
    </w:p>
    <w:p w14:paraId="33F72800">
      <w:pPr>
        <w:pStyle w:val="920"/>
        <w:numPr>
          <w:ilvl w:val="1"/>
          <w:numId w:val="8"/>
        </w:numPr>
        <w:pBdr/>
        <w:tabs>
          <w:tab w:val="left" w:leader="none" w:pos="1134"/>
        </w:tabs>
        <w:spacing w:line="276" w:lineRule="auto"/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Основной целью предоставления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прав является продление подключения информационной системы персональных данных ИЯз РАН (далее – ИСПДн) к ИТКИ и обеспечение защиты ПДн от неправомерного доступа, уничтожения, модифицирования, блокирования, копирования, предоставления, распространения, а 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кже от иных несанкционированных действий в отношении такой информации, обрабатываемой в ИСПДн.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99F7A73">
      <w:pPr>
        <w:pStyle w:val="920"/>
        <w:numPr>
          <w:ilvl w:val="1"/>
          <w:numId w:val="8"/>
        </w:numPr>
        <w:pBdr/>
        <w:tabs>
          <w:tab w:val="left" w:leader="none" w:pos="1134"/>
        </w:tabs>
        <w:spacing w:line="276" w:lineRule="auto"/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Предоставление прав должно обеспечить реализацию организационных и технических мер по защите ПДн при их обработке в ИСПДн, необходимых для выполнения установленн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ых требований к защите ПДн и требований регламента подключения к ИТКИ.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59417DA6">
      <w:pPr>
        <w:pStyle w:val="920"/>
        <w:numPr>
          <w:ilvl w:val="1"/>
          <w:numId w:val="8"/>
        </w:numPr>
        <w:pBdr/>
        <w:tabs>
          <w:tab w:val="left" w:leader="none" w:pos="1134"/>
        </w:tabs>
        <w:spacing w:line="276" w:lineRule="auto"/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Задачи, подлежащие решению при предоставлении прав: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764DA32D">
      <w:pPr>
        <w:numPr>
          <w:ilvl w:val="0"/>
          <w:numId w:val="7"/>
        </w:numPr>
        <w:pBdr/>
        <w:tabs>
          <w:tab w:val="left" w:leader="none" w:pos="284"/>
          <w:tab w:val="left" w:leader="none" w:pos="993"/>
        </w:tabs>
        <w:spacing w:line="276" w:lineRule="auto"/>
        <w:ind w:firstLine="709"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/>
      <w:bookmarkStart w:id="3" w:name="_Hlk187744220"/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предоставление прав на использование СЗИ</w:t>
      </w:r>
      <w:bookmarkEnd w:id="3"/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и ПП «SecretDoc»;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 w14:paraId="26E5C713">
      <w:pPr>
        <w:numPr>
          <w:ilvl w:val="0"/>
          <w:numId w:val="7"/>
        </w:numPr>
        <w:pBdr/>
        <w:tabs>
          <w:tab w:val="left" w:leader="none" w:pos="284"/>
          <w:tab w:val="left" w:leader="none" w:pos="993"/>
        </w:tabs>
        <w:spacing w:line="276" w:lineRule="auto"/>
        <w:ind w:firstLine="709"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предоставление дополнительных функциональных возможностей ПП «SecretDoc»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для защищенного подключения к ИТКИ, обеспечивающих выполнение требований регламента подключения к ИТКИ.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 w14:paraId="2C2E36F9">
      <w:pPr>
        <w:pStyle w:val="920"/>
        <w:numPr>
          <w:ilvl w:val="1"/>
          <w:numId w:val="8"/>
        </w:numPr>
        <w:pBdr/>
        <w:tabs>
          <w:tab w:val="left" w:leader="none" w:pos="709"/>
          <w:tab w:val="left" w:leader="none" w:pos="1134"/>
        </w:tabs>
        <w:spacing w:line="276" w:lineRule="auto"/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Срок передачи прав: 90 рабочих дней с даты подписания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E3327C9">
      <w:pPr>
        <w:pStyle w:val="920"/>
        <w:numPr>
          <w:ilvl w:val="0"/>
          <w:numId w:val="6"/>
        </w:numPr>
        <w:pBdr/>
        <w:tabs>
          <w:tab w:val="left" w:leader="none" w:pos="993"/>
          <w:tab w:val="left" w:leader="none" w:pos="1134"/>
        </w:tabs>
        <w:spacing w:after="240" w:before="240" w:line="276" w:lineRule="auto"/>
        <w:ind w:hanging="357" w:left="1077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ХАРАКТЕРИСТИКА ОБЪЕКТА ИНФОРМАТИЗАЦИИ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</w:p>
    <w:p w14:paraId="6E89FC59">
      <w:pPr>
        <w:pStyle w:val="930"/>
        <w:numPr>
          <w:ilvl w:val="1"/>
          <w:numId w:val="9"/>
        </w:numPr>
        <w:pBdr/>
        <w:tabs>
          <w:tab w:val="left" w:leader="none" w:pos="1134"/>
        </w:tabs>
        <w:spacing w:line="276" w:lineRule="auto"/>
        <w:ind w:firstLine="709" w:left="0"/>
        <w:rPr>
          <w:color w:val="auto"/>
          <w:sz w:val="24"/>
          <w:szCs w:val="24"/>
          <w:lang w:val="ru-RU"/>
        </w:rPr>
      </w:pPr>
      <w:r>
        <w:rPr>
          <w:rFonts w:eastAsia="Times New Roman"/>
          <w:color w:val="auto"/>
          <w:sz w:val="24"/>
          <w:szCs w:val="24"/>
          <w:lang w:val="ru-RU"/>
        </w:rPr>
        <w:t xml:space="preserve">Обработка ПДн осуществляется в рамках ИСПДн.</w:t>
      </w:r>
      <w:r>
        <w:rPr>
          <w:color w:val="auto"/>
          <w:sz w:val="24"/>
          <w:szCs w:val="24"/>
          <w:lang w:val="ru-RU"/>
        </w:rPr>
      </w:r>
      <w:r>
        <w:rPr>
          <w:color w:val="auto"/>
          <w:sz w:val="24"/>
          <w:szCs w:val="24"/>
          <w:lang w:val="ru-RU"/>
        </w:rPr>
      </w:r>
    </w:p>
    <w:p w14:paraId="745BC6E9">
      <w:pPr>
        <w:pStyle w:val="930"/>
        <w:numPr>
          <w:ilvl w:val="1"/>
          <w:numId w:val="9"/>
        </w:numPr>
        <w:pBdr/>
        <w:tabs>
          <w:tab w:val="left" w:leader="none" w:pos="1134"/>
        </w:tabs>
        <w:spacing w:line="276" w:lineRule="auto"/>
        <w:ind w:firstLine="709" w:left="0"/>
        <w:rPr>
          <w:color w:val="auto"/>
          <w:sz w:val="24"/>
          <w:szCs w:val="24"/>
          <w:lang w:val="ru-RU"/>
        </w:rPr>
      </w:pPr>
      <w:r>
        <w:rPr>
          <w:rFonts w:eastAsia="Times New Roman"/>
          <w:color w:val="auto"/>
          <w:sz w:val="24"/>
          <w:szCs w:val="24"/>
          <w:lang w:val="ru-RU"/>
        </w:rPr>
        <w:t xml:space="preserve">Обработка, хранение и передача ПДн в ИСПДн происходит с использованием программных и технических средств.</w:t>
      </w:r>
      <w:r>
        <w:rPr>
          <w:color w:val="auto"/>
          <w:sz w:val="24"/>
          <w:szCs w:val="24"/>
          <w:lang w:val="ru-RU"/>
        </w:rPr>
      </w:r>
      <w:r>
        <w:rPr>
          <w:color w:val="auto"/>
          <w:sz w:val="24"/>
          <w:szCs w:val="24"/>
          <w:lang w:val="ru-RU"/>
        </w:rPr>
      </w:r>
    </w:p>
    <w:p w14:paraId="2F71AF6B">
      <w:pPr>
        <w:pStyle w:val="930"/>
        <w:numPr>
          <w:ilvl w:val="1"/>
          <w:numId w:val="9"/>
        </w:numPr>
        <w:pBdr/>
        <w:tabs>
          <w:tab w:val="left" w:leader="none" w:pos="1134"/>
        </w:tabs>
        <w:spacing w:line="276" w:lineRule="auto"/>
        <w:ind w:firstLine="709" w:left="0"/>
        <w:rPr>
          <w:color w:val="auto"/>
          <w:sz w:val="24"/>
          <w:szCs w:val="24"/>
          <w:lang w:val="ru-RU"/>
        </w:rPr>
      </w:pPr>
      <w:r>
        <w:rPr>
          <w:rFonts w:eastAsia="Times New Roman"/>
          <w:color w:val="auto"/>
          <w:sz w:val="24"/>
          <w:szCs w:val="24"/>
          <w:lang w:val="ru-RU"/>
        </w:rPr>
        <w:t xml:space="preserve">Аппаратной платформой для программных средств обработки ПДн является автоматизированное рабочее место пользователей ИСПДн.</w:t>
      </w:r>
      <w:r>
        <w:rPr>
          <w:color w:val="auto"/>
          <w:sz w:val="24"/>
          <w:szCs w:val="24"/>
          <w:lang w:val="ru-RU"/>
        </w:rPr>
      </w:r>
      <w:r>
        <w:rPr>
          <w:color w:val="auto"/>
          <w:sz w:val="24"/>
          <w:szCs w:val="24"/>
          <w:lang w:val="ru-RU"/>
        </w:rPr>
      </w:r>
    </w:p>
    <w:p w14:paraId="74F4735F">
      <w:pPr>
        <w:pStyle w:val="930"/>
        <w:numPr>
          <w:ilvl w:val="1"/>
          <w:numId w:val="9"/>
        </w:numPr>
        <w:pBdr/>
        <w:tabs>
          <w:tab w:val="left" w:leader="none" w:pos="1134"/>
        </w:tabs>
        <w:spacing w:line="276" w:lineRule="auto"/>
        <w:ind w:firstLine="709" w:left="0"/>
        <w:rPr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  <w:lang w:val="ru-RU"/>
        </w:rPr>
        <w:t xml:space="preserve">В состав ИСПДн входит 1 АРМ</w:t>
      </w:r>
      <w:r>
        <w:rPr>
          <w:rFonts w:eastAsia="Times New Roman"/>
          <w:color w:val="auto"/>
          <w:sz w:val="24"/>
          <w:szCs w:val="24"/>
          <w:lang w:val="ru-RU"/>
        </w:rPr>
        <w:t xml:space="preserve"> пользователей по адресу: </w:t>
      </w:r>
      <w:r>
        <w:rPr>
          <w:rFonts w:eastAsia="Times New Roman"/>
          <w:iCs/>
          <w:color w:val="auto"/>
          <w:sz w:val="24"/>
          <w:szCs w:val="24"/>
          <w:lang w:val="ru-RU" w:eastAsia="ru-RU"/>
        </w:rPr>
        <w:t xml:space="preserve">125009, г. Москва, пер. Большой Кисловский, д. 1, стр. 1</w:t>
      </w:r>
      <w:r>
        <w:rPr>
          <w:rFonts w:eastAsia="Times New Roman"/>
          <w:iCs/>
          <w:color w:val="auto"/>
          <w:sz w:val="24"/>
          <w:szCs w:val="24"/>
          <w:lang w:eastAsia="ru-RU"/>
        </w:rPr>
        <w:t xml:space="preserve">.</w:t>
      </w:r>
      <w:r>
        <w:rPr>
          <w:color w:val="auto"/>
          <w:sz w:val="24"/>
          <w:szCs w:val="24"/>
        </w:rPr>
      </w:r>
      <w:r>
        <w:rPr>
          <w:color w:val="auto"/>
          <w:sz w:val="24"/>
          <w:szCs w:val="24"/>
        </w:rPr>
      </w:r>
    </w:p>
    <w:p w14:paraId="1E16A28B">
      <w:pPr>
        <w:pStyle w:val="920"/>
        <w:numPr>
          <w:ilvl w:val="0"/>
          <w:numId w:val="6"/>
        </w:numPr>
        <w:pBdr/>
        <w:tabs>
          <w:tab w:val="left" w:leader="none" w:pos="993"/>
        </w:tabs>
        <w:spacing w:after="240" w:before="240" w:line="276" w:lineRule="auto"/>
        <w:ind w:firstLine="709" w:left="0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ТРЕБОВАНИЯ К ОРГАНИЗАЦИИ ПОРЯДКА ПРЕДОСТАВЛЕНИЯ ПРАВ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</w:p>
    <w:p w14:paraId="4F2DB44B">
      <w:pPr>
        <w:pBdr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Предоставление прав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включает в себя следующие мероприятия: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 w14:paraId="2F98D8FD">
      <w:pPr>
        <w:numPr>
          <w:ilvl w:val="1"/>
          <w:numId w:val="10"/>
        </w:numPr>
        <w:pBdr/>
        <w:tabs>
          <w:tab w:val="left" w:leader="none" w:pos="284"/>
          <w:tab w:val="left" w:leader="none" w:pos="1134"/>
        </w:tabs>
        <w:spacing w:line="276" w:lineRule="auto"/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Предоставление прав на использование ПП «SecretDoc»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 СЗИ (согласно перечню, приведенному в Приложении № 1 к настоящему Техническому заданию)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виде передачи неисключительных прав использования на срок не менее 1 года.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7B2C04E">
      <w:pPr>
        <w:numPr>
          <w:ilvl w:val="1"/>
          <w:numId w:val="10"/>
        </w:numPr>
        <w:pBdr/>
        <w:tabs>
          <w:tab w:val="left" w:leader="none" w:pos="284"/>
          <w:tab w:val="left" w:leader="none" w:pos="1134"/>
        </w:tabs>
        <w:spacing w:line="276" w:lineRule="auto"/>
        <w:ind w:firstLine="709"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Предоставление дополнительных функциональных возможностей ПП «SecretDoc» для защищенного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подключения к ИТКИ, обеспечивающих выполнение требований регламента подключения к ИТКИ.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 w14:paraId="4C48EB48">
      <w:pPr>
        <w:pBdr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целях полноценной эксплуатации ПП «SecretDoc» Сублицензиаром предоставляются дополнительные функциональные возможности, включающие в себя следующие мероприятия: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 w14:paraId="6E17E5FB">
      <w:pPr>
        <w:numPr>
          <w:ilvl w:val="0"/>
          <w:numId w:val="7"/>
        </w:numPr>
        <w:pBdr/>
        <w:tabs>
          <w:tab w:val="left" w:leader="none" w:pos="284"/>
          <w:tab w:val="left" w:leader="none" w:pos="993"/>
        </w:tabs>
        <w:spacing w:line="276" w:lineRule="auto"/>
        <w:ind w:firstLine="709"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уточнение исходных данных;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 w14:paraId="7EDF4BCF">
      <w:pPr>
        <w:numPr>
          <w:ilvl w:val="0"/>
          <w:numId w:val="7"/>
        </w:numPr>
        <w:pBdr/>
        <w:tabs>
          <w:tab w:val="left" w:leader="none" w:pos="284"/>
          <w:tab w:val="left" w:leader="none" w:pos="993"/>
        </w:tabs>
        <w:spacing w:line="276" w:lineRule="auto"/>
        <w:ind w:firstLine="709"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установка и настройка СЗИ;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 w14:paraId="7BC47AD6">
      <w:pPr>
        <w:numPr>
          <w:ilvl w:val="0"/>
          <w:numId w:val="7"/>
        </w:numPr>
        <w:pBdr/>
        <w:tabs>
          <w:tab w:val="left" w:leader="none" w:pos="284"/>
          <w:tab w:val="left" w:leader="none" w:pos="993"/>
        </w:tabs>
        <w:spacing w:line="276" w:lineRule="auto"/>
        <w:ind w:firstLine="709"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разработка, согласование и утверждение необходимой организационно-распорядительной и технической документации;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 w14:paraId="345A5F62">
      <w:pPr>
        <w:numPr>
          <w:ilvl w:val="0"/>
          <w:numId w:val="7"/>
        </w:numPr>
        <w:pBdr/>
        <w:tabs>
          <w:tab w:val="left" w:leader="none" w:pos="284"/>
          <w:tab w:val="left" w:leader="none" w:pos="993"/>
        </w:tabs>
        <w:spacing w:line="276" w:lineRule="auto"/>
        <w:ind w:firstLine="709"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проведение оценки эффективности системы защиты информации ИСПДн на соответствие требованиям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безопасности информации;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 w14:paraId="7F90AC60">
      <w:pPr>
        <w:numPr>
          <w:ilvl w:val="0"/>
          <w:numId w:val="7"/>
        </w:numPr>
        <w:pBdr/>
        <w:tabs>
          <w:tab w:val="left" w:leader="none" w:pos="284"/>
          <w:tab w:val="left" w:leader="none" w:pos="993"/>
        </w:tabs>
        <w:spacing w:line="276" w:lineRule="auto"/>
        <w:ind w:firstLine="709"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проверка схемы подключения ИСПДн к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ИТКИ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 w14:paraId="0CD5378E">
      <w:pPr>
        <w:pStyle w:val="854"/>
        <w:numPr>
          <w:ilvl w:val="0"/>
          <w:numId w:val="6"/>
        </w:numPr>
        <w:pBdr/>
        <w:tabs>
          <w:tab w:val="left" w:leader="none" w:pos="993"/>
        </w:tabs>
        <w:spacing w:before="240" w:line="276" w:lineRule="auto"/>
        <w:ind w:hanging="357" w:left="10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ТРЕБОВАНИЯ К ПРЕДОСТАВЛЯЕМОМУ СЗИ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74C6900F">
      <w:pPr>
        <w:pStyle w:val="930"/>
        <w:numPr>
          <w:ilvl w:val="1"/>
          <w:numId w:val="11"/>
        </w:numPr>
        <w:pBdr/>
        <w:tabs>
          <w:tab w:val="left" w:leader="none" w:pos="1134"/>
        </w:tabs>
        <w:spacing w:line="276" w:lineRule="auto"/>
        <w:ind w:firstLine="709" w:left="0"/>
        <w:rPr>
          <w:sz w:val="24"/>
          <w:szCs w:val="24"/>
        </w:rPr>
      </w:pPr>
      <w:r>
        <w:rPr>
          <w:rFonts w:eastAsia="Times New Roman"/>
          <w:sz w:val="24"/>
          <w:szCs w:val="24"/>
          <w:lang w:val="ru-RU"/>
        </w:rPr>
        <w:t xml:space="preserve">Сублицензиар обязан обеспечить: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15DFBFDB">
      <w:pPr>
        <w:pStyle w:val="930"/>
        <w:numPr>
          <w:ilvl w:val="0"/>
          <w:numId w:val="13"/>
        </w:numPr>
        <w:pBdr/>
        <w:tabs>
          <w:tab w:val="left" w:leader="none" w:pos="1134"/>
        </w:tabs>
        <w:spacing w:line="276" w:lineRule="auto"/>
        <w:ind w:firstLine="851" w:left="0"/>
        <w:rPr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 xml:space="preserve">подготовку СЗИ в соответствии с требованиями (Приложение № 1 к настоящему Техническому заданию);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 w14:paraId="0990E9D1">
      <w:pPr>
        <w:pStyle w:val="930"/>
        <w:numPr>
          <w:ilvl w:val="0"/>
          <w:numId w:val="13"/>
        </w:numPr>
        <w:pBdr/>
        <w:tabs>
          <w:tab w:val="left" w:leader="none" w:pos="1134"/>
        </w:tabs>
        <w:spacing w:line="276" w:lineRule="auto"/>
        <w:ind w:firstLine="851" w:left="0"/>
        <w:rPr>
          <w:sz w:val="24"/>
          <w:szCs w:val="24"/>
        </w:rPr>
      </w:pPr>
      <w:r>
        <w:rPr>
          <w:rFonts w:eastAsia="Times New Roman"/>
          <w:sz w:val="24"/>
          <w:szCs w:val="24"/>
          <w:lang w:val="ru-RU"/>
        </w:rPr>
        <w:t xml:space="preserve">работоспособность предоста</w:t>
      </w:r>
      <w:r>
        <w:rPr>
          <w:rFonts w:eastAsia="Times New Roman"/>
          <w:sz w:val="24"/>
          <w:szCs w:val="24"/>
          <w:lang w:val="ru-RU"/>
        </w:rPr>
        <w:t xml:space="preserve">вляемого СЗИ.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0B88942F">
      <w:pPr>
        <w:pStyle w:val="930"/>
        <w:numPr>
          <w:ilvl w:val="1"/>
          <w:numId w:val="11"/>
        </w:numPr>
        <w:pBdr/>
        <w:tabs>
          <w:tab w:val="left" w:leader="none" w:pos="1134"/>
        </w:tabs>
        <w:spacing w:line="276" w:lineRule="auto"/>
        <w:ind w:firstLine="709" w:left="0"/>
        <w:rPr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 xml:space="preserve">ПО предоставляемого СЗИ должно иметь действующие сертификаты.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 w14:paraId="769B60E9">
      <w:pPr>
        <w:pStyle w:val="930"/>
        <w:numPr>
          <w:ilvl w:val="1"/>
          <w:numId w:val="11"/>
        </w:numPr>
        <w:pBdr/>
        <w:tabs>
          <w:tab w:val="left" w:leader="none" w:pos="1134"/>
        </w:tabs>
        <w:spacing w:line="276" w:lineRule="auto"/>
        <w:ind w:firstLine="709" w:left="0"/>
        <w:rPr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 xml:space="preserve">При предоставлении прав должны соблюдаться все авторские и смежные с ними права разработчиков СЗИ.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 w14:paraId="0B79E2EC">
      <w:pPr>
        <w:pStyle w:val="854"/>
        <w:numPr>
          <w:ilvl w:val="0"/>
          <w:numId w:val="6"/>
        </w:numPr>
        <w:pBdr/>
        <w:tabs>
          <w:tab w:val="left" w:leader="none" w:pos="993"/>
        </w:tabs>
        <w:spacing w:before="240" w:line="276" w:lineRule="auto"/>
        <w:ind w:hanging="357" w:left="10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ТРЕБОВАНИЯ К ОРГАНИЗАЦИОННОМУ ОБЕСПЕЧЕНИЮ ПРИ ПРЕДОСТАВЛЕНИИ ПРАВ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5F5C190">
      <w:pPr>
        <w:pStyle w:val="930"/>
        <w:pBdr/>
        <w:tabs>
          <w:tab w:val="left" w:leader="none" w:pos="851"/>
          <w:tab w:val="left" w:leader="none" w:pos="1134"/>
          <w:tab w:val="left" w:leader="none" w:pos="1418"/>
        </w:tabs>
        <w:spacing w:line="300" w:lineRule="auto"/>
        <w:ind/>
        <w:rPr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  <w:lang w:val="ru-RU"/>
        </w:rPr>
        <w:t xml:space="preserve">Обязанности Суб</w:t>
      </w:r>
      <w:r>
        <w:rPr>
          <w:rFonts w:eastAsia="Times New Roman"/>
          <w:color w:val="000000" w:themeColor="text1"/>
          <w:sz w:val="24"/>
          <w:szCs w:val="24"/>
          <w:lang w:val="ru-RU"/>
        </w:rPr>
        <w:t xml:space="preserve">лицензиата: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 w14:paraId="375B1C13">
      <w:pPr>
        <w:pStyle w:val="931"/>
        <w:numPr>
          <w:ilvl w:val="0"/>
          <w:numId w:val="7"/>
        </w:numPr>
        <w:pBdr/>
        <w:tabs>
          <w:tab w:val="left" w:leader="none" w:pos="993"/>
        </w:tabs>
        <w:spacing w:line="300" w:lineRule="auto"/>
        <w:ind w:right="0" w:firstLine="709" w:left="0"/>
        <w:contextualSpacing w:val="true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Обеспечивает наличие назначенных лиц, ответственных за обеспечение информационной безопасности и эксплуатацию </w:t>
      </w:r>
      <w:r>
        <w:rPr>
          <w:rStyle w:val="915"/>
          <w:b w:val="0"/>
          <w:szCs w:val="24"/>
        </w:rPr>
        <w:t xml:space="preserve">ИСПДн</w:t>
      </w:r>
      <w:r>
        <w:rPr>
          <w:color w:val="000000" w:themeColor="text1"/>
          <w:szCs w:val="24"/>
        </w:rPr>
        <w:t xml:space="preserve">; </w:t>
      </w:r>
      <w:r>
        <w:rPr>
          <w:color w:val="000000" w:themeColor="text1"/>
          <w:szCs w:val="24"/>
        </w:rPr>
      </w:r>
      <w:r>
        <w:rPr>
          <w:color w:val="000000" w:themeColor="text1"/>
          <w:szCs w:val="24"/>
        </w:rPr>
      </w:r>
    </w:p>
    <w:p w14:paraId="2D3D9C5F">
      <w:pPr>
        <w:pStyle w:val="931"/>
        <w:numPr>
          <w:ilvl w:val="0"/>
          <w:numId w:val="7"/>
        </w:numPr>
        <w:pBdr/>
        <w:tabs>
          <w:tab w:val="left" w:leader="none" w:pos="993"/>
        </w:tabs>
        <w:spacing w:line="300" w:lineRule="auto"/>
        <w:ind w:right="0" w:firstLine="709" w:left="0"/>
        <w:contextualSpacing w:val="true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Своевременно предоставляет Сублицензиару необходимую информацию и доступ в помещения</w:t>
      </w:r>
      <w:r>
        <w:rPr>
          <w:rStyle w:val="915"/>
          <w:b w:val="0"/>
          <w:szCs w:val="24"/>
        </w:rPr>
        <w:t xml:space="preserve"> ИСПДн </w:t>
      </w:r>
      <w:r>
        <w:rPr>
          <w:color w:val="000000" w:themeColor="text1"/>
          <w:szCs w:val="24"/>
        </w:rPr>
        <w:t xml:space="preserve">при необходимости;</w:t>
      </w:r>
      <w:r>
        <w:rPr>
          <w:color w:val="000000" w:themeColor="text1"/>
          <w:szCs w:val="24"/>
        </w:rPr>
      </w:r>
      <w:r>
        <w:rPr>
          <w:color w:val="000000" w:themeColor="text1"/>
          <w:szCs w:val="24"/>
        </w:rPr>
      </w:r>
    </w:p>
    <w:p w14:paraId="24E14B7D">
      <w:pPr>
        <w:pStyle w:val="931"/>
        <w:numPr>
          <w:ilvl w:val="0"/>
          <w:numId w:val="7"/>
        </w:numPr>
        <w:pBdr/>
        <w:tabs>
          <w:tab w:val="left" w:leader="none" w:pos="993"/>
        </w:tabs>
        <w:spacing w:line="300" w:lineRule="auto"/>
        <w:ind w:right="0" w:firstLine="709" w:left="0"/>
        <w:contextualSpacing w:val="true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Обеспечивает готовность оборудования и системного программного обеспечения</w:t>
      </w:r>
      <w:r>
        <w:rPr>
          <w:rStyle w:val="915"/>
          <w:b w:val="0"/>
          <w:szCs w:val="24"/>
        </w:rPr>
        <w:t xml:space="preserve"> ИСПДн</w:t>
      </w:r>
      <w:r>
        <w:rPr>
          <w:color w:val="000000" w:themeColor="text1"/>
          <w:szCs w:val="24"/>
        </w:rPr>
        <w:t xml:space="preserve">;</w:t>
      </w:r>
      <w:r>
        <w:rPr>
          <w:color w:val="000000" w:themeColor="text1"/>
          <w:szCs w:val="24"/>
        </w:rPr>
      </w:r>
      <w:r>
        <w:rPr>
          <w:color w:val="000000" w:themeColor="text1"/>
          <w:szCs w:val="24"/>
        </w:rPr>
      </w:r>
    </w:p>
    <w:p w14:paraId="246DC55B">
      <w:pPr>
        <w:pStyle w:val="931"/>
        <w:numPr>
          <w:ilvl w:val="0"/>
          <w:numId w:val="7"/>
        </w:numPr>
        <w:pBdr/>
        <w:tabs>
          <w:tab w:val="left" w:leader="none" w:pos="993"/>
        </w:tabs>
        <w:spacing w:line="300" w:lineRule="auto"/>
        <w:ind w:right="0" w:firstLine="709" w:left="0"/>
        <w:contextualSpacing w:val="true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Обеспечивает готовность автоматизированных рабочих мест </w:t>
      </w:r>
      <w:r>
        <w:rPr>
          <w:bCs/>
          <w:color w:val="000000" w:themeColor="text1"/>
          <w:szCs w:val="24"/>
        </w:rPr>
        <w:t xml:space="preserve">ИСПДн</w:t>
      </w:r>
      <w:r>
        <w:rPr>
          <w:color w:val="000000" w:themeColor="text1"/>
          <w:szCs w:val="24"/>
        </w:rPr>
        <w:t xml:space="preserve">.</w:t>
      </w:r>
      <w:r>
        <w:rPr>
          <w:color w:val="000000" w:themeColor="text1"/>
          <w:szCs w:val="24"/>
        </w:rPr>
      </w:r>
      <w:r>
        <w:rPr>
          <w:color w:val="000000" w:themeColor="text1"/>
          <w:szCs w:val="24"/>
        </w:rPr>
      </w:r>
    </w:p>
    <w:p w14:paraId="1C56B439">
      <w:pPr>
        <w:pStyle w:val="854"/>
        <w:numPr>
          <w:ilvl w:val="0"/>
          <w:numId w:val="6"/>
        </w:numPr>
        <w:pBdr/>
        <w:tabs>
          <w:tab w:val="left" w:leader="none" w:pos="993"/>
        </w:tabs>
        <w:spacing w:before="240" w:line="276" w:lineRule="auto"/>
        <w:ind w:hanging="357" w:left="10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ПОРЯДОК ПРИЕМКИ ПРАВ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A6C0924">
      <w:pPr>
        <w:pStyle w:val="920"/>
        <w:numPr>
          <w:ilvl w:val="1"/>
          <w:numId w:val="14"/>
        </w:numPr>
        <w:pBdr/>
        <w:tabs>
          <w:tab w:val="left" w:leader="none" w:pos="851"/>
          <w:tab w:val="left" w:leader="none" w:pos="1134"/>
        </w:tabs>
        <w:spacing w:line="276" w:lineRule="auto"/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Сублицензиар обязан своевременно предоставить отчетную документацию Сублицензиату в порядк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е, определенном Контрактом и в соответствии с разделом 4</w:t>
      </w:r>
      <w:hyperlink w:tooltip="#_ПОРЯДОК_ОПЛАТЫ_ОКАЗАННЫХ" w:anchor="_ПОРЯДОК_ОПЛАТЫ_ОКАЗАННЫХ" w:history="1">
        <w:r>
          <w:rPr>
            <w:rFonts w:ascii="Times New Roman" w:hAnsi="Times New Roman" w:eastAsia="Times New Roman" w:cs="Times New Roman"/>
            <w:sz w:val="24"/>
            <w:szCs w:val="24"/>
          </w:rPr>
          <w:t xml:space="preserve"> «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Требования к организации порядка предоставления прав» настоящего ТЗ.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D617BB6">
      <w:pPr>
        <w:pStyle w:val="920"/>
        <w:numPr>
          <w:ilvl w:val="1"/>
          <w:numId w:val="14"/>
        </w:numPr>
        <w:pBdr/>
        <w:tabs>
          <w:tab w:val="left" w:leader="none" w:pos="851"/>
          <w:tab w:val="left" w:leader="none" w:pos="1134"/>
        </w:tabs>
        <w:spacing w:line="276" w:lineRule="auto"/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Сублицензиар должен уведомить Сублицензиата о готовн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ости к приему-передаче прав в срок, не превышающий 5 (пять) дней до даты окончания срока передачи прав.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2EACC4B">
      <w:pPr>
        <w:pStyle w:val="920"/>
        <w:numPr>
          <w:ilvl w:val="1"/>
          <w:numId w:val="14"/>
        </w:numPr>
        <w:pBdr/>
        <w:tabs>
          <w:tab w:val="left" w:leader="none" w:pos="851"/>
          <w:tab w:val="left" w:leader="none" w:pos="1134"/>
        </w:tabs>
        <w:spacing w:line="276" w:lineRule="auto"/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Документы должны быть представлены в электронном виде на цифровом носителе и подписанными электронной подписью.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45DE957">
      <w:pPr>
        <w:pStyle w:val="920"/>
        <w:numPr>
          <w:ilvl w:val="1"/>
          <w:numId w:val="14"/>
        </w:numPr>
        <w:pBdr/>
        <w:tabs>
          <w:tab w:val="left" w:leader="none" w:pos="851"/>
          <w:tab w:val="left" w:leader="none" w:pos="1134"/>
        </w:tabs>
        <w:spacing w:line="276" w:lineRule="auto"/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Документы, передаваемые в электронном ви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де, должны быть представлены в форматах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MS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Office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(в формате *.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doc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/*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docx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или *.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pdf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для текстовых документов, *.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xls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/*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xlsx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для таблиц и расчетов и *.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vsd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/*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vsdx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для схем и чертежей).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386A4CA">
      <w:pPr>
        <w:pStyle w:val="920"/>
        <w:numPr>
          <w:ilvl w:val="1"/>
          <w:numId w:val="14"/>
        </w:numPr>
        <w:pBdr/>
        <w:tabs>
          <w:tab w:val="left" w:leader="none" w:pos="851"/>
          <w:tab w:val="left" w:leader="none" w:pos="1134"/>
        </w:tabs>
        <w:spacing w:line="276" w:lineRule="auto"/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Экспертизу и приемку полученных прав осуществляет Сублицензиат. Сублицензиат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имеет право для приемки привлекать внешнюю экспертизу.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1B94FF38">
      <w:pPr>
        <w:pStyle w:val="920"/>
        <w:numPr>
          <w:ilvl w:val="1"/>
          <w:numId w:val="14"/>
        </w:numPr>
        <w:pBdr/>
        <w:tabs>
          <w:tab w:val="left" w:leader="none" w:pos="851"/>
          <w:tab w:val="left" w:leader="none" w:pos="1134"/>
        </w:tabs>
        <w:spacing w:line="276" w:lineRule="auto"/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Сублицензиат обязан в течение 3 (трех) рабочих дней с момента получения акта приёма-передачи подписать его и предоставить Сублицензиару, либо предоставить письменный мотивированный отказ от его подписа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ния. В случае непредоставления Сублицензиару подписанного акта приёма-передачи или письменного мотивированного отказа в указанные сроки права считаются переданными Сублицензиаром и принятыми Сублицензиатом в полном объёме.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01B34B0">
      <w:pPr>
        <w:pStyle w:val="920"/>
        <w:numPr>
          <w:ilvl w:val="1"/>
          <w:numId w:val="14"/>
        </w:numPr>
        <w:pBdr/>
        <w:tabs>
          <w:tab w:val="left" w:leader="none" w:pos="851"/>
          <w:tab w:val="left" w:leader="none" w:pos="1134"/>
        </w:tabs>
        <w:spacing w:line="276" w:lineRule="auto"/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Оплата лицензионного вознагражден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ия Сублицензиатом осуществляется в случае приемки прав на основании подписанного Сублицензиаром и Сублицензиатом Акта приема-передачи прав.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73A5C710">
      <w:pPr>
        <w:pStyle w:val="854"/>
        <w:numPr>
          <w:ilvl w:val="0"/>
          <w:numId w:val="6"/>
        </w:numPr>
        <w:pBdr/>
        <w:tabs>
          <w:tab w:val="left" w:leader="none" w:pos="993"/>
        </w:tabs>
        <w:spacing w:before="240" w:line="276" w:lineRule="auto"/>
        <w:ind w:firstLine="709"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ГАРАНТИЙНЫЕ ОБЯЗАТЕЛЬСТВА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81E1057">
      <w:pPr>
        <w:pBdr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Сублицензиар должен обеспечить гарантийное обслуживание предоставленного СЗИ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 следующих условиях: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00C86D7">
      <w:pPr>
        <w:pStyle w:val="922"/>
        <w:numPr>
          <w:ilvl w:val="0"/>
          <w:numId w:val="12"/>
        </w:numPr>
        <w:pBdr/>
        <w:tabs>
          <w:tab w:val="left" w:leader="none" w:pos="993"/>
        </w:tabs>
        <w:spacing w:line="276" w:lineRule="auto"/>
        <w:ind w:firstLine="709"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Сублицензиар гарантирует, что предоставленное СЗИ соответствует требованиям,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приведенным в Приложении № 1 настоящего Технического задания, а также свободны от дефектов материалов и изготовления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664347C">
      <w:pPr>
        <w:pStyle w:val="922"/>
        <w:numPr>
          <w:ilvl w:val="0"/>
          <w:numId w:val="12"/>
        </w:numPr>
        <w:pBdr/>
        <w:tabs>
          <w:tab w:val="left" w:leader="none" w:pos="993"/>
        </w:tabs>
        <w:spacing w:line="276" w:lineRule="auto"/>
        <w:ind w:firstLine="709"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срок гарантии производителя на предост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авленное СЗИ должен составлять не менее 12 месяцев.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19DF803F">
      <w:pPr>
        <w:pStyle w:val="854"/>
        <w:numPr>
          <w:ilvl w:val="0"/>
          <w:numId w:val="6"/>
        </w:numPr>
        <w:pBdr/>
        <w:tabs>
          <w:tab w:val="left" w:leader="none" w:pos="993"/>
        </w:tabs>
        <w:spacing w:before="240" w:line="276" w:lineRule="auto"/>
        <w:ind w:firstLine="709"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ТРЕБОВАНИЯ К ЛИЦЕНЗИРОВАНИЮ СУБЛИЦЕНЗИАРА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5E2DAAC3">
      <w:pPr>
        <w:pBdr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соответствии с подпунктами 1 и 5 пункта 1 статьи 12 Федерального закона № 99-ФЗ «О лицензировании отдельных видов деятельности» от 04 мая 2011 года Сублицензиар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обязуется предоставить копию действующей лицензии ФСТЭК России на осуществление деятельности по технической защите конфиденциальной информации.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616C803">
      <w:pPr>
        <w:pStyle w:val="854"/>
        <w:numPr>
          <w:ilvl w:val="0"/>
          <w:numId w:val="6"/>
        </w:numPr>
        <w:pBdr/>
        <w:tabs>
          <w:tab w:val="left" w:leader="none" w:pos="993"/>
        </w:tabs>
        <w:spacing w:before="240" w:line="276" w:lineRule="auto"/>
        <w:ind w:firstLine="709"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ТРЕБОВАНИЯ К КАЧЕСТВУ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5904CBB">
      <w:pPr>
        <w:pBdr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Передача прав осуществляется с соблюдением требований Федерального закона № 152-ФЗ от 27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июля 2006 года «О персональных данных» и принятыми в соответствии с ним нормативно-методическими документами, устанавливающими требования к защите персональных данных.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1903FD35">
      <w:pPr>
        <w:pBdr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Качество и комплектность СЗИ должны соответствовать требованиям, предъявляемым к технич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еским характеристикам в стране производителя, а также действующим в РФ стандартам и техническим условиям.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5144821B">
      <w:pPr>
        <w:pStyle w:val="854"/>
        <w:numPr>
          <w:ilvl w:val="0"/>
          <w:numId w:val="6"/>
        </w:numPr>
        <w:pBdr/>
        <w:tabs>
          <w:tab w:val="left" w:leader="none" w:pos="993"/>
        </w:tabs>
        <w:spacing w:before="240" w:line="276" w:lineRule="auto"/>
        <w:ind w:firstLine="709"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ИСТОЧНИКИ РАЗРАБОТКИ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8AA6881">
      <w:pPr>
        <w:pBdr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Сублицензиар при исполнении обязанностей должен обеспечивать соблюдение следующих федеральных законов, постановлений Правительств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 Российской Федерации и нормативных актов: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4BE76FA">
      <w:pPr>
        <w:pStyle w:val="920"/>
        <w:widowControl w:val="false"/>
        <w:numPr>
          <w:ilvl w:val="0"/>
          <w:numId w:val="5"/>
        </w:numPr>
        <w:pBdr/>
        <w:tabs>
          <w:tab w:val="left" w:leader="none" w:pos="993"/>
        </w:tabs>
        <w:spacing w:line="276" w:lineRule="auto"/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Федеральный закон </w:t>
      </w:r>
      <w:r>
        <w:rPr>
          <w:rStyle w:val="932"/>
          <w:rFonts w:ascii="Times New Roman" w:hAnsi="Times New Roman" w:eastAsia="Times New Roman" w:cs="Times New Roman"/>
          <w:sz w:val="24"/>
          <w:szCs w:val="24"/>
        </w:rPr>
        <w:t xml:space="preserve">от 27 июля 2006 года №</w:t>
      </w:r>
      <w:r>
        <w:rPr>
          <w:rStyle w:val="933"/>
          <w:rFonts w:ascii="Times New Roman" w:hAnsi="Times New Roman" w:eastAsia="Times New Roman" w:cs="Times New Roman"/>
          <w:sz w:val="24"/>
          <w:szCs w:val="24"/>
        </w:rPr>
        <w:t xml:space="preserve"> </w:t>
      </w:r>
      <w:r>
        <w:rPr>
          <w:rStyle w:val="882"/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152</w:t>
      </w:r>
      <w:r>
        <w:rPr>
          <w:rStyle w:val="932"/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-</w:t>
      </w:r>
      <w:r>
        <w:rPr>
          <w:rStyle w:val="882"/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ФЗ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«О персональных данных»;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730F93BE">
      <w:pPr>
        <w:pStyle w:val="920"/>
        <w:numPr>
          <w:ilvl w:val="0"/>
          <w:numId w:val="5"/>
        </w:numPr>
        <w:pBdr/>
        <w:tabs>
          <w:tab w:val="left" w:leader="none" w:pos="993"/>
        </w:tabs>
        <w:spacing w:line="276" w:lineRule="auto"/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Федеральный закон от 27 июля 2006 года №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149-ФЗ «Об информации, информационных технологиях и о защите информации»;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3AA7FA8">
      <w:pPr>
        <w:pStyle w:val="920"/>
        <w:numPr>
          <w:ilvl w:val="0"/>
          <w:numId w:val="5"/>
        </w:numPr>
        <w:pBdr/>
        <w:tabs>
          <w:tab w:val="left" w:leader="none" w:pos="993"/>
        </w:tabs>
        <w:spacing w:line="276" w:lineRule="auto"/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Постановление Правительс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тва Российской Федерации от 01 ноября 2012 года №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1119 «Об утверждении требований к защите персональных данных при их обработке в информационных системах персональных данных»;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F48A87F">
      <w:pPr>
        <w:pStyle w:val="920"/>
        <w:numPr>
          <w:ilvl w:val="0"/>
          <w:numId w:val="5"/>
        </w:numPr>
        <w:pBdr/>
        <w:tabs>
          <w:tab w:val="left" w:leader="none" w:pos="993"/>
        </w:tabs>
        <w:spacing w:line="276" w:lineRule="auto"/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/>
      <w:bookmarkStart w:id="4" w:name="_Hlk187749176"/>
      <w:r>
        <w:rPr>
          <w:rFonts w:ascii="Times New Roman" w:hAnsi="Times New Roman" w:eastAsia="Times New Roman" w:cs="Times New Roman"/>
          <w:sz w:val="24"/>
          <w:szCs w:val="24"/>
        </w:rPr>
        <w:t xml:space="preserve">Приказ Федеральной службы по техническому и экспортному контролю от 18 февраля 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013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г. №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</w:t>
      </w:r>
      <w:bookmarkEnd w:id="4"/>
      <w:r>
        <w:rPr>
          <w:rFonts w:ascii="Times New Roman" w:hAnsi="Times New Roman" w:eastAsia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4EE44F0">
      <w:pPr>
        <w:pStyle w:val="920"/>
        <w:widowControl w:val="false"/>
        <w:numPr>
          <w:ilvl w:val="0"/>
          <w:numId w:val="5"/>
        </w:numPr>
        <w:pBdr/>
        <w:tabs>
          <w:tab w:val="left" w:leader="none" w:pos="993"/>
        </w:tabs>
        <w:spacing w:line="276" w:lineRule="auto"/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«Методические рекомендации по разработке нормативных правовых актов, определяющих угрозы безопасности персональных данных, актуальные при обработке персональных данных в информационных системах персональных данных, эксплуатируемых при осуществлении соответ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ствующих видов деятельности» (утверждены руководством 8 Центра ФСБ России 31 марта 2015 года № 149/7/2/6-432);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152A0CDD">
      <w:pPr>
        <w:pStyle w:val="920"/>
        <w:numPr>
          <w:ilvl w:val="0"/>
          <w:numId w:val="5"/>
        </w:numPr>
        <w:pBdr/>
        <w:tabs>
          <w:tab w:val="left" w:leader="none" w:pos="993"/>
        </w:tabs>
        <w:spacing w:line="276" w:lineRule="auto"/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ГОСТ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34.602-2020 «Информационные технологии. Комплекс стандартов на автоматизированные системы.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Техническое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задание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создание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автоматизированно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системы»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109CB01">
      <w:pPr>
        <w:pStyle w:val="854"/>
        <w:numPr>
          <w:ilvl w:val="0"/>
          <w:numId w:val="6"/>
        </w:numPr>
        <w:pBdr/>
        <w:tabs>
          <w:tab w:val="left" w:leader="none" w:pos="993"/>
        </w:tabs>
        <w:spacing w:before="240" w:line="276" w:lineRule="auto"/>
        <w:ind w:firstLine="709"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ТРЕБОВАНИЯ ПО ОБЕСПЕЧЕНИЮ КОНФИДЕНЦИАЛЬНОСТИ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70D49389">
      <w:pPr>
        <w:pBdr/>
        <w:spacing w:line="276" w:lineRule="auto"/>
        <w:ind w:firstLine="567"/>
        <w:jc w:val="both"/>
        <w:rPr>
          <w:rFonts w:ascii="Times New Roman" w:hAnsi="Times New Roman" w:eastAsia="MS Mincho" w:cs="Times New Roman"/>
          <w:lang w:eastAsia="ja-JP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период действия контракта и после его окончания Сублицензиат и Сублицензиар не должны разглашать и использовать конфиденциальную информацию, принадлежащую Сублицензиару и Сублицензиату, которая мож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ет стать им известной в ходе исполнения контракта. Сублицензиар 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Сублицензиат несут ответственность за соблюдение этого требования в соответствии с законодател</w:t>
      </w:r>
      <w:r>
        <w:rPr>
          <w:rFonts w:ascii="Times New Roman" w:hAnsi="Times New Roman" w:cs="Times New Roman"/>
        </w:rPr>
        <w:t xml:space="preserve">ьством Российской Федерации.</w:t>
      </w:r>
      <w:r>
        <w:rPr>
          <w:rFonts w:ascii="Times New Roman" w:hAnsi="Times New Roman" w:eastAsia="MS Mincho" w:cs="Times New Roman"/>
          <w:lang w:eastAsia="ja-JP"/>
        </w:rPr>
      </w:r>
      <w:r>
        <w:rPr>
          <w:rFonts w:ascii="Times New Roman" w:hAnsi="Times New Roman" w:eastAsia="MS Mincho" w:cs="Times New Roman"/>
          <w:lang w:eastAsia="ja-JP"/>
        </w:rPr>
      </w:r>
    </w:p>
    <w:tbl>
      <w:tblPr>
        <w:tblW w:w="5000" w:type="pct"/>
        <w:tblCellMar>
          <w:left w:w="15" w:type="dxa"/>
          <w:top w:w="15" w:type="dxa"/>
          <w:right w:w="15" w:type="dxa"/>
          <w:bottom w:w="15" w:type="dxa"/>
        </w:tblCellMar>
        <w:tblBorders/>
        <w:tblCellSpacing w:w="15" w:type="dxa"/>
        <w:tblLook w:val="04A0" w:firstRow="1" w:lastRow="0" w:firstColumn="1" w:lastColumn="0" w:noHBand="0" w:noVBand="1"/>
      </w:tblPr>
      <w:tblGrid>
        <w:gridCol w:w="4150"/>
        <w:gridCol w:w="79"/>
        <w:gridCol w:w="618"/>
        <w:gridCol w:w="30"/>
        <w:gridCol w:w="5470"/>
      </w:tblGrid>
      <w:tr>
        <w:trPr>
          <w:tblCellSpacing w:w="15" w:type="dxa"/>
        </w:trPr>
        <w:tc>
          <w:tcPr>
            <w:gridSpan w:val="2"/>
            <w:tcBorders/>
            <w:tcW w:w="225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Субл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ицензиара: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/>
            <w:tcW w:w="0" w:type="auto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tcBorders/>
            <w:tcW w:w="2375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Субл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ицензиата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blCellSpacing w:w="15" w:type="dxa"/>
        </w:trPr>
        <w:tc>
          <w:tcPr>
            <w:gridSpan w:val="2"/>
            <w:tcBorders/>
            <w:tcW w:w="2250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"СПЕЦОПЕРАТОР"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tcBorders/>
            <w:tcW w:w="237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ИЯЗ РАН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blCellSpacing w:w="15" w:type="dxa"/>
        </w:trPr>
        <w:tc>
          <w:tcPr>
            <w:tcBorders>
              <w:bottom w:val="single" w:color="000000" w:sz="6" w:space="0"/>
            </w:tcBorders>
            <w:tcW w:w="221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</w:p>
          <w:p>
            <w:pPr>
              <w:pBdr/>
              <w:spacing w:after="0" w:line="240" w:lineRule="auto"/>
              <w:ind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/Березка О. 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gridSpan w:val="3"/>
            <w:tcBorders/>
            <w:tcW w:w="0" w:type="auto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bottom w:val="single" w:color="000000" w:sz="6" w:space="0"/>
            </w:tcBorders>
            <w:tcW w:w="2048" w:type="pct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  <w:p>
            <w:pPr>
              <w:pBdr/>
              <w:spacing w:after="0" w:line="240" w:lineRule="auto"/>
              <w:ind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Кибрик А. А./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</w:p>
        </w:tc>
      </w:tr>
      <w:tr>
        <w:trPr>
          <w:tblCellSpacing w:w="15" w:type="dxa"/>
        </w:trPr>
        <w:tc>
          <w:tcPr>
            <w:gridSpan w:val="2"/>
            <w:tcBorders/>
            <w:tcMar>
              <w:left w:w="15" w:type="dxa"/>
              <w:top w:w="15" w:type="dxa"/>
              <w:right w:w="567" w:type="dxa"/>
              <w:bottom w:w="15" w:type="dxa"/>
            </w:tcMar>
            <w:tcW w:w="225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м.п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/>
            <w:tcMar>
              <w:left w:w="15" w:type="dxa"/>
              <w:top w:w="15" w:type="dxa"/>
              <w:right w:w="567" w:type="dxa"/>
              <w:bottom w:w="1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tcBorders/>
            <w:tcMar>
              <w:left w:w="15" w:type="dxa"/>
              <w:top w:w="15" w:type="dxa"/>
              <w:right w:w="567" w:type="dxa"/>
              <w:bottom w:w="15" w:type="dxa"/>
            </w:tcMar>
            <w:tcW w:w="2375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м.п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</w:tbl>
    <w:p>
      <w:pPr>
        <w:pBdr/>
        <w:spacing w:after="0"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 w:after="0"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 w:after="100" w:afterAutospacing="1" w:before="100" w:beforeAutospacing="1" w:line="240" w:lineRule="auto"/>
        <w:ind w:firstLine="709"/>
        <w:jc w:val="right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sectPr>
      <w:footnotePr/>
      <w:endnotePr/>
      <w:type w:val="nextPage"/>
      <w:pgSz w:h="16838" w:orient="portrait" w:w="11906"/>
      <w:pgMar w:top="567" w:right="850" w:bottom="1134" w:left="709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cho">
    <w:panose1 w:val="02020503050405090304"/>
  </w:font>
  <w:font w:name="SimSun-ExtB">
    <w:panose1 w:val="02010609060101010101"/>
  </w:font>
  <w:font w:name="Symbol">
    <w:panose1 w:val="05050102010706020507"/>
  </w:font>
  <w:font w:name="Wingdings">
    <w:panose1 w:val="05000000000000000000"/>
  </w:font>
  <w:font w:name="Calibri">
    <w:panose1 w:val="020F0502020204030204"/>
  </w:font>
  <w:font w:name="Carlito">
    <w:panose1 w:val="020F0502020204030204"/>
  </w:font>
  <w:font w:name="SimSun">
    <w:panose1 w:val="02010600030101010101"/>
  </w:font>
  <w:font w:name="Courier New">
    <w:panose1 w:val="02070309020205020404"/>
  </w:font>
  <w:font w:name="Mangal">
    <w:panose1 w:val="02040503050406030204"/>
  </w:font>
  <w:font w:name="Liberation Serif">
    <w:panose1 w:val="02020603050405020304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8201B"/>
    <w:lvl w:ilvl="0">
      <w:isLgl w:val="false"/>
      <w:lvlJc w:val="left"/>
      <w:lvlText w:val="%1."/>
      <w:numFmt w:val="decimal"/>
      <w:pPr>
        <w:pBdr/>
        <w:spacing/>
        <w:ind w:hanging="435" w:left="435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5" w:left="1144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533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7112"/>
      </w:pPr>
      <w:rPr>
        <w:rFonts w:hint="default"/>
      </w:rPr>
      <w:start w:val="1"/>
      <w:suff w:val="tab"/>
    </w:lvl>
  </w:abstractNum>
  <w:abstractNum w:abstractNumId="1">
    <w:nsid w:val="12627CD2"/>
    <w:lvl w:ilvl="0">
      <w:isLgl w:val="false"/>
      <w:lvlJc w:val="left"/>
      <w:lvlText w:val=""/>
      <w:numFmt w:val="bullet"/>
      <w:pPr>
        <w:pBdr/>
        <w:tabs>
          <w:tab w:val="num" w:leader="none" w:pos="432"/>
        </w:tabs>
        <w:spacing/>
        <w:ind w:hanging="432" w:left="432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"/>
      <w:numFmt w:val="none"/>
      <w:pPr>
        <w:pBdr/>
        <w:tabs>
          <w:tab w:val="num" w:leader="none" w:pos="576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1008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1152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1296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144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1584"/>
        </w:tabs>
        <w:spacing/>
        <w:ind w:hanging="1584" w:left="1584"/>
      </w:pPr>
      <w:rPr/>
      <w:start w:val="1"/>
      <w:suff w:val="nothing"/>
    </w:lvl>
  </w:abstractNum>
  <w:abstractNum w:abstractNumId="2">
    <w:nsid w:val="30567FC3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cs="Times New Roman" w:eastAsiaTheme="minorHAnsi"/>
      </w:rPr>
      <w:start w:val="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4B956409"/>
    <w:lvl w:ilvl="0">
      <w:isLgl w:val="false"/>
      <w:lvlJc w:val="left"/>
      <w:lvlText w:val=""/>
      <w:numFmt w:val="bullet"/>
      <w:pPr>
        <w:pBdr/>
        <w:tabs>
          <w:tab w:val="num" w:leader="none" w:pos="432"/>
        </w:tabs>
        <w:spacing/>
        <w:ind w:hanging="432" w:left="432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"/>
      <w:numFmt w:val="none"/>
      <w:pPr>
        <w:pBdr/>
        <w:tabs>
          <w:tab w:val="num" w:leader="none" w:pos="576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spacing/>
        <w:ind w:hanging="720" w:left="720"/>
      </w:pPr>
      <w:pStyle w:val="918"/>
      <w:rPr/>
      <w:start w:val="1"/>
      <w:suff w:val="nothing"/>
    </w:lvl>
    <w:lvl w:ilvl="3">
      <w:isLgl w:val="false"/>
      <w:lvlJc w:val="left"/>
      <w:lvlText w:val=""/>
      <w:numFmt w:val="none"/>
      <w:pPr>
        <w:pBdr/>
        <w:spacing/>
        <w:ind w:hanging="864" w:left="864"/>
      </w:pPr>
      <w:pStyle w:val="919"/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1008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1152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1296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144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1584"/>
        </w:tabs>
        <w:spacing/>
        <w:ind w:hanging="1584" w:left="1584"/>
      </w:pPr>
      <w:rPr/>
      <w:start w:val="1"/>
      <w:suff w:val="nothing"/>
    </w:lvl>
  </w:abstractNum>
  <w:abstractNum w:abstractNumId="4">
    <w:nsid w:val="65082D87"/>
    <w:lvl w:ilvl="0">
      <w:isLgl w:val="false"/>
      <w:lvlJc w:val="left"/>
      <w:lvlText w:val="−"/>
      <w:numFmt w:val="bullet"/>
      <w:pPr>
        <w:pBdr/>
        <w:spacing/>
        <w:ind w:hanging="360" w:left="720"/>
      </w:pPr>
      <w:rPr>
        <w:rFonts w:hint="default" w:ascii="Times New Roman" w:hAnsi="Times New Roman" w:eastAsia="SimSun-ExtB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75B32271"/>
    <w:lvl w:ilvl="0">
      <w:isLgl w:val="false"/>
      <w:lvlJc w:val="left"/>
      <w:lvlText w:val="%1"/>
      <w:numFmt w:val="decimal"/>
      <w:pPr>
        <w:pBdr/>
        <w:spacing/>
        <w:ind w:hanging="360" w:left="1080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6">
    <w:nsid w:val="35DE32D6"/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 w:cs="Symbol"/>
        <w:sz w:val="20"/>
        <w:szCs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7">
    <w:nsid w:val="60B70AF1"/>
    <w:lvl w:ilvl="0">
      <w:isLgl w:val="false"/>
      <w:lvlJc w:val="left"/>
      <w:lvlText w:val="%1"/>
      <w:numFmt w:val="decimal"/>
      <w:pPr>
        <w:pBdr/>
        <w:spacing/>
        <w:ind w:hanging="360" w:left="1429"/>
      </w:pPr>
      <w:rPr>
        <w:rFonts w:hint="default"/>
      </w:rPr>
      <w:start w:val="1"/>
      <w:suff w:val="tab"/>
    </w:lvl>
    <w:lvl w:ilvl="1">
      <w:isLgl w:val="true"/>
      <w:lvlJc w:val="left"/>
      <w:lvlText w:val="%1.%2"/>
      <w:numFmt w:val="decimal"/>
      <w:pPr>
        <w:pBdr/>
        <w:spacing/>
        <w:ind w:hanging="510" w:left="1579"/>
      </w:pPr>
      <w:rPr>
        <w:rFonts w:hint="default"/>
      </w:rPr>
      <w:start w:val="1"/>
      <w:suff w:val="tab"/>
    </w:lvl>
    <w:lvl w:ilvl="2">
      <w:isLgl w:val="true"/>
      <w:lvlJc w:val="left"/>
      <w:lvlText w:val="%1.%2.%3"/>
      <w:numFmt w:val="decimal"/>
      <w:pPr>
        <w:pBdr/>
        <w:spacing/>
        <w:ind w:hanging="720" w:left="1789"/>
      </w:pPr>
      <w:rPr>
        <w:rFonts w:hint="default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spacing/>
        <w:ind w:hanging="720" w:left="1789"/>
      </w:pPr>
      <w:rPr>
        <w:rFonts w:hint="default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spacing/>
        <w:ind w:hanging="1080" w:left="2149"/>
      </w:pPr>
      <w:rPr>
        <w:rFonts w:hint="default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spacing/>
        <w:ind w:hanging="1080" w:left="2149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spacing/>
        <w:ind w:hanging="1440" w:left="2509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spacing/>
        <w:ind w:hanging="1440" w:left="2509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spacing/>
        <w:ind w:hanging="1800" w:left="2869"/>
      </w:pPr>
      <w:rPr>
        <w:rFonts w:hint="default"/>
      </w:rPr>
      <w:start w:val="1"/>
      <w:suff w:val="tab"/>
    </w:lvl>
  </w:abstractNum>
  <w:abstractNum w:abstractNumId="8">
    <w:nsid w:val="46D177E8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3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1080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216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288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396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46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576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648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7560"/>
      </w:pPr>
      <w:rPr>
        <w:rFonts w:hint="default"/>
      </w:rPr>
      <w:start w:val="1"/>
      <w:suff w:val="tab"/>
    </w:lvl>
  </w:abstractNum>
  <w:abstractNum w:abstractNumId="9">
    <w:nsid w:val="78982460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4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1080"/>
      </w:pPr>
      <w:rPr>
        <w:rFonts w:hint="default"/>
        <w:sz w:val="24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216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288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396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46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576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648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7560"/>
      </w:pPr>
      <w:rPr>
        <w:rFonts w:hint="default"/>
      </w:rPr>
      <w:start w:val="1"/>
      <w:suff w:val="tab"/>
    </w:lvl>
  </w:abstractNum>
  <w:abstractNum w:abstractNumId="10">
    <w:nsid w:val="4A74082D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5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1080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216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288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396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46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576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648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7560"/>
      </w:pPr>
      <w:rPr>
        <w:rFonts w:hint="default"/>
      </w:rPr>
      <w:start w:val="1"/>
      <w:suff w:val="tab"/>
    </w:lvl>
  </w:abstractNum>
  <w:abstractNum w:abstractNumId="11">
    <w:nsid w:val="2FBC7359"/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12">
    <w:nsid w:val="31095502"/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13">
    <w:nsid w:val="5BCB3186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7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1287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2574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3501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4788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571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7002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7929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9216"/>
      </w:pPr>
      <w:rPr>
        <w:rFonts w:hint="default"/>
      </w:rPr>
      <w:start w:val="1"/>
      <w:suff w:val="tab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9">
    <w:name w:val="Table Grid Light"/>
    <w:basedOn w:val="9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1"/>
    <w:basedOn w:val="9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2"/>
    <w:basedOn w:val="9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- Accent 1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2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3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4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5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6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 1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2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3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4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5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6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 1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2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3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4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 5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6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4">
    <w:name w:val="Heading 1"/>
    <w:basedOn w:val="909"/>
    <w:next w:val="909"/>
    <w:link w:val="86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55">
    <w:name w:val="Heading 2"/>
    <w:basedOn w:val="909"/>
    <w:next w:val="909"/>
    <w:link w:val="86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6">
    <w:name w:val="Heading 3"/>
    <w:basedOn w:val="909"/>
    <w:next w:val="909"/>
    <w:link w:val="86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7">
    <w:name w:val="Heading 4"/>
    <w:basedOn w:val="909"/>
    <w:next w:val="909"/>
    <w:link w:val="86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8">
    <w:name w:val="Heading 5"/>
    <w:basedOn w:val="909"/>
    <w:next w:val="909"/>
    <w:link w:val="86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59">
    <w:name w:val="Heading 6"/>
    <w:basedOn w:val="909"/>
    <w:next w:val="909"/>
    <w:link w:val="86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0">
    <w:name w:val="Heading 7"/>
    <w:basedOn w:val="909"/>
    <w:next w:val="909"/>
    <w:link w:val="86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1">
    <w:name w:val="Heading 8"/>
    <w:basedOn w:val="909"/>
    <w:next w:val="909"/>
    <w:link w:val="87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2">
    <w:name w:val="Heading 9"/>
    <w:basedOn w:val="909"/>
    <w:next w:val="909"/>
    <w:link w:val="87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3">
    <w:name w:val="Heading 1 Char"/>
    <w:basedOn w:val="910"/>
    <w:link w:val="85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4">
    <w:name w:val="Heading 2 Char"/>
    <w:basedOn w:val="910"/>
    <w:link w:val="85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5">
    <w:name w:val="Heading 3 Char"/>
    <w:basedOn w:val="910"/>
    <w:link w:val="8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6">
    <w:name w:val="Heading 4 Char"/>
    <w:basedOn w:val="910"/>
    <w:link w:val="85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67">
    <w:name w:val="Heading 5 Char"/>
    <w:basedOn w:val="910"/>
    <w:link w:val="85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68">
    <w:name w:val="Heading 6 Char"/>
    <w:basedOn w:val="910"/>
    <w:link w:val="85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9">
    <w:name w:val="Heading 7 Char"/>
    <w:basedOn w:val="910"/>
    <w:link w:val="86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0">
    <w:name w:val="Heading 8 Char"/>
    <w:basedOn w:val="910"/>
    <w:link w:val="86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1">
    <w:name w:val="Heading 9 Char"/>
    <w:basedOn w:val="910"/>
    <w:link w:val="86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2">
    <w:name w:val="Title Char"/>
    <w:basedOn w:val="910"/>
    <w:link w:val="92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3">
    <w:name w:val="Subtitle"/>
    <w:basedOn w:val="909"/>
    <w:next w:val="909"/>
    <w:link w:val="87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4">
    <w:name w:val="Subtitle Char"/>
    <w:basedOn w:val="910"/>
    <w:link w:val="87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5">
    <w:name w:val="Quote"/>
    <w:basedOn w:val="909"/>
    <w:next w:val="909"/>
    <w:link w:val="87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6">
    <w:name w:val="Quote Char"/>
    <w:basedOn w:val="910"/>
    <w:link w:val="87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77">
    <w:name w:val="Intense Emphasis"/>
    <w:basedOn w:val="91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78">
    <w:name w:val="Intense Quote"/>
    <w:basedOn w:val="909"/>
    <w:next w:val="909"/>
    <w:link w:val="87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79">
    <w:name w:val="Intense Quote Char"/>
    <w:basedOn w:val="910"/>
    <w:link w:val="87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0">
    <w:name w:val="Intense Reference"/>
    <w:basedOn w:val="91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81">
    <w:name w:val="Subtle Emphasis"/>
    <w:basedOn w:val="91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2">
    <w:name w:val="Emphasis"/>
    <w:basedOn w:val="910"/>
    <w:uiPriority w:val="20"/>
    <w:qFormat/>
    <w:pPr>
      <w:pBdr/>
      <w:spacing/>
      <w:ind/>
    </w:pPr>
    <w:rPr>
      <w:i/>
      <w:iCs/>
    </w:rPr>
  </w:style>
  <w:style w:type="character" w:styleId="883">
    <w:name w:val="Subtle Reference"/>
    <w:basedOn w:val="91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4">
    <w:name w:val="Book Title"/>
    <w:basedOn w:val="91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5">
    <w:name w:val="Header"/>
    <w:basedOn w:val="909"/>
    <w:link w:val="88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6">
    <w:name w:val="Header Char"/>
    <w:basedOn w:val="910"/>
    <w:link w:val="885"/>
    <w:uiPriority w:val="99"/>
    <w:pPr>
      <w:pBdr/>
      <w:spacing/>
      <w:ind/>
    </w:pPr>
  </w:style>
  <w:style w:type="paragraph" w:styleId="887">
    <w:name w:val="Footer"/>
    <w:basedOn w:val="909"/>
    <w:link w:val="88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8">
    <w:name w:val="Footer Char"/>
    <w:basedOn w:val="910"/>
    <w:link w:val="887"/>
    <w:uiPriority w:val="99"/>
    <w:pPr>
      <w:pBdr/>
      <w:spacing/>
      <w:ind/>
    </w:pPr>
  </w:style>
  <w:style w:type="paragraph" w:styleId="889">
    <w:name w:val="Caption"/>
    <w:basedOn w:val="909"/>
    <w:next w:val="90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0">
    <w:name w:val="footnote text"/>
    <w:basedOn w:val="909"/>
    <w:link w:val="89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1">
    <w:name w:val="Footnote Text Char"/>
    <w:basedOn w:val="910"/>
    <w:link w:val="890"/>
    <w:uiPriority w:val="99"/>
    <w:semiHidden/>
    <w:pPr>
      <w:pBdr/>
      <w:spacing/>
      <w:ind/>
    </w:pPr>
    <w:rPr>
      <w:sz w:val="20"/>
      <w:szCs w:val="20"/>
    </w:rPr>
  </w:style>
  <w:style w:type="character" w:styleId="892">
    <w:name w:val="footnote reference"/>
    <w:basedOn w:val="910"/>
    <w:uiPriority w:val="99"/>
    <w:semiHidden/>
    <w:unhideWhenUsed/>
    <w:pPr>
      <w:pBdr/>
      <w:spacing/>
      <w:ind/>
    </w:pPr>
    <w:rPr>
      <w:vertAlign w:val="superscript"/>
    </w:rPr>
  </w:style>
  <w:style w:type="paragraph" w:styleId="893">
    <w:name w:val="endnote text"/>
    <w:basedOn w:val="909"/>
    <w:link w:val="89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4">
    <w:name w:val="Endnote Text Char"/>
    <w:basedOn w:val="910"/>
    <w:link w:val="893"/>
    <w:uiPriority w:val="99"/>
    <w:semiHidden/>
    <w:pPr>
      <w:pBdr/>
      <w:spacing/>
      <w:ind/>
    </w:pPr>
    <w:rPr>
      <w:sz w:val="20"/>
      <w:szCs w:val="20"/>
    </w:rPr>
  </w:style>
  <w:style w:type="character" w:styleId="895">
    <w:name w:val="endnote reference"/>
    <w:basedOn w:val="910"/>
    <w:uiPriority w:val="99"/>
    <w:semiHidden/>
    <w:unhideWhenUsed/>
    <w:pPr>
      <w:pBdr/>
      <w:spacing/>
      <w:ind/>
    </w:pPr>
    <w:rPr>
      <w:vertAlign w:val="superscript"/>
    </w:rPr>
  </w:style>
  <w:style w:type="character" w:styleId="896">
    <w:name w:val="FollowedHyperlink"/>
    <w:basedOn w:val="91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97">
    <w:name w:val="toc 1"/>
    <w:basedOn w:val="909"/>
    <w:next w:val="909"/>
    <w:uiPriority w:val="39"/>
    <w:unhideWhenUsed/>
    <w:pPr>
      <w:pBdr/>
      <w:spacing w:after="100"/>
      <w:ind/>
    </w:pPr>
  </w:style>
  <w:style w:type="paragraph" w:styleId="898">
    <w:name w:val="toc 2"/>
    <w:basedOn w:val="909"/>
    <w:next w:val="909"/>
    <w:uiPriority w:val="39"/>
    <w:unhideWhenUsed/>
    <w:pPr>
      <w:pBdr/>
      <w:spacing w:after="100"/>
      <w:ind w:left="220"/>
    </w:pPr>
  </w:style>
  <w:style w:type="paragraph" w:styleId="899">
    <w:name w:val="toc 3"/>
    <w:basedOn w:val="909"/>
    <w:next w:val="909"/>
    <w:uiPriority w:val="39"/>
    <w:unhideWhenUsed/>
    <w:pPr>
      <w:pBdr/>
      <w:spacing w:after="100"/>
      <w:ind w:left="440"/>
    </w:pPr>
  </w:style>
  <w:style w:type="paragraph" w:styleId="900">
    <w:name w:val="toc 4"/>
    <w:basedOn w:val="909"/>
    <w:next w:val="909"/>
    <w:uiPriority w:val="39"/>
    <w:unhideWhenUsed/>
    <w:pPr>
      <w:pBdr/>
      <w:spacing w:after="100"/>
      <w:ind w:left="660"/>
    </w:pPr>
  </w:style>
  <w:style w:type="paragraph" w:styleId="901">
    <w:name w:val="toc 5"/>
    <w:basedOn w:val="909"/>
    <w:next w:val="909"/>
    <w:uiPriority w:val="39"/>
    <w:unhideWhenUsed/>
    <w:pPr>
      <w:pBdr/>
      <w:spacing w:after="100"/>
      <w:ind w:left="880"/>
    </w:pPr>
  </w:style>
  <w:style w:type="paragraph" w:styleId="902">
    <w:name w:val="toc 6"/>
    <w:basedOn w:val="909"/>
    <w:next w:val="909"/>
    <w:uiPriority w:val="39"/>
    <w:unhideWhenUsed/>
    <w:pPr>
      <w:pBdr/>
      <w:spacing w:after="100"/>
      <w:ind w:left="1100"/>
    </w:pPr>
  </w:style>
  <w:style w:type="paragraph" w:styleId="903">
    <w:name w:val="toc 7"/>
    <w:basedOn w:val="909"/>
    <w:next w:val="909"/>
    <w:uiPriority w:val="39"/>
    <w:unhideWhenUsed/>
    <w:pPr>
      <w:pBdr/>
      <w:spacing w:after="100"/>
      <w:ind w:left="1320"/>
    </w:pPr>
  </w:style>
  <w:style w:type="paragraph" w:styleId="904">
    <w:name w:val="toc 8"/>
    <w:basedOn w:val="909"/>
    <w:next w:val="909"/>
    <w:uiPriority w:val="39"/>
    <w:unhideWhenUsed/>
    <w:pPr>
      <w:pBdr/>
      <w:spacing w:after="100"/>
      <w:ind w:left="1540"/>
    </w:pPr>
  </w:style>
  <w:style w:type="paragraph" w:styleId="905">
    <w:name w:val="toc 9"/>
    <w:basedOn w:val="909"/>
    <w:next w:val="909"/>
    <w:uiPriority w:val="39"/>
    <w:unhideWhenUsed/>
    <w:pPr>
      <w:pBdr/>
      <w:spacing w:after="100"/>
      <w:ind w:left="1760"/>
    </w:pPr>
  </w:style>
  <w:style w:type="character" w:styleId="906">
    <w:name w:val="Placeholder Text"/>
    <w:basedOn w:val="910"/>
    <w:uiPriority w:val="99"/>
    <w:semiHidden/>
    <w:pPr>
      <w:pBdr/>
      <w:spacing/>
      <w:ind/>
    </w:pPr>
    <w:rPr>
      <w:color w:val="666666"/>
    </w:rPr>
  </w:style>
  <w:style w:type="paragraph" w:styleId="907">
    <w:name w:val="TOC Heading"/>
    <w:uiPriority w:val="39"/>
    <w:unhideWhenUsed/>
    <w:pPr>
      <w:pBdr/>
      <w:spacing/>
      <w:ind/>
    </w:pPr>
  </w:style>
  <w:style w:type="paragraph" w:styleId="908">
    <w:name w:val="table of figures"/>
    <w:basedOn w:val="909"/>
    <w:next w:val="909"/>
    <w:uiPriority w:val="99"/>
    <w:unhideWhenUsed/>
    <w:pPr>
      <w:pBdr/>
      <w:spacing w:after="0" w:afterAutospacing="0"/>
      <w:ind/>
    </w:pPr>
  </w:style>
  <w:style w:type="paragraph" w:styleId="909" w:default="1">
    <w:name w:val="Normal"/>
    <w:qFormat/>
    <w:pPr>
      <w:pBdr/>
      <w:spacing/>
      <w:ind/>
    </w:pPr>
  </w:style>
  <w:style w:type="character" w:styleId="910" w:default="1">
    <w:name w:val="Default Paragraph Font"/>
    <w:uiPriority w:val="1"/>
    <w:semiHidden/>
    <w:unhideWhenUsed/>
    <w:pPr>
      <w:pBdr/>
      <w:spacing/>
      <w:ind/>
    </w:pPr>
  </w:style>
  <w:style w:type="table" w:styleId="9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2" w:default="1">
    <w:name w:val="No List"/>
    <w:uiPriority w:val="99"/>
    <w:semiHidden/>
    <w:unhideWhenUsed/>
    <w:pPr>
      <w:pBdr/>
      <w:spacing/>
      <w:ind/>
    </w:pPr>
  </w:style>
  <w:style w:type="paragraph" w:styleId="913">
    <w:name w:val="Normal (Web)"/>
    <w:basedOn w:val="909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14" w:customStyle="1">
    <w:name w:val="editablespan1"/>
    <w:basedOn w:val="910"/>
    <w:pPr>
      <w:pBdr/>
      <w:spacing/>
      <w:ind/>
    </w:pPr>
    <w:rPr>
      <w:color w:val="ff0000"/>
    </w:rPr>
  </w:style>
  <w:style w:type="character" w:styleId="915">
    <w:name w:val="Strong"/>
    <w:basedOn w:val="910"/>
    <w:uiPriority w:val="22"/>
    <w:qFormat/>
    <w:pPr>
      <w:pBdr/>
      <w:spacing/>
      <w:ind/>
    </w:pPr>
    <w:rPr>
      <w:b/>
      <w:bCs/>
    </w:rPr>
  </w:style>
  <w:style w:type="paragraph" w:styleId="916">
    <w:name w:val="Balloon Text"/>
    <w:basedOn w:val="909"/>
    <w:link w:val="917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17" w:customStyle="1">
    <w:name w:val="Текст выноски Знак"/>
    <w:basedOn w:val="910"/>
    <w:link w:val="916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18" w:customStyle="1">
    <w:name w:val="Заголовок 31"/>
    <w:basedOn w:val="909"/>
    <w:qFormat/>
    <w:pPr>
      <w:keepNext w:val="true"/>
      <w:numPr>
        <w:ilvl w:val="2"/>
        <w:numId w:val="1"/>
      </w:numPr>
      <w:pBdr/>
      <w:tabs>
        <w:tab w:val="left" w:leader="none" w:pos="312"/>
      </w:tabs>
      <w:spacing w:after="60" w:before="240" w:line="240" w:lineRule="auto"/>
      <w:ind w:firstLine="0" w:left="142"/>
      <w:jc w:val="both"/>
      <w:outlineLvl w:val="2"/>
    </w:pPr>
    <w:rPr>
      <w:rFonts w:ascii="Arial" w:hAnsi="Arial" w:eastAsia="Times New Roman" w:cs="Arial"/>
      <w:b/>
      <w:bCs/>
      <w:sz w:val="24"/>
      <w:szCs w:val="24"/>
      <w:lang w:eastAsia="zh-CN"/>
    </w:rPr>
  </w:style>
  <w:style w:type="paragraph" w:styleId="919" w:customStyle="1">
    <w:name w:val="Заголовок 41"/>
    <w:basedOn w:val="909"/>
    <w:qFormat/>
    <w:pPr>
      <w:keepNext w:val="true"/>
      <w:numPr>
        <w:ilvl w:val="3"/>
        <w:numId w:val="1"/>
      </w:numPr>
      <w:pBdr/>
      <w:spacing w:after="120" w:before="120" w:line="240" w:lineRule="auto"/>
      <w:ind/>
      <w:outlineLvl w:val="3"/>
    </w:pPr>
    <w:rPr>
      <w:rFonts w:ascii="Liberation Serif" w:hAnsi="Liberation Serif" w:eastAsia="SimSun" w:cs="Mangal"/>
      <w:b/>
      <w:bCs/>
      <w:sz w:val="24"/>
      <w:szCs w:val="24"/>
      <w:lang w:eastAsia="zh-CN"/>
    </w:rPr>
  </w:style>
  <w:style w:type="paragraph" w:styleId="920">
    <w:name w:val="List Paragraph"/>
    <w:basedOn w:val="909"/>
    <w:uiPriority w:val="34"/>
    <w:qFormat/>
    <w:pPr>
      <w:pBdr/>
      <w:spacing/>
      <w:ind w:left="720"/>
      <w:contextualSpacing w:val="true"/>
    </w:pPr>
  </w:style>
  <w:style w:type="character" w:styleId="921">
    <w:name w:val="Hyperlink"/>
    <w:basedOn w:val="910"/>
    <w:uiPriority w:val="99"/>
    <w:semiHidden/>
    <w:unhideWhenUsed/>
    <w:pPr>
      <w:pBdr/>
      <w:spacing/>
      <w:ind/>
    </w:pPr>
    <w:rPr>
      <w:color w:val="0000ff"/>
      <w:u w:val="single"/>
    </w:rPr>
  </w:style>
  <w:style w:type="paragraph" w:styleId="922">
    <w:name w:val="Body Text"/>
    <w:basedOn w:val="909"/>
    <w:link w:val="923"/>
    <w:uiPriority w:val="1"/>
    <w:qFormat/>
    <w:pPr>
      <w:widowControl w:val="false"/>
      <w:pBdr/>
      <w:spacing w:after="0" w:line="240" w:lineRule="auto"/>
      <w:ind/>
    </w:pPr>
    <w:rPr>
      <w:rFonts w:ascii="Carlito" w:hAnsi="Carlito" w:eastAsia="Carlito" w:cs="Carlito"/>
      <w:sz w:val="20"/>
      <w:szCs w:val="20"/>
    </w:rPr>
  </w:style>
  <w:style w:type="character" w:styleId="923" w:customStyle="1">
    <w:name w:val="Основной текст Знак"/>
    <w:basedOn w:val="910"/>
    <w:link w:val="922"/>
    <w:uiPriority w:val="1"/>
    <w:pPr>
      <w:pBdr/>
      <w:spacing/>
      <w:ind/>
    </w:pPr>
    <w:rPr>
      <w:rFonts w:ascii="Carlito" w:hAnsi="Carlito" w:eastAsia="Carlito" w:cs="Carlito"/>
      <w:sz w:val="20"/>
      <w:szCs w:val="20"/>
    </w:rPr>
  </w:style>
  <w:style w:type="paragraph" w:styleId="924">
    <w:name w:val="Title"/>
    <w:basedOn w:val="909"/>
    <w:link w:val="925"/>
    <w:uiPriority w:val="10"/>
    <w:qFormat/>
    <w:pPr>
      <w:widowControl w:val="false"/>
      <w:pBdr/>
      <w:spacing w:after="0" w:line="240" w:lineRule="auto"/>
      <w:ind w:right="489" w:left="122"/>
      <w:jc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925" w:customStyle="1">
    <w:name w:val="Заголовок Знак"/>
    <w:basedOn w:val="910"/>
    <w:link w:val="924"/>
    <w:uiPriority w:val="10"/>
    <w:pPr>
      <w:pBdr/>
      <w:spacing/>
      <w:ind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926">
    <w:name w:val="No Spacing"/>
    <w:uiPriority w:val="1"/>
    <w:qFormat/>
    <w:pPr>
      <w:pBdr/>
      <w:spacing w:after="0" w:line="240" w:lineRule="auto"/>
      <w:ind/>
    </w:pPr>
  </w:style>
  <w:style w:type="table" w:styleId="927">
    <w:name w:val="Table Grid"/>
    <w:basedOn w:val="911"/>
    <w:uiPriority w:val="39"/>
    <w:pPr>
      <w:pBdr/>
      <w:spacing w:after="0" w:line="240" w:lineRule="auto"/>
      <w:ind/>
    </w:pPr>
    <w:rPr>
      <w:rFonts w:ascii="Arial" w:hAnsi="Arial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8" w:customStyle="1">
    <w:name w:val="fontstyle01"/>
    <w:basedOn w:val="910"/>
    <w:pPr>
      <w:pBdr/>
      <w:spacing/>
      <w:ind/>
    </w:pPr>
    <w:rPr>
      <w:rFonts w:hint="default" w:ascii="Times New Roman" w:hAnsi="Times New Roman" w:cs="Times New Roman"/>
      <w:b w:val="0"/>
      <w:bCs w:val="0"/>
      <w:i w:val="0"/>
      <w:iCs w:val="0"/>
      <w:color w:val="000000"/>
      <w:sz w:val="20"/>
      <w:szCs w:val="20"/>
    </w:rPr>
  </w:style>
  <w:style w:type="paragraph" w:styleId="929" w:customStyle="1">
    <w:name w:val="x_msonormal"/>
    <w:basedOn w:val="909"/>
    <w:pPr>
      <w:pBdr/>
      <w:spacing w:after="0" w:line="240" w:lineRule="auto"/>
      <w:ind/>
    </w:pPr>
    <w:rPr>
      <w:rFonts w:ascii="Calibri" w:hAnsi="Calibri" w:cs="Times New Roman"/>
      <w:lang w:eastAsia="ru-RU"/>
    </w:rPr>
  </w:style>
  <w:style w:type="paragraph" w:styleId="930" w:customStyle="1">
    <w:name w:val="T1"/>
    <w:uiPriority w:val="99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360" w:lineRule="auto"/>
      <w:ind w:right="0" w:firstLine="709" w:left="0"/>
      <w:contextualSpacing w:val="false"/>
      <w:jc w:val="both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6"/>
      <w:szCs w:val="26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931" w:customStyle="1">
    <w:name w:val="ph_normal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360" w:lineRule="auto"/>
      <w:ind w:right="-1" w:firstLine="851" w:left="0"/>
      <w:contextualSpacing w:val="false"/>
      <w:jc w:val="both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32" w:customStyle="1">
    <w:name w:val="apple-style-span"/>
    <w:uiPriority w:val="99"/>
    <w:pPr>
      <w:pBdr/>
      <w:spacing/>
      <w:ind/>
    </w:pPr>
  </w:style>
  <w:style w:type="character" w:styleId="933" w:customStyle="1">
    <w:name w:val="apple-converted-space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09654-F5EA-479A-81C5-A510E601A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Шекун Марианна Анатольевна</dc:creator>
  <cp:keywords/>
  <dc:description/>
  <cp:revision>5</cp:revision>
  <dcterms:created xsi:type="dcterms:W3CDTF">2025-06-02T11:14:00Z</dcterms:created>
  <dcterms:modified xsi:type="dcterms:W3CDTF">2026-09-02T10:23:55Z</dcterms:modified>
</cp:coreProperties>
</file>