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5D2" w:rsidRDefault="004955D2" w:rsidP="004955D2">
      <w:pPr>
        <w:spacing w:after="0" w:line="240" w:lineRule="auto"/>
        <w:ind w:left="-284" w:right="140"/>
        <w:jc w:val="right"/>
        <w:rPr>
          <w:rFonts w:eastAsia="Times New Roman"/>
          <w:sz w:val="24"/>
          <w:szCs w:val="24"/>
          <w:lang w:eastAsia="ru-RU"/>
        </w:rPr>
      </w:pPr>
      <w:r w:rsidRPr="001B08BA">
        <w:rPr>
          <w:rFonts w:eastAsia="Times New Roman"/>
          <w:sz w:val="24"/>
          <w:szCs w:val="24"/>
          <w:lang w:eastAsia="ru-RU"/>
        </w:rPr>
        <w:t>Приложение № 1</w:t>
      </w:r>
    </w:p>
    <w:p w:rsidR="004955D2" w:rsidRDefault="004955D2" w:rsidP="004955D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Договору № </w:t>
      </w:r>
      <w:r w:rsidR="004D0BDF">
        <w:rPr>
          <w:rFonts w:ascii="Times New Roman" w:hAnsi="Times New Roman" w:cs="Times New Roman"/>
          <w:sz w:val="24"/>
          <w:szCs w:val="24"/>
        </w:rPr>
        <w:t>_________________</w:t>
      </w:r>
    </w:p>
    <w:p w:rsidR="004955D2" w:rsidRDefault="004955D2" w:rsidP="004955D2">
      <w:pPr>
        <w:pStyle w:val="ConsPlusNormal"/>
        <w:jc w:val="right"/>
        <w:rPr>
          <w:rFonts w:ascii="Times New Roman" w:hAnsi="Times New Roman" w:cs="Times New Roman"/>
          <w:sz w:val="24"/>
          <w:szCs w:val="24"/>
        </w:rPr>
      </w:pPr>
      <w:r>
        <w:rPr>
          <w:rFonts w:ascii="Times New Roman" w:hAnsi="Times New Roman" w:cs="Times New Roman"/>
          <w:sz w:val="24"/>
          <w:szCs w:val="24"/>
        </w:rPr>
        <w:t>от __________ 202_ г.</w:t>
      </w:r>
    </w:p>
    <w:p w:rsidR="004955D2" w:rsidRDefault="004955D2">
      <w:pPr>
        <w:spacing w:after="0" w:line="240" w:lineRule="auto"/>
        <w:ind w:left="-284" w:right="140"/>
        <w:jc w:val="center"/>
        <w:rPr>
          <w:rFonts w:eastAsia="Times New Roman"/>
          <w:b/>
          <w:sz w:val="24"/>
          <w:szCs w:val="24"/>
        </w:rPr>
      </w:pPr>
    </w:p>
    <w:p w:rsidR="004955D2" w:rsidRDefault="004955D2">
      <w:pPr>
        <w:spacing w:after="0" w:line="240" w:lineRule="auto"/>
        <w:ind w:left="-284" w:right="140"/>
        <w:jc w:val="center"/>
        <w:rPr>
          <w:rFonts w:eastAsia="Times New Roman"/>
          <w:b/>
          <w:sz w:val="24"/>
          <w:szCs w:val="24"/>
        </w:rPr>
      </w:pPr>
    </w:p>
    <w:p w:rsidR="00792EF0" w:rsidRDefault="004955D2">
      <w:pPr>
        <w:spacing w:after="0" w:line="240" w:lineRule="auto"/>
        <w:ind w:left="-284" w:right="140"/>
        <w:jc w:val="center"/>
        <w:rPr>
          <w:rFonts w:eastAsia="Times New Roman"/>
          <w:b/>
          <w:sz w:val="24"/>
          <w:szCs w:val="24"/>
        </w:rPr>
      </w:pPr>
      <w:r>
        <w:rPr>
          <w:rFonts w:eastAsia="Times New Roman"/>
          <w:b/>
          <w:sz w:val="24"/>
          <w:szCs w:val="24"/>
        </w:rPr>
        <w:t>ОПИСАНИЕ ОБЪЕКТА ЗАКУПКИ</w:t>
      </w:r>
    </w:p>
    <w:p w:rsidR="00792EF0" w:rsidRDefault="004955D2">
      <w:pPr>
        <w:spacing w:after="0" w:line="240" w:lineRule="auto"/>
        <w:ind w:left="-284" w:right="140"/>
        <w:jc w:val="center"/>
        <w:rPr>
          <w:rFonts w:eastAsia="Times New Roman"/>
          <w:b/>
          <w:sz w:val="24"/>
          <w:szCs w:val="24"/>
        </w:rPr>
      </w:pPr>
      <w:r>
        <w:rPr>
          <w:rFonts w:eastAsia="Times New Roman"/>
          <w:b/>
          <w:sz w:val="24"/>
          <w:szCs w:val="24"/>
        </w:rPr>
        <w:t>(техническое задание)</w:t>
      </w:r>
    </w:p>
    <w:p w:rsidR="00792EF0" w:rsidRDefault="004955D2">
      <w:pPr>
        <w:spacing w:after="0" w:line="240" w:lineRule="auto"/>
        <w:ind w:left="-284" w:right="140"/>
        <w:jc w:val="center"/>
        <w:rPr>
          <w:rFonts w:eastAsia="Times New Roman"/>
          <w:b/>
          <w:sz w:val="24"/>
          <w:szCs w:val="24"/>
        </w:rPr>
      </w:pPr>
      <w:r>
        <w:rPr>
          <w:rFonts w:eastAsia="Times New Roman"/>
          <w:b/>
          <w:sz w:val="24"/>
          <w:szCs w:val="24"/>
        </w:rPr>
        <w:t>на оказание услуг по автотранспортному обслуживанию, включающего ремонт автомобиля ГАЗ 2217, для нужд Управления Федеральной службы государственной регистрации, кадастра и картографии по Московской области </w:t>
      </w:r>
      <w:bookmarkStart w:id="0" w:name="_GoBack"/>
      <w:bookmarkEnd w:id="0"/>
    </w:p>
    <w:p w:rsidR="00792EF0" w:rsidRDefault="00792EF0">
      <w:pPr>
        <w:spacing w:after="0" w:line="240" w:lineRule="auto"/>
        <w:ind w:left="-284" w:right="140"/>
        <w:rPr>
          <w:rFonts w:eastAsia="Times New Roman"/>
          <w:b/>
          <w:sz w:val="24"/>
          <w:szCs w:val="24"/>
        </w:rPr>
      </w:pPr>
    </w:p>
    <w:p w:rsidR="00792EF0" w:rsidRDefault="004955D2">
      <w:pPr>
        <w:pStyle w:val="a3"/>
        <w:numPr>
          <w:ilvl w:val="0"/>
          <w:numId w:val="1"/>
        </w:numPr>
        <w:spacing w:after="0" w:line="240" w:lineRule="auto"/>
        <w:ind w:left="357" w:hanging="357"/>
        <w:contextualSpacing w:val="0"/>
        <w:jc w:val="left"/>
        <w:outlineLvl w:val="0"/>
        <w:rPr>
          <w:sz w:val="24"/>
          <w:szCs w:val="24"/>
        </w:rPr>
      </w:pPr>
      <w:bookmarkStart w:id="1" w:name="_Toc519847830"/>
      <w:r>
        <w:rPr>
          <w:b/>
          <w:sz w:val="24"/>
          <w:szCs w:val="24"/>
        </w:rPr>
        <w:t>Предмет закупки</w:t>
      </w:r>
      <w:bookmarkEnd w:id="1"/>
    </w:p>
    <w:p w:rsidR="00792EF0" w:rsidRDefault="004955D2">
      <w:pPr>
        <w:pStyle w:val="a3"/>
        <w:tabs>
          <w:tab w:val="left" w:pos="851"/>
        </w:tabs>
        <w:ind w:left="360" w:right="68"/>
        <w:rPr>
          <w:sz w:val="24"/>
          <w:szCs w:val="24"/>
        </w:rPr>
      </w:pPr>
      <w:bookmarkStart w:id="2" w:name="_Toc519847831"/>
      <w:r>
        <w:rPr>
          <w:sz w:val="24"/>
          <w:szCs w:val="24"/>
        </w:rPr>
        <w:tab/>
        <w:t>Оказание услуг по автотранспортному обслуживанию (далее - Услуги), включающего ремонт автомобиля ГАЗ 2217,</w:t>
      </w:r>
    </w:p>
    <w:tbl>
      <w:tblPr>
        <w:tblStyle w:val="a6"/>
        <w:tblpPr w:leftFromText="180" w:rightFromText="180" w:vertAnchor="text" w:horzAnchor="margin" w:tblpXSpec="center" w:tblpY="26"/>
        <w:tblOverlap w:val="never"/>
        <w:tblW w:w="0" w:type="auto"/>
        <w:tblLook w:val="04A0" w:firstRow="1" w:lastRow="0" w:firstColumn="1" w:lastColumn="0" w:noHBand="0" w:noVBand="1"/>
      </w:tblPr>
      <w:tblGrid>
        <w:gridCol w:w="608"/>
        <w:gridCol w:w="2506"/>
        <w:gridCol w:w="6095"/>
      </w:tblGrid>
      <w:tr w:rsidR="00792EF0">
        <w:tc>
          <w:tcPr>
            <w:tcW w:w="608" w:type="dxa"/>
          </w:tcPr>
          <w:p w:rsidR="00792EF0" w:rsidRDefault="004955D2">
            <w:pPr>
              <w:pStyle w:val="a3"/>
              <w:tabs>
                <w:tab w:val="left" w:pos="851"/>
              </w:tabs>
              <w:ind w:left="0" w:right="68" w:firstLine="0"/>
              <w:rPr>
                <w:sz w:val="24"/>
                <w:szCs w:val="24"/>
              </w:rPr>
            </w:pPr>
            <w:r>
              <w:rPr>
                <w:sz w:val="24"/>
                <w:szCs w:val="24"/>
              </w:rPr>
              <w:t>№ п/п</w:t>
            </w:r>
          </w:p>
        </w:tc>
        <w:tc>
          <w:tcPr>
            <w:tcW w:w="2506" w:type="dxa"/>
          </w:tcPr>
          <w:p w:rsidR="00792EF0" w:rsidRDefault="004955D2">
            <w:pPr>
              <w:pStyle w:val="a3"/>
              <w:tabs>
                <w:tab w:val="left" w:pos="851"/>
              </w:tabs>
              <w:ind w:left="0" w:right="68" w:firstLine="0"/>
              <w:rPr>
                <w:sz w:val="24"/>
                <w:szCs w:val="24"/>
              </w:rPr>
            </w:pPr>
            <w:r>
              <w:rPr>
                <w:sz w:val="24"/>
                <w:szCs w:val="24"/>
              </w:rPr>
              <w:t>Марка автомобиля</w:t>
            </w:r>
          </w:p>
        </w:tc>
        <w:tc>
          <w:tcPr>
            <w:tcW w:w="6095" w:type="dxa"/>
          </w:tcPr>
          <w:p w:rsidR="00792EF0" w:rsidRDefault="004955D2">
            <w:pPr>
              <w:pStyle w:val="a3"/>
              <w:tabs>
                <w:tab w:val="left" w:pos="851"/>
              </w:tabs>
              <w:ind w:left="0" w:right="68" w:firstLine="0"/>
              <w:rPr>
                <w:sz w:val="24"/>
                <w:szCs w:val="24"/>
              </w:rPr>
            </w:pPr>
            <w:r>
              <w:rPr>
                <w:sz w:val="24"/>
                <w:szCs w:val="24"/>
              </w:rPr>
              <w:t>Виды ремонтных работ</w:t>
            </w:r>
          </w:p>
        </w:tc>
      </w:tr>
      <w:tr w:rsidR="00792EF0">
        <w:tc>
          <w:tcPr>
            <w:tcW w:w="608" w:type="dxa"/>
            <w:vMerge w:val="restart"/>
          </w:tcPr>
          <w:p w:rsidR="00792EF0" w:rsidRDefault="004955D2">
            <w:pPr>
              <w:pStyle w:val="a3"/>
              <w:tabs>
                <w:tab w:val="left" w:pos="851"/>
              </w:tabs>
              <w:ind w:left="0" w:right="68" w:firstLine="0"/>
              <w:jc w:val="center"/>
              <w:rPr>
                <w:sz w:val="24"/>
                <w:szCs w:val="24"/>
              </w:rPr>
            </w:pPr>
            <w:r>
              <w:rPr>
                <w:sz w:val="24"/>
                <w:szCs w:val="24"/>
              </w:rPr>
              <w:t>1</w:t>
            </w:r>
          </w:p>
          <w:p w:rsidR="00792EF0" w:rsidRDefault="00792EF0">
            <w:pPr>
              <w:pStyle w:val="a3"/>
              <w:tabs>
                <w:tab w:val="left" w:pos="851"/>
              </w:tabs>
              <w:ind w:left="0" w:right="68" w:firstLine="0"/>
              <w:jc w:val="center"/>
              <w:rPr>
                <w:sz w:val="24"/>
                <w:szCs w:val="24"/>
              </w:rPr>
            </w:pPr>
          </w:p>
        </w:tc>
        <w:tc>
          <w:tcPr>
            <w:tcW w:w="2506" w:type="dxa"/>
            <w:vMerge w:val="restart"/>
          </w:tcPr>
          <w:p w:rsidR="00792EF0" w:rsidRDefault="004955D2">
            <w:pPr>
              <w:pStyle w:val="a3"/>
              <w:tabs>
                <w:tab w:val="left" w:pos="851"/>
              </w:tabs>
              <w:ind w:left="0" w:right="68"/>
              <w:rPr>
                <w:i/>
                <w:sz w:val="24"/>
                <w:szCs w:val="24"/>
              </w:rPr>
            </w:pPr>
            <w:r>
              <w:rPr>
                <w:i/>
                <w:sz w:val="24"/>
                <w:szCs w:val="24"/>
              </w:rPr>
              <w:t>Газ 2217</w:t>
            </w:r>
          </w:p>
        </w:tc>
        <w:tc>
          <w:tcPr>
            <w:tcW w:w="6095" w:type="dxa"/>
          </w:tcPr>
          <w:p w:rsidR="00792EF0" w:rsidRDefault="004955D2">
            <w:pPr>
              <w:pStyle w:val="a3"/>
              <w:tabs>
                <w:tab w:val="left" w:pos="851"/>
              </w:tabs>
              <w:ind w:left="0" w:right="68" w:firstLine="0"/>
              <w:rPr>
                <w:sz w:val="24"/>
                <w:szCs w:val="24"/>
              </w:rPr>
            </w:pPr>
            <w:r>
              <w:rPr>
                <w:sz w:val="24"/>
                <w:szCs w:val="24"/>
              </w:rPr>
              <w:t xml:space="preserve">Замена тормозных дисков и колодок передней оси </w:t>
            </w:r>
          </w:p>
        </w:tc>
      </w:tr>
      <w:tr w:rsidR="00792EF0">
        <w:tc>
          <w:tcPr>
            <w:tcW w:w="608" w:type="dxa"/>
            <w:vMerge/>
          </w:tcPr>
          <w:p w:rsidR="00792EF0" w:rsidRDefault="00792EF0">
            <w:pPr>
              <w:pStyle w:val="a3"/>
              <w:tabs>
                <w:tab w:val="left" w:pos="851"/>
              </w:tabs>
              <w:ind w:left="0" w:right="68"/>
              <w:jc w:val="center"/>
              <w:rPr>
                <w:sz w:val="24"/>
                <w:szCs w:val="24"/>
              </w:rPr>
            </w:pPr>
          </w:p>
        </w:tc>
        <w:tc>
          <w:tcPr>
            <w:tcW w:w="2506" w:type="dxa"/>
            <w:vMerge/>
          </w:tcPr>
          <w:p w:rsidR="00792EF0" w:rsidRDefault="00792EF0">
            <w:pPr>
              <w:pStyle w:val="a3"/>
              <w:tabs>
                <w:tab w:val="left" w:pos="851"/>
              </w:tabs>
              <w:ind w:left="0" w:right="68"/>
              <w:rPr>
                <w:sz w:val="24"/>
                <w:szCs w:val="24"/>
              </w:rPr>
            </w:pPr>
          </w:p>
        </w:tc>
        <w:tc>
          <w:tcPr>
            <w:tcW w:w="6095" w:type="dxa"/>
          </w:tcPr>
          <w:p w:rsidR="00792EF0" w:rsidRDefault="004955D2">
            <w:pPr>
              <w:pStyle w:val="a3"/>
              <w:tabs>
                <w:tab w:val="left" w:pos="851"/>
              </w:tabs>
              <w:ind w:left="0" w:right="68" w:firstLine="0"/>
              <w:rPr>
                <w:sz w:val="24"/>
                <w:szCs w:val="24"/>
              </w:rPr>
            </w:pPr>
            <w:r>
              <w:rPr>
                <w:sz w:val="24"/>
                <w:szCs w:val="24"/>
              </w:rPr>
              <w:t xml:space="preserve">Переборка передних тормозных суппортов </w:t>
            </w:r>
          </w:p>
        </w:tc>
      </w:tr>
      <w:tr w:rsidR="00792EF0">
        <w:tc>
          <w:tcPr>
            <w:tcW w:w="608" w:type="dxa"/>
            <w:vMerge/>
          </w:tcPr>
          <w:p w:rsidR="00792EF0" w:rsidRDefault="00792EF0">
            <w:pPr>
              <w:pStyle w:val="a3"/>
              <w:tabs>
                <w:tab w:val="left" w:pos="851"/>
              </w:tabs>
              <w:ind w:left="0" w:right="68" w:firstLine="0"/>
              <w:jc w:val="center"/>
              <w:rPr>
                <w:sz w:val="24"/>
                <w:szCs w:val="24"/>
              </w:rPr>
            </w:pPr>
          </w:p>
        </w:tc>
        <w:tc>
          <w:tcPr>
            <w:tcW w:w="2506" w:type="dxa"/>
            <w:vMerge/>
          </w:tcPr>
          <w:p w:rsidR="00792EF0" w:rsidRDefault="00792EF0">
            <w:pPr>
              <w:pStyle w:val="a3"/>
              <w:tabs>
                <w:tab w:val="left" w:pos="851"/>
              </w:tabs>
              <w:ind w:left="0" w:right="68" w:firstLine="0"/>
              <w:rPr>
                <w:sz w:val="24"/>
                <w:szCs w:val="24"/>
              </w:rPr>
            </w:pPr>
          </w:p>
        </w:tc>
        <w:tc>
          <w:tcPr>
            <w:tcW w:w="6095" w:type="dxa"/>
          </w:tcPr>
          <w:p w:rsidR="00792EF0" w:rsidRDefault="004955D2">
            <w:pPr>
              <w:pStyle w:val="a3"/>
              <w:tabs>
                <w:tab w:val="left" w:pos="851"/>
              </w:tabs>
              <w:ind w:left="0" w:right="68" w:firstLine="0"/>
              <w:rPr>
                <w:sz w:val="24"/>
                <w:szCs w:val="24"/>
              </w:rPr>
            </w:pPr>
            <w:r>
              <w:rPr>
                <w:sz w:val="24"/>
                <w:szCs w:val="24"/>
              </w:rPr>
              <w:t xml:space="preserve">Прокачка тормозной системы </w:t>
            </w:r>
          </w:p>
        </w:tc>
      </w:tr>
    </w:tbl>
    <w:p w:rsidR="00792EF0" w:rsidRDefault="004955D2">
      <w:pPr>
        <w:pStyle w:val="a3"/>
        <w:tabs>
          <w:tab w:val="left" w:pos="851"/>
        </w:tabs>
        <w:ind w:left="360" w:right="68"/>
        <w:rPr>
          <w:sz w:val="24"/>
          <w:szCs w:val="24"/>
        </w:rPr>
      </w:pPr>
      <w:r>
        <w:rPr>
          <w:sz w:val="24"/>
          <w:szCs w:val="24"/>
        </w:rPr>
        <w:tab/>
        <w:t xml:space="preserve">в соответствии с регламентом по ремонту автотранспортных средств, </w:t>
      </w:r>
      <w:r>
        <w:rPr>
          <w:rFonts w:eastAsia="Calibri"/>
          <w:sz w:val="24"/>
          <w:szCs w:val="24"/>
        </w:rPr>
        <w:t xml:space="preserve">с требованиями нормативно-технической документации завода-изготовителя и </w:t>
      </w:r>
      <w:r>
        <w:rPr>
          <w:sz w:val="24"/>
          <w:szCs w:val="24"/>
        </w:rPr>
        <w:t xml:space="preserve">в соответствии с настоящим техническим заданием (далее – ТЗ). </w:t>
      </w:r>
    </w:p>
    <w:p w:rsidR="00792EF0" w:rsidRDefault="004955D2">
      <w:pPr>
        <w:pStyle w:val="a3"/>
        <w:ind w:left="0"/>
        <w:contextualSpacing w:val="0"/>
        <w:outlineLvl w:val="0"/>
        <w:rPr>
          <w:b/>
          <w:sz w:val="24"/>
          <w:szCs w:val="24"/>
        </w:rPr>
      </w:pPr>
      <w:r>
        <w:rPr>
          <w:b/>
          <w:sz w:val="24"/>
          <w:szCs w:val="24"/>
        </w:rPr>
        <w:t>Место и период оказания Услуг</w:t>
      </w:r>
      <w:bookmarkEnd w:id="2"/>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 xml:space="preserve">Место оказания Услуг: по месту нахождения станции технического обслуживания автомобилей (далее – СТОА) Исполнителя. </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Период оказания Услуг: в течении 3-х рабочих дней с момента заключения Контракта.</w:t>
      </w:r>
    </w:p>
    <w:p w:rsidR="00792EF0" w:rsidRDefault="004955D2">
      <w:pPr>
        <w:pStyle w:val="a3"/>
        <w:numPr>
          <w:ilvl w:val="0"/>
          <w:numId w:val="1"/>
        </w:numPr>
        <w:spacing w:after="0" w:line="240" w:lineRule="auto"/>
        <w:ind w:left="357" w:hanging="357"/>
        <w:contextualSpacing w:val="0"/>
        <w:jc w:val="left"/>
        <w:outlineLvl w:val="0"/>
        <w:rPr>
          <w:sz w:val="24"/>
          <w:szCs w:val="24"/>
        </w:rPr>
      </w:pPr>
      <w:bookmarkStart w:id="3" w:name="_Toc519847832"/>
      <w:r>
        <w:rPr>
          <w:b/>
          <w:sz w:val="24"/>
          <w:szCs w:val="24"/>
        </w:rPr>
        <w:t>Требования к СТОА</w:t>
      </w:r>
      <w:bookmarkEnd w:id="3"/>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 xml:space="preserve">В целях сокращения холостых пробегов автомобилей Заказчика и времени нахождения в пути, СТОА должна находиться в радиусе не далее 25 (Двадцати пяти) километров от места нахождения Заказчика. </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Режим работы СТОА: 24 часа в сутки, 7 дней в неделю.</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СТОА должна иметь свободные подъездные пути и отсутствие препятствий, мешающих буксировке и транспортировке эвакуатором неисправных автомобилей Заказчика.  Высота въездных ворот, параметры подъемников и технологических помещений должны позволять принимать автомобили Заказчика для оказания Услуг.</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Ремонт автомобиля должен проводиться на сертифицированном контрольно-диагностическом и технологическом оборудовании.</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Измерительное оборудование для ремонта автомобилей должно иметь действующие свидетельства о поверке средств измерений.</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Исполнитель по запросу Заказчика обязан предоставить необходимые для оказания услуг действующие сертификаты соответствия Госстандарту России для производства услуг (работ), связанных с ремонтом и обслуживанием автомобилей марок, если такие сертификаты требуются в соответствии с действующим законодательством.</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 xml:space="preserve">Оказание услуг должно производиться квалифицированным персоналом, имеющим разряды в соответствии с выполняемыми работами. </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Для представителей Заказчика, ожидающих готовность автомобилей и оформления документов, должно быть выделено помещение с возможностью контролировать процесс ремонта автомобиля Заказчика.</w:t>
      </w:r>
    </w:p>
    <w:p w:rsidR="00792EF0" w:rsidRDefault="004955D2">
      <w:pPr>
        <w:pStyle w:val="a3"/>
        <w:numPr>
          <w:ilvl w:val="1"/>
          <w:numId w:val="1"/>
        </w:numPr>
        <w:tabs>
          <w:tab w:val="left" w:pos="851"/>
        </w:tabs>
        <w:spacing w:after="0" w:line="240" w:lineRule="auto"/>
        <w:ind w:left="0" w:right="68" w:firstLine="284"/>
        <w:rPr>
          <w:sz w:val="24"/>
          <w:szCs w:val="24"/>
        </w:rPr>
      </w:pPr>
      <w:r>
        <w:rPr>
          <w:sz w:val="24"/>
          <w:szCs w:val="24"/>
        </w:rPr>
        <w:t xml:space="preserve">В случае привлечения Соисполнителей для выполнения обязательств Исполнитель письменно уведомляет об этом Заказчика. При этом Исполнитель несет перед Заказчиком </w:t>
      </w:r>
      <w:r>
        <w:rPr>
          <w:sz w:val="24"/>
          <w:szCs w:val="24"/>
        </w:rPr>
        <w:lastRenderedPageBreak/>
        <w:t>ответственность за убытки, причиненные участием соисполнителей в исполнении Контракта, и за последствия неисполнения или ненадлежащего исполнения обязательств Соисполнителями.</w:t>
      </w:r>
    </w:p>
    <w:p w:rsidR="00792EF0" w:rsidRDefault="004955D2">
      <w:pPr>
        <w:pStyle w:val="a3"/>
        <w:numPr>
          <w:ilvl w:val="1"/>
          <w:numId w:val="1"/>
        </w:numPr>
        <w:tabs>
          <w:tab w:val="left" w:pos="851"/>
        </w:tabs>
        <w:spacing w:after="0" w:line="240" w:lineRule="auto"/>
        <w:ind w:left="0" w:right="68" w:firstLine="284"/>
        <w:rPr>
          <w:sz w:val="24"/>
          <w:szCs w:val="24"/>
        </w:rPr>
      </w:pPr>
      <w:r>
        <w:rPr>
          <w:sz w:val="24"/>
          <w:szCs w:val="24"/>
        </w:rPr>
        <w:t>В целях надлежащего оказания услуг, в течение 1 (одного) рабочего дня с момента заключения Контракта Исполнитель обязан предоставить письменную информацию о привлеченных Соисполнителях с приложением копий договоров, заключенных с привлеченными организациями, с указанием адресов и места расположения СТОА, в соответствии с требованиями Технического задания.</w:t>
      </w:r>
    </w:p>
    <w:p w:rsidR="00792EF0" w:rsidRDefault="004955D2">
      <w:pPr>
        <w:pStyle w:val="a3"/>
        <w:numPr>
          <w:ilvl w:val="0"/>
          <w:numId w:val="1"/>
        </w:numPr>
        <w:spacing w:after="0" w:line="240" w:lineRule="auto"/>
        <w:ind w:left="357" w:hanging="357"/>
        <w:contextualSpacing w:val="0"/>
        <w:jc w:val="left"/>
        <w:outlineLvl w:val="0"/>
        <w:rPr>
          <w:sz w:val="24"/>
          <w:szCs w:val="24"/>
        </w:rPr>
      </w:pPr>
      <w:bookmarkStart w:id="4" w:name="_Toc519847833"/>
      <w:r>
        <w:rPr>
          <w:b/>
          <w:sz w:val="24"/>
          <w:szCs w:val="24"/>
        </w:rPr>
        <w:t>Общие требования к оказываемым Услугам</w:t>
      </w:r>
      <w:bookmarkEnd w:id="4"/>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Цена Контракта включает в себя все издержки, затраты, и иные расходы Исполнителя, связанные с исполнением Контракта (оказанием Услуг).</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Исполнитель обязан закрепить за Заказчиком персонального сервисного менеджера (инженера) с возможностью круглосуточной доступности.</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Все Услуги должны выполняться на ремонтно-диагностическом оборудовании, разрешенном к использованию заводами-изготовителями автомобилей, по заводским технологиям.</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 xml:space="preserve">Не согласованные с уполномоченным представителем Заказчика диагностические работы, ТО, ТР, установленные запасные части, использованные расходные материалы не подлежат оплате Исполнителю. </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Исполнитель обязан производить техническую мойку автомобиля перед началом и после окончания оказания Услуг.</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Исполнитель обязан обеспечить сохранность автомобиля Заказчика, ответственность Исполнителя за повреждение, порчу или утрату автомобиля, принятого для оказания Услуг, наступает с момента выполнения п.6.3. ТЗ и прекращается с момента выполнения п.6.6. ТЗ.</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Исполнитель обязан по запросу Заказчика обеспечить присутствие представителей Заказчика и/или уполномоченных контрольных органов в технологических помещениях СТОА для контроля за ходом и качеством оказания Услуг.</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 xml:space="preserve">Исполнитель несет ответственность за качество и безопасность результатов оказанных Услуг.  В случае причинения убытков, связанных с результатом Услуг, Исполнитель обязуется возместить их в полном объеме.  </w:t>
      </w:r>
    </w:p>
    <w:p w:rsidR="00792EF0" w:rsidRDefault="004955D2">
      <w:pPr>
        <w:pStyle w:val="a3"/>
        <w:numPr>
          <w:ilvl w:val="0"/>
          <w:numId w:val="1"/>
        </w:numPr>
        <w:spacing w:after="0" w:line="240" w:lineRule="auto"/>
        <w:ind w:left="357" w:hanging="357"/>
        <w:contextualSpacing w:val="0"/>
        <w:jc w:val="left"/>
        <w:outlineLvl w:val="0"/>
        <w:rPr>
          <w:b/>
          <w:sz w:val="24"/>
          <w:szCs w:val="24"/>
        </w:rPr>
      </w:pPr>
      <w:bookmarkStart w:id="5" w:name="_Toc519847834"/>
      <w:r>
        <w:rPr>
          <w:b/>
          <w:sz w:val="24"/>
          <w:szCs w:val="24"/>
        </w:rPr>
        <w:t>Требования к запасным частям и расходным материалам</w:t>
      </w:r>
      <w:bookmarkEnd w:id="5"/>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Исполнитель обязан устанавливать на автомобили Заказчика запасные части и материалы, указанные в спецификации (либо эквивалент), и иметь сертификаты соответствия на них (в случае обязательной сертификации). Каталожный номер Запасной части, указанный в Спецификации, является уникальным номером устройства или его детали в системе учета производителя, каталожный номер не несет в себе информацию по производителю и стране изготовителя. В случае установки эквивалента, для определения цены установленной Запасной части, в заказ-наряде и Акте сдачи-приемки выполненных работ указывается каталожный номер, и наименование из Спецификации не зависимо от артикула установленного эквивалента.</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Заказчик имеет право на проведение технической экспертизы запасных частей с целью подтверждения их соответствия техническим требованиям Контракта. Если запасные части, подвергшиеся технической экспертизе, не соответствуют техническим требованиям, Заказчик отказывается от них, а Исполнитель обязан заменить забракованные запасные части на новые, в срок не более 2 (Двух) рабочих дней, и возместить Заказчику стоимость технической экспертизы.</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Полный перечень запасных частей и расходных материалов, а также цена единиц товара (заполняется по итогам проведения закупки путем снижения цены каждой запасной части и материала на процент снижения), применяемых при оказании Услуг, приведены в Спецификации (Приложение №1 к ТЗ).</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lastRenderedPageBreak/>
        <w:t>По окончании оказания Услуг, при передаче автомобиля, Исполнитель по требованию Заказчика обязан передать представителю Заказчика упаковку и тару от запасных частей и расходных материалов, использованных при оказании Услуг.</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По требованию Заказчика после оказания Услуг, при передаче автомобиля, Исполнитель обязан передать представителю Заказчика демонтированные, вышедшие из строя и непригодные к дальнейшей эксплуатации запасные части, узлы (за исключением случаев гарантийного ремонта).</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Исполнитель обязан утилизировать в установленном законом порядке отходы (масла, фильтры, антифриз, тормозная жидкость, растворитель и пр.), образуемые при оказании Услуг, на основании действующих договоров со специализированными организациями по утилизации автошин, фильтров, отработанных автомобильных масел, технологических жидкостей и пр., в соответствии с Федеральным законом от 24.06.98 N 89-ФЗ «Об отходах производства и потребления».</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Запасные части к автомобилям, расходные материалы, используемые Исполнителем при выполнении ремонта автомобиля, должны быть сертифицированы, соответствовать характеристикам, рекомендованным заводом-изготовителем автомобиля при выполнении технического обслуживания и ремонта автомобиля, требованиям инструкций завода-изготовителя автомобиля.</w:t>
      </w:r>
    </w:p>
    <w:p w:rsidR="00792EF0" w:rsidRDefault="004955D2">
      <w:pPr>
        <w:pStyle w:val="a3"/>
        <w:numPr>
          <w:ilvl w:val="1"/>
          <w:numId w:val="1"/>
        </w:numPr>
        <w:spacing w:after="0" w:line="240" w:lineRule="auto"/>
        <w:ind w:left="0" w:firstLine="284"/>
        <w:rPr>
          <w:sz w:val="24"/>
          <w:szCs w:val="24"/>
        </w:rPr>
      </w:pPr>
      <w:r>
        <w:rPr>
          <w:sz w:val="24"/>
          <w:szCs w:val="24"/>
        </w:rPr>
        <w:t>Используемые при выполнении диагностики, технического обслуживания и ремонта автомобиля запасные части должны быть новыми, использование восстановленных или бывших в употреблении запасных частей и расходных материалов не допускается.</w:t>
      </w:r>
    </w:p>
    <w:p w:rsidR="00792EF0" w:rsidRDefault="004955D2">
      <w:pPr>
        <w:pStyle w:val="a3"/>
        <w:numPr>
          <w:ilvl w:val="0"/>
          <w:numId w:val="1"/>
        </w:numPr>
        <w:spacing w:after="0" w:line="240" w:lineRule="auto"/>
        <w:ind w:left="357" w:hanging="357"/>
        <w:contextualSpacing w:val="0"/>
        <w:jc w:val="left"/>
        <w:outlineLvl w:val="0"/>
        <w:rPr>
          <w:b/>
          <w:sz w:val="24"/>
          <w:szCs w:val="24"/>
        </w:rPr>
      </w:pPr>
      <w:bookmarkStart w:id="6" w:name="_Toc519847835"/>
      <w:r>
        <w:rPr>
          <w:b/>
          <w:sz w:val="24"/>
          <w:szCs w:val="24"/>
        </w:rPr>
        <w:t>Нормы времени</w:t>
      </w:r>
      <w:bookmarkEnd w:id="6"/>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Время на оказание Услуг (нормо-часы) устанавливается регламентом завода-изготовителя данной марки автомобиля и определяется в соответствии с нормативами трудоемкости, установленными программами: АВТОНОРМА, AUTOTEX, AUTODATA.</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Сроки оказания Услуг (включая поставку запасных частей и расходных материалов) не должны превышать со дня приемки автомобиля на СТОА:</w:t>
      </w:r>
    </w:p>
    <w:p w:rsidR="00792EF0" w:rsidRDefault="004955D2">
      <w:pPr>
        <w:pStyle w:val="a3"/>
        <w:tabs>
          <w:tab w:val="left" w:pos="851"/>
        </w:tabs>
        <w:ind w:left="318" w:right="68"/>
        <w:rPr>
          <w:sz w:val="24"/>
          <w:szCs w:val="24"/>
        </w:rPr>
      </w:pPr>
      <w:r>
        <w:rPr>
          <w:sz w:val="24"/>
          <w:szCs w:val="24"/>
        </w:rPr>
        <w:t>слесарные - не более 3-х суток;</w:t>
      </w:r>
    </w:p>
    <w:p w:rsidR="00792EF0" w:rsidRDefault="004955D2">
      <w:pPr>
        <w:pStyle w:val="a3"/>
        <w:numPr>
          <w:ilvl w:val="0"/>
          <w:numId w:val="1"/>
        </w:numPr>
        <w:spacing w:after="0" w:line="240" w:lineRule="auto"/>
        <w:ind w:left="357" w:hanging="357"/>
        <w:contextualSpacing w:val="0"/>
        <w:jc w:val="left"/>
        <w:outlineLvl w:val="0"/>
        <w:rPr>
          <w:b/>
          <w:sz w:val="24"/>
          <w:szCs w:val="24"/>
        </w:rPr>
      </w:pPr>
      <w:bookmarkStart w:id="7" w:name="_Toc519847836"/>
      <w:r>
        <w:rPr>
          <w:b/>
          <w:sz w:val="24"/>
          <w:szCs w:val="24"/>
        </w:rPr>
        <w:t>Порядок оказания и сдачи-приёмки Услуг</w:t>
      </w:r>
      <w:bookmarkEnd w:id="7"/>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 xml:space="preserve">Автомобиль должен приниматься Исполнителем для оказания Услуг от уполномоченного представителя Заказчика при предъявлении документов на автомобиль, доверенности представителя, удостоверения личности представителя. </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Приёмку и сдачу автомобилей на СТОА Исполнитель обязан осуществлять в помещении, с освещением достаточным для возможности видеть мелкие дефекты лакокрасочного покрытия автомобиля и с автомобильным подъёмником для осмотра автомобиля.</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При приёмке производится осмотр автомобиля на предмет комплектности, повреждений и дефектов. Информация о состоянии, комплектности, повреждениях и дефектах автомобиля фиксируется в акте приёмки-передачи автомобиля (далее –</w:t>
      </w:r>
      <w:r>
        <w:rPr>
          <w:sz w:val="24"/>
          <w:szCs w:val="24"/>
        </w:rPr>
        <w:softHyphen/>
        <w:t xml:space="preserve"> Акт приёмки автомобиля, форма Акта приёмки автомобиля).</w:t>
      </w:r>
    </w:p>
    <w:p w:rsidR="00792EF0" w:rsidRDefault="004955D2">
      <w:pPr>
        <w:pStyle w:val="a3"/>
        <w:numPr>
          <w:ilvl w:val="1"/>
          <w:numId w:val="1"/>
        </w:numPr>
        <w:tabs>
          <w:tab w:val="left" w:pos="851"/>
        </w:tabs>
        <w:spacing w:after="0" w:line="240" w:lineRule="auto"/>
        <w:ind w:left="0" w:right="68" w:firstLine="284"/>
        <w:rPr>
          <w:sz w:val="24"/>
          <w:szCs w:val="24"/>
        </w:rPr>
      </w:pPr>
      <w:r>
        <w:rPr>
          <w:sz w:val="24"/>
          <w:szCs w:val="24"/>
        </w:rPr>
        <w:t>По окончании оказания всех Услуг Исполнитель обязан уведомить Заказчика о готовности оказанных Услуг к сдаче и передать Заказчику в двух экземплярах, по одному для каждой из Сторон: акт сдачи-приёмки оказанных Услуг, счёт, счёт-фактуру (при необходимости) и Заказ-наряд.</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Представитель Заказчика осуществляет приёмку оказанных Услуг. Факт и объём оказанных Услуг подтверждается Заказ-нарядом, подписанным Сторонами.</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Выдача транспортного средства производится представителю Заказчика. Контрольный осмотр при выдаче транспортного средства предусматривает:</w:t>
      </w:r>
    </w:p>
    <w:p w:rsidR="00792EF0" w:rsidRDefault="004955D2">
      <w:pPr>
        <w:spacing w:after="0" w:line="240" w:lineRule="auto"/>
        <w:rPr>
          <w:sz w:val="24"/>
          <w:szCs w:val="24"/>
        </w:rPr>
      </w:pPr>
      <w:r>
        <w:rPr>
          <w:sz w:val="24"/>
          <w:szCs w:val="24"/>
        </w:rPr>
        <w:t>- проверку комплектности и технического состояния транспортного средства;</w:t>
      </w:r>
    </w:p>
    <w:p w:rsidR="00792EF0" w:rsidRDefault="004955D2">
      <w:pPr>
        <w:spacing w:after="0" w:line="240" w:lineRule="auto"/>
        <w:rPr>
          <w:sz w:val="24"/>
          <w:szCs w:val="24"/>
        </w:rPr>
      </w:pPr>
      <w:r>
        <w:rPr>
          <w:sz w:val="24"/>
          <w:szCs w:val="24"/>
        </w:rPr>
        <w:t>- осмотр транспортного средства в соответствии с выполненными работами по ремонту, исправности узлов и агрегатов, подвергшихся ремонту;</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lastRenderedPageBreak/>
        <w:t>При необходимости Заказчик в течение 10 (Десяти) рабочих дней проводит экспертизу оказанных Услуг.</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При выявлении в ходе приёмки автомобиля или по итогам экспертизы недостатков оказания Услуг и факта установления запасных частей, качеством не соответствующих данному ТЗ, представитель Заказчика передаёт автомобиль Исполнителю для устранения недостатков. Устранение недостатков осуществляется за счет Исполнителя, в течение 48 (Сорока восьми) часов.</w:t>
      </w:r>
    </w:p>
    <w:p w:rsidR="00792EF0" w:rsidRDefault="004955D2">
      <w:pPr>
        <w:pStyle w:val="a3"/>
        <w:numPr>
          <w:ilvl w:val="0"/>
          <w:numId w:val="1"/>
        </w:numPr>
        <w:spacing w:after="0" w:line="240" w:lineRule="auto"/>
        <w:ind w:left="357" w:hanging="357"/>
        <w:contextualSpacing w:val="0"/>
        <w:jc w:val="left"/>
        <w:outlineLvl w:val="0"/>
        <w:rPr>
          <w:b/>
          <w:sz w:val="24"/>
          <w:szCs w:val="24"/>
        </w:rPr>
      </w:pPr>
      <w:bookmarkStart w:id="8" w:name="_Toc519847837"/>
      <w:r>
        <w:rPr>
          <w:b/>
          <w:sz w:val="24"/>
          <w:szCs w:val="24"/>
        </w:rPr>
        <w:t>Требования к качеству</w:t>
      </w:r>
      <w:bookmarkEnd w:id="8"/>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 xml:space="preserve">Оказываемые Услуги по качеству, техническим характеристикам, безопасности, а также результаты Услуг должны соответствовать требованиям действующего законодательства РФ, Постановлению Правительства РФ от 11.04.2001 № 290 «Об утверждении Правил выполнения работ по техническому обслуживанию и ремонту автомототранспортных средств», Федеральному закону «О безопасности дорожного движения» от 10.12.1995 № 196-ФЗ.  </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Услуги должны осуществляться в строгом соответствии с рекомендациями завода–изготовителя автомобиля, объемы работ определяются согласно требованиям Руководства по ремонту автомобилей.</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В процессе оказания Услуг Исполнитель обязан использовать защитный материал в салоне автомобиля Заказчика, автомобиль должен передаваться Заказчику в чистом виде.</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Оказываемые Услуги должны выполняться Исполнителем с соблюдением норм техники безопасности, правил охраны труда, пожарной безопасности и санитарно-гигиенического режима.</w:t>
      </w:r>
    </w:p>
    <w:p w:rsidR="00792EF0" w:rsidRDefault="004955D2">
      <w:pPr>
        <w:pStyle w:val="a3"/>
        <w:numPr>
          <w:ilvl w:val="0"/>
          <w:numId w:val="1"/>
        </w:numPr>
        <w:spacing w:after="0" w:line="240" w:lineRule="auto"/>
        <w:ind w:left="357" w:hanging="357"/>
        <w:contextualSpacing w:val="0"/>
        <w:jc w:val="left"/>
        <w:outlineLvl w:val="0"/>
        <w:rPr>
          <w:b/>
          <w:sz w:val="24"/>
          <w:szCs w:val="24"/>
        </w:rPr>
      </w:pPr>
      <w:bookmarkStart w:id="9" w:name="_Toc519847838"/>
      <w:r>
        <w:rPr>
          <w:b/>
          <w:sz w:val="24"/>
          <w:szCs w:val="24"/>
        </w:rPr>
        <w:t>Гарантийные требования</w:t>
      </w:r>
      <w:bookmarkEnd w:id="9"/>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Исполнитель обязан в течение гарантийного периода за свой счёт исполнить гарантийные обязательства. Под гарантийными обязательствами подразумевается восстановление работоспособности автомобиля или его отдельного устройства (агрегата, узла, запасной части), при выходе из строя по причинам, не связанным с некорректной эксплуатацией.</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Срок исполнения гарантийных обязательств – не более двух рабочих дней с даты принятия Заказчиком гарантийной претензии от Заказчика. При этом гарантийный период продлевается на период выполнения гарантийных обязательств.</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 xml:space="preserve">Гарантийная претензия направляется Исполнителю по телефону и/или по электронной почте. В течение 1 (Одного) рабочего дня со дня поступления претензии в адрес Исполнителя, он обязан известить Заказчика, посредством направления электронного документа о принятии такой претензии. В случае не направлении Исполнителем Заказчику извещения о принятии претензии в установленный срок, претензия считается принятой с даты её направления Исполнителю. </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Гарантийный период исчисляется со дня подписания Заказчиком и Исполнителем Заказ-наряда при сдаче-приёмке Услуг, и составляет:</w:t>
      </w:r>
    </w:p>
    <w:p w:rsidR="00792EF0" w:rsidRDefault="004955D2">
      <w:pPr>
        <w:pStyle w:val="a3"/>
        <w:numPr>
          <w:ilvl w:val="0"/>
          <w:numId w:val="2"/>
        </w:numPr>
        <w:tabs>
          <w:tab w:val="left" w:pos="851"/>
        </w:tabs>
        <w:spacing w:after="0" w:line="240" w:lineRule="auto"/>
        <w:ind w:left="851" w:right="68" w:hanging="338"/>
        <w:rPr>
          <w:sz w:val="24"/>
          <w:szCs w:val="24"/>
        </w:rPr>
      </w:pPr>
      <w:r>
        <w:rPr>
          <w:sz w:val="24"/>
          <w:szCs w:val="24"/>
        </w:rPr>
        <w:t>на запасные части, узлы и агрегаты, установленные на автомобиль - 12 (Двенадцать) месяцев, либо 20 000 (Двадцать тысяч) км. пробега, что наступит раньше, но не менее периода, установленного заводом-изготовителем;</w:t>
      </w:r>
    </w:p>
    <w:p w:rsidR="00792EF0" w:rsidRDefault="004955D2">
      <w:pPr>
        <w:pStyle w:val="a3"/>
        <w:numPr>
          <w:ilvl w:val="0"/>
          <w:numId w:val="2"/>
        </w:numPr>
        <w:tabs>
          <w:tab w:val="left" w:pos="851"/>
        </w:tabs>
        <w:spacing w:after="0" w:line="240" w:lineRule="auto"/>
        <w:ind w:left="851" w:right="68" w:hanging="338"/>
        <w:rPr>
          <w:sz w:val="24"/>
          <w:szCs w:val="24"/>
        </w:rPr>
      </w:pPr>
      <w:r>
        <w:rPr>
          <w:sz w:val="24"/>
          <w:szCs w:val="24"/>
        </w:rPr>
        <w:t>на выполненные работы по ремонту автомобиля - 12 (Двенадцать) месяцев, либо 20 000 (Двадцать тысяч) км пробега, что наступит раньше;</w:t>
      </w:r>
    </w:p>
    <w:p w:rsidR="00792EF0" w:rsidRDefault="004955D2">
      <w:pPr>
        <w:pStyle w:val="a3"/>
        <w:numPr>
          <w:ilvl w:val="0"/>
          <w:numId w:val="2"/>
        </w:numPr>
        <w:tabs>
          <w:tab w:val="left" w:pos="851"/>
        </w:tabs>
        <w:spacing w:after="0" w:line="240" w:lineRule="auto"/>
        <w:ind w:left="851" w:right="68" w:hanging="338"/>
        <w:rPr>
          <w:sz w:val="24"/>
          <w:szCs w:val="24"/>
        </w:rPr>
      </w:pPr>
      <w:r>
        <w:rPr>
          <w:sz w:val="24"/>
          <w:szCs w:val="24"/>
        </w:rPr>
        <w:t>на регулировочные работы - 14 (Четырнадцать) календарных дней, либо 1 000 (Одной тысячи) километров пробега.</w:t>
      </w:r>
    </w:p>
    <w:p w:rsidR="00792EF0" w:rsidRDefault="004955D2">
      <w:pPr>
        <w:pStyle w:val="a3"/>
        <w:numPr>
          <w:ilvl w:val="1"/>
          <w:numId w:val="1"/>
        </w:numPr>
        <w:tabs>
          <w:tab w:val="left" w:pos="851"/>
        </w:tabs>
        <w:spacing w:after="0" w:line="240" w:lineRule="auto"/>
        <w:ind w:left="0" w:right="68" w:firstLine="318"/>
        <w:rPr>
          <w:sz w:val="24"/>
          <w:szCs w:val="24"/>
        </w:rPr>
      </w:pPr>
      <w:r>
        <w:rPr>
          <w:sz w:val="24"/>
          <w:szCs w:val="24"/>
        </w:rPr>
        <w:t xml:space="preserve">В случае аварии автомобиля в гарантийный период, причиной которой явилось некачественное оказание Услуг (определяется независимой экспертизой), в </w:t>
      </w:r>
      <w:proofErr w:type="spellStart"/>
      <w:r>
        <w:rPr>
          <w:sz w:val="24"/>
          <w:szCs w:val="24"/>
        </w:rPr>
        <w:t>т.ч</w:t>
      </w:r>
      <w:proofErr w:type="spellEnd"/>
      <w:r>
        <w:rPr>
          <w:sz w:val="24"/>
          <w:szCs w:val="24"/>
        </w:rPr>
        <w:t xml:space="preserve">. поставленная Исполнителем бракованная запасная часть, Исполнитель обязан возместить в полном объеме ущерб, нанесённый имуществу Заказчика и третьим лицам. </w:t>
      </w:r>
    </w:p>
    <w:p w:rsidR="00792EF0" w:rsidRDefault="00792EF0">
      <w:pPr>
        <w:spacing w:after="0" w:line="240" w:lineRule="auto"/>
        <w:rPr>
          <w:sz w:val="24"/>
          <w:szCs w:val="24"/>
        </w:rPr>
      </w:pPr>
    </w:p>
    <w:p w:rsidR="00792EF0" w:rsidRDefault="00792EF0">
      <w:pPr>
        <w:spacing w:after="0" w:line="240" w:lineRule="auto"/>
        <w:rPr>
          <w:sz w:val="24"/>
          <w:szCs w:val="24"/>
        </w:rPr>
      </w:pPr>
    </w:p>
    <w:p w:rsidR="00792EF0" w:rsidRDefault="00792EF0">
      <w:pPr>
        <w:spacing w:after="0" w:line="240" w:lineRule="auto"/>
        <w:rPr>
          <w:sz w:val="24"/>
          <w:szCs w:val="24"/>
        </w:rPr>
      </w:pPr>
    </w:p>
    <w:p w:rsidR="00792EF0" w:rsidRDefault="00792EF0">
      <w:pPr>
        <w:spacing w:after="0" w:line="240" w:lineRule="auto"/>
        <w:rPr>
          <w:sz w:val="24"/>
          <w:szCs w:val="24"/>
        </w:rPr>
      </w:pPr>
    </w:p>
    <w:p w:rsidR="00792EF0" w:rsidRDefault="00792EF0">
      <w:pPr>
        <w:spacing w:after="0" w:line="240" w:lineRule="auto"/>
        <w:rPr>
          <w:sz w:val="24"/>
          <w:szCs w:val="24"/>
        </w:rPr>
      </w:pPr>
    </w:p>
    <w:p w:rsidR="00792EF0" w:rsidRDefault="00792EF0">
      <w:pPr>
        <w:spacing w:after="0" w:line="240" w:lineRule="auto"/>
        <w:rPr>
          <w:sz w:val="24"/>
          <w:szCs w:val="24"/>
        </w:rPr>
      </w:pPr>
    </w:p>
    <w:p w:rsidR="00792EF0" w:rsidRDefault="00792EF0">
      <w:pPr>
        <w:spacing w:after="0" w:line="240" w:lineRule="auto"/>
        <w:rPr>
          <w:sz w:val="24"/>
          <w:szCs w:val="24"/>
        </w:rPr>
      </w:pPr>
    </w:p>
    <w:p w:rsidR="00792EF0" w:rsidRDefault="00792EF0">
      <w:pPr>
        <w:spacing w:after="0" w:line="240" w:lineRule="auto"/>
        <w:rPr>
          <w:sz w:val="24"/>
          <w:szCs w:val="24"/>
        </w:rPr>
      </w:pPr>
    </w:p>
    <w:p w:rsidR="00792EF0" w:rsidRDefault="00792EF0">
      <w:pPr>
        <w:spacing w:after="0" w:line="240" w:lineRule="auto"/>
        <w:rPr>
          <w:sz w:val="24"/>
          <w:szCs w:val="24"/>
        </w:rPr>
      </w:pPr>
    </w:p>
    <w:p w:rsidR="00792EF0" w:rsidRDefault="004955D2">
      <w:pPr>
        <w:spacing w:after="0" w:line="240" w:lineRule="auto"/>
        <w:jc w:val="center"/>
        <w:outlineLvl w:val="0"/>
        <w:rPr>
          <w:b/>
          <w:sz w:val="24"/>
          <w:szCs w:val="24"/>
        </w:rPr>
      </w:pPr>
      <w:r>
        <w:rPr>
          <w:b/>
          <w:sz w:val="24"/>
          <w:szCs w:val="24"/>
        </w:rPr>
        <w:t>Список автотранспортных средств Управления</w:t>
      </w:r>
    </w:p>
    <w:tbl>
      <w:tblPr>
        <w:tblW w:w="9017" w:type="dxa"/>
        <w:tblInd w:w="-34" w:type="dxa"/>
        <w:tblLook w:val="04A0" w:firstRow="1" w:lastRow="0" w:firstColumn="1" w:lastColumn="0" w:noHBand="0" w:noVBand="1"/>
      </w:tblPr>
      <w:tblGrid>
        <w:gridCol w:w="985"/>
        <w:gridCol w:w="3960"/>
        <w:gridCol w:w="4240"/>
      </w:tblGrid>
      <w:tr w:rsidR="00792EF0">
        <w:trPr>
          <w:trHeight w:val="375"/>
        </w:trPr>
        <w:tc>
          <w:tcPr>
            <w:tcW w:w="817" w:type="dxa"/>
            <w:shd w:val="clear" w:color="000000" w:fill="FFFFFF"/>
            <w:noWrap/>
            <w:vAlign w:val="center"/>
            <w:hideMark/>
          </w:tcPr>
          <w:p w:rsidR="00792EF0" w:rsidRDefault="004955D2">
            <w:pPr>
              <w:spacing w:after="0" w:line="240" w:lineRule="auto"/>
              <w:jc w:val="center"/>
              <w:rPr>
                <w:rFonts w:eastAsia="Times New Roman"/>
                <w:color w:val="000000"/>
                <w:sz w:val="24"/>
                <w:szCs w:val="24"/>
              </w:rPr>
            </w:pPr>
            <w:r>
              <w:rPr>
                <w:rFonts w:eastAsia="Times New Roman"/>
                <w:color w:val="000000"/>
                <w:sz w:val="24"/>
                <w:szCs w:val="24"/>
              </w:rPr>
              <w:t> </w:t>
            </w:r>
          </w:p>
        </w:tc>
        <w:tc>
          <w:tcPr>
            <w:tcW w:w="3960" w:type="dxa"/>
            <w:shd w:val="clear" w:color="000000" w:fill="FFFFFF"/>
            <w:noWrap/>
            <w:vAlign w:val="bottom"/>
            <w:hideMark/>
          </w:tcPr>
          <w:p w:rsidR="00792EF0" w:rsidRDefault="004955D2">
            <w:pPr>
              <w:spacing w:after="0" w:line="240" w:lineRule="auto"/>
              <w:rPr>
                <w:rFonts w:eastAsia="Times New Roman"/>
                <w:color w:val="000000"/>
                <w:sz w:val="24"/>
                <w:szCs w:val="24"/>
              </w:rPr>
            </w:pPr>
            <w:r>
              <w:rPr>
                <w:rFonts w:eastAsia="Times New Roman"/>
                <w:color w:val="000000"/>
                <w:sz w:val="24"/>
                <w:szCs w:val="24"/>
              </w:rPr>
              <w:t> </w:t>
            </w:r>
          </w:p>
        </w:tc>
        <w:tc>
          <w:tcPr>
            <w:tcW w:w="4240" w:type="dxa"/>
            <w:shd w:val="clear" w:color="000000" w:fill="FFFFFF"/>
            <w:noWrap/>
            <w:vAlign w:val="bottom"/>
            <w:hideMark/>
          </w:tcPr>
          <w:p w:rsidR="00792EF0" w:rsidRDefault="004955D2">
            <w:pPr>
              <w:spacing w:after="0" w:line="240" w:lineRule="auto"/>
              <w:jc w:val="right"/>
              <w:rPr>
                <w:rFonts w:eastAsia="Times New Roman"/>
                <w:color w:val="000000"/>
                <w:sz w:val="24"/>
                <w:szCs w:val="24"/>
              </w:rPr>
            </w:pPr>
            <w:r>
              <w:rPr>
                <w:rFonts w:eastAsia="Times New Roman"/>
                <w:color w:val="000000"/>
                <w:sz w:val="24"/>
                <w:szCs w:val="24"/>
              </w:rPr>
              <w:t>ТАБЛИЦА 1</w:t>
            </w:r>
          </w:p>
        </w:tc>
      </w:tr>
    </w:tbl>
    <w:p w:rsidR="00792EF0" w:rsidRDefault="00792EF0">
      <w:pPr>
        <w:pStyle w:val="Standard"/>
        <w:tabs>
          <w:tab w:val="left" w:pos="7485"/>
        </w:tabs>
        <w:jc w:val="both"/>
        <w:rPr>
          <w:rFonts w:cs="Times New Roman"/>
        </w:rPr>
      </w:pPr>
    </w:p>
    <w:tbl>
      <w:tblPr>
        <w:tblW w:w="9096" w:type="dxa"/>
        <w:tblInd w:w="113" w:type="dxa"/>
        <w:tblLook w:val="04A0" w:firstRow="1" w:lastRow="0" w:firstColumn="1" w:lastColumn="0" w:noHBand="0" w:noVBand="1"/>
      </w:tblPr>
      <w:tblGrid>
        <w:gridCol w:w="640"/>
        <w:gridCol w:w="5196"/>
        <w:gridCol w:w="3260"/>
      </w:tblGrid>
      <w:tr w:rsidR="00792EF0">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92EF0" w:rsidRDefault="004955D2">
            <w:pPr>
              <w:pStyle w:val="ConsPlusNormal"/>
              <w:jc w:val="center"/>
              <w:rPr>
                <w:rFonts w:ascii="Times New Roman" w:hAnsi="Times New Roman" w:cs="Times New Roman"/>
                <w:b/>
                <w:bCs/>
                <w:color w:val="000000"/>
                <w:sz w:val="24"/>
                <w:szCs w:val="24"/>
              </w:rPr>
            </w:pPr>
            <w:bookmarkStart w:id="10" w:name="RANGE!A1:C21"/>
            <w:r>
              <w:rPr>
                <w:rFonts w:ascii="Times New Roman" w:hAnsi="Times New Roman" w:cs="Times New Roman"/>
                <w:b/>
                <w:bCs/>
                <w:color w:val="000000"/>
                <w:sz w:val="24"/>
                <w:szCs w:val="24"/>
              </w:rPr>
              <w:t>№ п/п</w:t>
            </w:r>
            <w:bookmarkEnd w:id="10"/>
          </w:p>
        </w:tc>
        <w:tc>
          <w:tcPr>
            <w:tcW w:w="5196" w:type="dxa"/>
            <w:tcBorders>
              <w:top w:val="single" w:sz="4" w:space="0" w:color="auto"/>
              <w:bottom w:val="single" w:sz="4" w:space="0" w:color="auto"/>
              <w:right w:val="single" w:sz="4" w:space="0" w:color="auto"/>
            </w:tcBorders>
            <w:shd w:val="clear" w:color="000000" w:fill="FFFFFF"/>
            <w:vAlign w:val="center"/>
            <w:hideMark/>
          </w:tcPr>
          <w:p w:rsidR="00792EF0" w:rsidRDefault="004955D2">
            <w:pPr>
              <w:pStyle w:val="ConsPlusNormal"/>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Марка (модель) т/с</w:t>
            </w:r>
          </w:p>
        </w:tc>
        <w:tc>
          <w:tcPr>
            <w:tcW w:w="3260" w:type="dxa"/>
            <w:tcBorders>
              <w:top w:val="single" w:sz="4" w:space="0" w:color="auto"/>
              <w:bottom w:val="single" w:sz="4" w:space="0" w:color="auto"/>
              <w:right w:val="single" w:sz="4" w:space="0" w:color="auto"/>
            </w:tcBorders>
            <w:shd w:val="clear" w:color="auto" w:fill="auto"/>
            <w:vAlign w:val="center"/>
            <w:hideMark/>
          </w:tcPr>
          <w:p w:rsidR="00792EF0" w:rsidRDefault="004955D2">
            <w:pPr>
              <w:pStyle w:val="ConsPlusNormal"/>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Количество автомобилей</w:t>
            </w:r>
          </w:p>
        </w:tc>
      </w:tr>
      <w:tr w:rsidR="00792EF0">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92EF0" w:rsidRDefault="004955D2">
            <w:pPr>
              <w:pStyle w:val="ConsPlusNormal"/>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5196" w:type="dxa"/>
            <w:tcBorders>
              <w:top w:val="single" w:sz="4" w:space="0" w:color="auto"/>
              <w:bottom w:val="single" w:sz="4" w:space="0" w:color="auto"/>
              <w:right w:val="single" w:sz="4" w:space="0" w:color="auto"/>
            </w:tcBorders>
            <w:shd w:val="clear" w:color="000000" w:fill="FFFFFF"/>
            <w:vAlign w:val="center"/>
            <w:hideMark/>
          </w:tcPr>
          <w:p w:rsidR="00792EF0" w:rsidRDefault="004955D2">
            <w:pPr>
              <w:pStyle w:val="ConsPlusNormal"/>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3260" w:type="dxa"/>
            <w:tcBorders>
              <w:top w:val="single" w:sz="4" w:space="0" w:color="auto"/>
              <w:bottom w:val="single" w:sz="4" w:space="0" w:color="auto"/>
              <w:right w:val="single" w:sz="4" w:space="0" w:color="auto"/>
            </w:tcBorders>
            <w:shd w:val="clear" w:color="auto" w:fill="auto"/>
            <w:vAlign w:val="center"/>
            <w:hideMark/>
          </w:tcPr>
          <w:p w:rsidR="00792EF0" w:rsidRDefault="004955D2">
            <w:pPr>
              <w:pStyle w:val="ConsPlusNormal"/>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r>
      <w:tr w:rsidR="00792EF0">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92EF0" w:rsidRDefault="004955D2">
            <w:pPr>
              <w:pStyle w:val="ConsPlusNormal"/>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5196" w:type="dxa"/>
            <w:tcBorders>
              <w:top w:val="single" w:sz="4" w:space="0" w:color="auto"/>
              <w:bottom w:val="single" w:sz="4" w:space="0" w:color="auto"/>
              <w:right w:val="single" w:sz="4" w:space="0" w:color="auto"/>
            </w:tcBorders>
            <w:shd w:val="clear" w:color="000000" w:fill="FFFFFF"/>
            <w:vAlign w:val="center"/>
            <w:hideMark/>
          </w:tcPr>
          <w:p w:rsidR="00792EF0" w:rsidRDefault="004955D2">
            <w:pPr>
              <w:pStyle w:val="ConsPlusNormal"/>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Газ 2217</w:t>
            </w:r>
          </w:p>
        </w:tc>
        <w:tc>
          <w:tcPr>
            <w:tcW w:w="3260" w:type="dxa"/>
            <w:tcBorders>
              <w:top w:val="single" w:sz="4" w:space="0" w:color="auto"/>
              <w:bottom w:val="single" w:sz="4" w:space="0" w:color="auto"/>
              <w:right w:val="single" w:sz="4" w:space="0" w:color="auto"/>
            </w:tcBorders>
            <w:shd w:val="clear" w:color="auto" w:fill="auto"/>
            <w:vAlign w:val="center"/>
            <w:hideMark/>
          </w:tcPr>
          <w:p w:rsidR="00792EF0" w:rsidRDefault="004955D2">
            <w:pPr>
              <w:pStyle w:val="ConsPlusNormal"/>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r>
      <w:tr w:rsidR="00792EF0">
        <w:trPr>
          <w:trHeight w:val="510"/>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92EF0" w:rsidRDefault="00792EF0">
            <w:pPr>
              <w:pStyle w:val="ConsPlusNormal"/>
              <w:jc w:val="center"/>
              <w:rPr>
                <w:rFonts w:ascii="Times New Roman" w:hAnsi="Times New Roman" w:cs="Times New Roman"/>
                <w:b/>
                <w:bCs/>
                <w:color w:val="000000"/>
                <w:sz w:val="24"/>
                <w:szCs w:val="24"/>
              </w:rPr>
            </w:pPr>
          </w:p>
        </w:tc>
        <w:tc>
          <w:tcPr>
            <w:tcW w:w="5196" w:type="dxa"/>
            <w:tcBorders>
              <w:top w:val="single" w:sz="4" w:space="0" w:color="auto"/>
              <w:bottom w:val="single" w:sz="4" w:space="0" w:color="auto"/>
              <w:right w:val="single" w:sz="4" w:space="0" w:color="auto"/>
            </w:tcBorders>
            <w:shd w:val="clear" w:color="000000" w:fill="FFFFFF"/>
            <w:vAlign w:val="center"/>
            <w:hideMark/>
          </w:tcPr>
          <w:p w:rsidR="00792EF0" w:rsidRDefault="004955D2">
            <w:pPr>
              <w:pStyle w:val="ConsPlusNormal"/>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Итого:</w:t>
            </w:r>
          </w:p>
        </w:tc>
        <w:tc>
          <w:tcPr>
            <w:tcW w:w="3260" w:type="dxa"/>
            <w:tcBorders>
              <w:top w:val="single" w:sz="4" w:space="0" w:color="auto"/>
              <w:bottom w:val="single" w:sz="4" w:space="0" w:color="auto"/>
              <w:right w:val="single" w:sz="4" w:space="0" w:color="auto"/>
            </w:tcBorders>
            <w:shd w:val="clear" w:color="auto" w:fill="auto"/>
            <w:vAlign w:val="center"/>
            <w:hideMark/>
          </w:tcPr>
          <w:p w:rsidR="00792EF0" w:rsidRDefault="004955D2">
            <w:pPr>
              <w:pStyle w:val="ConsPlusNormal"/>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r>
    </w:tbl>
    <w:p w:rsidR="00792EF0" w:rsidRDefault="00792EF0">
      <w:pPr>
        <w:pStyle w:val="ConsPlusNormal"/>
        <w:jc w:val="both"/>
        <w:rPr>
          <w:rFonts w:ascii="Times New Roman" w:hAnsi="Times New Roman" w:cs="Times New Roman"/>
          <w:sz w:val="24"/>
          <w:szCs w:val="24"/>
        </w:rPr>
      </w:pPr>
    </w:p>
    <w:p w:rsidR="00792EF0" w:rsidRDefault="00792EF0">
      <w:pPr>
        <w:pStyle w:val="ConsPlusNormal"/>
        <w:jc w:val="both"/>
        <w:rPr>
          <w:rFonts w:ascii="Times New Roman" w:hAnsi="Times New Roman" w:cs="Times New Roman"/>
          <w:sz w:val="24"/>
          <w:szCs w:val="24"/>
        </w:rPr>
      </w:pPr>
    </w:p>
    <w:p w:rsidR="00792EF0" w:rsidRDefault="00792EF0">
      <w:pPr>
        <w:jc w:val="right"/>
        <w:rPr>
          <w:sz w:val="24"/>
          <w:szCs w:val="24"/>
        </w:rPr>
      </w:pPr>
    </w:p>
    <w:p w:rsidR="00792EF0" w:rsidRDefault="00792EF0">
      <w:pPr>
        <w:ind w:firstLine="0"/>
        <w:rPr>
          <w:sz w:val="24"/>
          <w:szCs w:val="24"/>
        </w:rPr>
      </w:pPr>
    </w:p>
    <w:p w:rsidR="00792EF0" w:rsidRDefault="00792EF0">
      <w:pPr>
        <w:ind w:firstLine="0"/>
        <w:rPr>
          <w:sz w:val="24"/>
          <w:szCs w:val="24"/>
        </w:rPr>
      </w:pPr>
    </w:p>
    <w:p w:rsidR="00792EF0" w:rsidRDefault="00792EF0">
      <w:pPr>
        <w:ind w:firstLine="0"/>
        <w:rPr>
          <w:sz w:val="24"/>
          <w:szCs w:val="24"/>
        </w:rPr>
      </w:pPr>
    </w:p>
    <w:p w:rsidR="00792EF0" w:rsidRDefault="00792EF0">
      <w:pPr>
        <w:ind w:firstLine="0"/>
        <w:rPr>
          <w:sz w:val="24"/>
          <w:szCs w:val="24"/>
        </w:rPr>
      </w:pPr>
    </w:p>
    <w:p w:rsidR="00792EF0" w:rsidRDefault="00792EF0">
      <w:pPr>
        <w:ind w:left="-851"/>
      </w:pPr>
    </w:p>
    <w:p w:rsidR="00792EF0" w:rsidRDefault="00792EF0">
      <w:pPr>
        <w:ind w:left="-851"/>
        <w:rPr>
          <w:sz w:val="24"/>
          <w:szCs w:val="24"/>
        </w:rPr>
      </w:pPr>
    </w:p>
    <w:sectPr w:rsidR="00792E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3C3510"/>
    <w:multiLevelType w:val="multilevel"/>
    <w:tmpl w:val="B3B6C8B2"/>
    <w:lvl w:ilvl="0">
      <w:start w:val="1"/>
      <w:numFmt w:val="decimal"/>
      <w:lvlText w:val="%1."/>
      <w:lvlJc w:val="left"/>
      <w:pPr>
        <w:ind w:left="360" w:hanging="360"/>
      </w:pPr>
    </w:lvl>
    <w:lvl w:ilvl="1">
      <w:start w:val="1"/>
      <w:numFmt w:val="decimal"/>
      <w:suff w:val="space"/>
      <w:lvlText w:val="%1.%2."/>
      <w:lvlJc w:val="left"/>
      <w:pPr>
        <w:ind w:left="432" w:hanging="432"/>
      </w:pPr>
      <w:rPr>
        <w:rFonts w:hint="default"/>
        <w:color w:val="auto"/>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F48624C"/>
    <w:multiLevelType w:val="hybridMultilevel"/>
    <w:tmpl w:val="9A308BC0"/>
    <w:lvl w:ilvl="0" w:tplc="0000409D">
      <w:start w:val="1"/>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EF0"/>
    <w:rsid w:val="004955D2"/>
    <w:rsid w:val="004D0BDF"/>
    <w:rsid w:val="00792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68BA29-21C9-4E9E-ACFC-6DAC90F80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paragraph" w:customStyle="1" w:styleId="Standard">
    <w:name w:val="Standard"/>
    <w:uiPriority w:val="99"/>
    <w:pPr>
      <w:widowControl w:val="0"/>
      <w:spacing w:after="0" w:line="240" w:lineRule="auto"/>
    </w:pPr>
    <w:rPr>
      <w:rFonts w:ascii="Times New Roman" w:eastAsia="Arial Unicode MS" w:hAnsi="Times New Roman" w:cs="Tahoma"/>
      <w:sz w:val="24"/>
      <w:szCs w:val="24"/>
      <w:lang w:eastAsia="ru-RU"/>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Pr>
      <w:rFonts w:ascii="Segoe UI" w:hAnsi="Segoe UI" w:cs="Segoe UI"/>
      <w:sz w:val="18"/>
      <w:szCs w:val="18"/>
    </w:rPr>
  </w:style>
  <w:style w:type="table" w:styleId="a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1936</Words>
  <Characters>11041</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Ермишинский Станислав Викторович</dc:creator>
  <cp:keywords/>
  <dc:description/>
  <cp:lastModifiedBy>Алексеева Ольга Владиславовна</cp:lastModifiedBy>
  <cp:revision>3</cp:revision>
  <cp:lastPrinted>2026-07-28T12:38:00Z</cp:lastPrinted>
  <dcterms:created xsi:type="dcterms:W3CDTF">2026-07-22T11:05:00Z</dcterms:created>
  <dcterms:modified xsi:type="dcterms:W3CDTF">2026-07-28T12:39:00Z</dcterms:modified>
</cp:coreProperties>
</file>