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 w:eastAsia="Calibri"/>
          <w:lang w:eastAsia="en-US"/>
        </w:rPr>
      </w:pPr>
      <w:r>
        <w:rPr>
          <w:rFonts w:eastAsia="Calibri" w:ascii="PT Astra Serif" w:hAnsi="PT Astra Serif"/>
          <w:lang w:eastAsia="en-US"/>
        </w:rPr>
        <w:t>Обоснование начальной (максимальной) цены контракта, начальных цен единиц товара, работы, услуги</w:t>
      </w:r>
    </w:p>
    <w:p>
      <w:pPr>
        <w:pStyle w:val="Normal"/>
        <w:suppressAutoHyphens w:val="true"/>
        <w:jc w:val="center"/>
        <w:rPr>
          <w:rFonts w:ascii="PT Astra Serif" w:hAnsi="PT Astra Serif" w:eastAsia="Calibri"/>
          <w:b/>
          <w:lang w:eastAsia="en-US"/>
        </w:rPr>
      </w:pPr>
      <w:r>
        <w:rPr>
          <w:rFonts w:eastAsia="Calibri" w:ascii="PT Astra Serif" w:hAnsi="PT Astra Serif"/>
          <w:b/>
          <w:lang w:eastAsia="en-US"/>
        </w:rPr>
      </w:r>
    </w:p>
    <w:p>
      <w:pPr>
        <w:pStyle w:val="Normal"/>
        <w:suppressAutoHyphens w:val="true"/>
        <w:jc w:val="center"/>
        <w:rPr>
          <w:rFonts w:ascii="PT Astra Serif" w:hAnsi="PT Astra Serif" w:eastAsia="Calibri"/>
          <w:b/>
          <w:lang w:eastAsia="en-US"/>
        </w:rPr>
      </w:pPr>
      <w:r>
        <w:rPr>
          <w:rFonts w:eastAsia="Calibri" w:ascii="PT Astra Serif" w:hAnsi="PT Astra Serif"/>
          <w:b/>
          <w:lang w:eastAsia="en-US"/>
        </w:rPr>
        <w:t>Шприц общего назначения</w:t>
      </w:r>
    </w:p>
    <w:tbl>
      <w:tblPr>
        <w:tblW w:w="14909" w:type="dxa"/>
        <w:jc w:val="left"/>
        <w:tblInd w:w="-86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529"/>
        <w:gridCol w:w="13379"/>
      </w:tblGrid>
      <w:tr>
        <w:trPr>
          <w:trHeight w:val="570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sz w:val="20"/>
                <w:szCs w:val="20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1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PT Astra Serif" w:hAnsi="PT Astra Serif" w:eastAsia="Calibri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соответствии с описанием объекта закупки</w:t>
            </w:r>
          </w:p>
        </w:tc>
      </w:tr>
      <w:tr>
        <w:trPr>
          <w:trHeight w:val="1155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sz w:val="20"/>
                <w:szCs w:val="20"/>
                <w:lang w:eastAsia="en-US"/>
              </w:rPr>
              <w:t>Используемый метод определения с обоснованием:</w:t>
            </w:r>
          </w:p>
        </w:tc>
        <w:tc>
          <w:tcPr>
            <w:tcW w:w="1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Cs/>
                <w:sz w:val="20"/>
                <w:szCs w:val="20"/>
                <w:lang w:eastAsia="en-US"/>
              </w:rPr>
              <w:t>Иной метод: На основании ч. 12 ст. 22 Федерального закона от 05.04.2013 №44-ФЗ</w:t>
            </w:r>
          </w:p>
          <w:p>
            <w:pPr>
              <w:pStyle w:val="Normal"/>
              <w:jc w:val="both"/>
              <w:rPr>
                <w:rFonts w:ascii="PT Astra Serif" w:hAnsi="PT Astra Serif"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Cs/>
                <w:sz w:val="20"/>
                <w:szCs w:val="20"/>
                <w:lang w:eastAsia="en-US"/>
              </w:rPr>
              <w:t>В  соответствии с Приказом Министерства здравоохранения РФ от 15 мая 2020 г. N 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Приказ № 450н)); с положениями Распоряжения Правительства Ульяновской области от 17.09.2018 № 411-пр «Об утверждении Методических 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для обеспечения государственных нужд Ульяновской области»</w:t>
            </w:r>
          </w:p>
        </w:tc>
      </w:tr>
      <w:tr>
        <w:trPr>
          <w:trHeight w:val="8895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sz w:val="20"/>
                <w:szCs w:val="20"/>
                <w:lang w:eastAsia="en-US"/>
              </w:rPr>
              <w:t>Расчет</w:t>
            </w:r>
          </w:p>
        </w:tc>
        <w:tc>
          <w:tcPr>
            <w:tcW w:w="1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Расчет цены единицы планируемого к закупке медицинского изделия, рассчитан посредством применения метода, указанного в подпункте а) пункта 9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 (далее - Порядок), утвержденного Приказом № 450н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(Метод сопоставимых рыночных цен)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Заказчик получил три коммерческих предложения от Поставщиков: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Поставщик № 1 коммерческое предложение вх. №.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248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 xml:space="preserve"> от 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11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.0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3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.202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6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Поставщик № 2 коммерческое предложение вх. №.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249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 xml:space="preserve"> от 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11.03.2026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 xml:space="preserve">Поставщик № 3 коммерческое предложение вх. № 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250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 xml:space="preserve"> от 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11.03.2026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Применение корректирующих коэффициентов не требуется. Коэффициент вариации &lt; 33% - совокупность цен принимается однородной.</w:t>
            </w:r>
          </w:p>
          <w:tbl>
            <w:tblPr>
              <w:tblW w:w="1311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02"/>
              <w:gridCol w:w="2431"/>
              <w:gridCol w:w="565"/>
              <w:gridCol w:w="752"/>
              <w:gridCol w:w="1534"/>
              <w:gridCol w:w="1383"/>
              <w:gridCol w:w="1316"/>
              <w:gridCol w:w="1225"/>
              <w:gridCol w:w="765"/>
              <w:gridCol w:w="1369"/>
              <w:gridCol w:w="1366"/>
            </w:tblGrid>
            <w:tr>
              <w:trPr>
                <w:trHeight w:val="283" w:hRule="atLeast"/>
              </w:trPr>
              <w:tc>
                <w:tcPr>
                  <w:tcW w:w="4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4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56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7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534" w:type="dxa"/>
                  <w:tcBorders>
                    <w:top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Поставщик 1</w:t>
                  </w:r>
                </w:p>
              </w:tc>
              <w:tc>
                <w:tcPr>
                  <w:tcW w:w="1383" w:type="dxa"/>
                  <w:tcBorders>
                    <w:top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Поставщик 2</w:t>
                  </w:r>
                </w:p>
              </w:tc>
              <w:tc>
                <w:tcPr>
                  <w:tcW w:w="1316" w:type="dxa"/>
                  <w:tcBorders>
                    <w:top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Поставщик 3</w:t>
                  </w:r>
                </w:p>
              </w:tc>
              <w:tc>
                <w:tcPr>
                  <w:tcW w:w="1225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Средняя цена ед., руб. (без учета НДС)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Коэф-т вариации, %</w:t>
                  </w:r>
                </w:p>
              </w:tc>
              <w:tc>
                <w:tcPr>
                  <w:tcW w:w="136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НМЦК по минимальной цене, руб. (без учета НДС)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НМЦК по средней цене, руб. (без учета НДС)</w:t>
                  </w:r>
                </w:p>
              </w:tc>
            </w:tr>
            <w:tr>
              <w:trPr>
                <w:trHeight w:val="279" w:hRule="atLeast"/>
              </w:trPr>
              <w:tc>
                <w:tcPr>
                  <w:tcW w:w="402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2431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565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752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1534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Цена за ед, руб. (без учета НДС)</w:t>
                  </w:r>
                </w:p>
              </w:tc>
              <w:tc>
                <w:tcPr>
                  <w:tcW w:w="1383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Цена за ед, руб. (без учета НДС)</w:t>
                  </w:r>
                </w:p>
              </w:tc>
              <w:tc>
                <w:tcPr>
                  <w:tcW w:w="1316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Цена за ед, руб. (без учета НДС)</w:t>
                  </w:r>
                </w:p>
              </w:tc>
              <w:tc>
                <w:tcPr>
                  <w:tcW w:w="1225" w:type="dxa"/>
                  <w:vMerge w:val="continue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765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1369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1366" w:type="dxa"/>
                  <w:vMerge w:val="continue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07" w:hRule="atLeast"/>
              </w:trPr>
              <w:tc>
                <w:tcPr>
                  <w:tcW w:w="40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31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2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34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83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16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25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65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69" w:type="dxa"/>
                  <w:tcBorders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66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07" w:hRule="atLeast"/>
              </w:trPr>
              <w:tc>
                <w:tcPr>
                  <w:tcW w:w="40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Spacing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Шприц общего назначения</w:t>
                  </w:r>
                </w:p>
              </w:tc>
              <w:tc>
                <w:tcPr>
                  <w:tcW w:w="565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hd w:fill="FFFFFF" w:val="clear"/>
                    </w:rPr>
                    <w:t>шт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sz w:val="20"/>
                      <w:szCs w:val="20"/>
                      <w:lang w:val="en-US"/>
                    </w:rPr>
                    <w:t>00</w:t>
                  </w:r>
                </w:p>
              </w:tc>
              <w:tc>
                <w:tcPr>
                  <w:tcW w:w="1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30,36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30,30</w:t>
                  </w: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30,43</w:t>
                  </w:r>
                </w:p>
              </w:tc>
              <w:tc>
                <w:tcPr>
                  <w:tcW w:w="1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30,36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0,21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3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6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 3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60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3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6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432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,00</w:t>
                  </w:r>
                </w:p>
              </w:tc>
            </w:tr>
            <w:tr>
              <w:trPr>
                <w:trHeight w:val="321" w:hRule="atLeast"/>
              </w:trPr>
              <w:tc>
                <w:tcPr>
                  <w:tcW w:w="10373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3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6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 3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60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3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6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432</w:t>
                  </w: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>,00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sz w:val="22"/>
                <w:szCs w:val="22"/>
                <w:lang w:eastAsia="en-US"/>
              </w:rPr>
              <w:t>2. Расчет начальной (максимальной) цены контракта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НМЦК определяется по формуле: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</w:rPr>
            </w:pPr>
            <w:r>
              <w:rPr/>
              <w:drawing>
                <wp:inline distT="0" distB="0" distL="0" distR="0">
                  <wp:extent cx="2219325" cy="581025"/>
                  <wp:effectExtent l="0" t="0" r="0" b="0"/>
                  <wp:docPr id="1" name="Рисунок 1" descr="http://base.garant.ru/files/base/74530562/2694018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base.garant.ru/files/base/74530562/2694018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ascii="PT Astra Serif" w:hAnsi="PT Astra Serif"/>
                <w:sz w:val="22"/>
                <w:szCs w:val="22"/>
                <w:lang w:eastAsia="en-US"/>
              </w:rPr>
              <w:t>,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где:</w:t>
            </w:r>
          </w:p>
          <w:p>
            <w:pPr>
              <w:pStyle w:val="Normal"/>
              <w:widowControl w:val="false"/>
              <w:ind w:firstLine="54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n - количество позиций закупаемых медицинских изделий;</w:t>
            </w:r>
          </w:p>
          <w:p>
            <w:pPr>
              <w:pStyle w:val="Normal"/>
              <w:widowControl w:val="false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НЦЕi - начальная цена единицы i-й позиции медицинского изделия;</w:t>
            </w:r>
          </w:p>
          <w:p>
            <w:pPr>
              <w:pStyle w:val="Normal"/>
              <w:widowControl w:val="false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 </w:t>
            </w:r>
            <w:r>
              <w:rPr>
                <w:rFonts w:ascii="PT Astra Serif" w:hAnsi="PT Astra Serif"/>
                <w:sz w:val="22"/>
                <w:szCs w:val="22"/>
              </w:rPr>
              <w:t>НДС - 10%* - налог на добавленную стоимость</w:t>
            </w:r>
          </w:p>
          <w:p>
            <w:pPr>
              <w:pStyle w:val="Normal"/>
              <w:widowControl w:val="false"/>
              <w:ind w:left="57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i/>
                <w:sz w:val="22"/>
                <w:szCs w:val="22"/>
                <w:lang w:val="en-US" w:eastAsia="en-US"/>
              </w:rPr>
              <w:t>Vi</w:t>
            </w:r>
            <w:r>
              <w:rPr>
                <w:rFonts w:eastAsia="Calibri" w:ascii="PT Astra Serif" w:hAnsi="PT Astra Serif"/>
                <w:i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 w:ascii="PT Astra Serif" w:hAnsi="PT Astra Serif"/>
                <w:sz w:val="22"/>
                <w:szCs w:val="22"/>
                <w:lang w:eastAsia="en-US"/>
              </w:rPr>
              <w:t>количество (объем) i-й позиции закупаемого медицинского изделия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</w:t>
            </w:r>
            <w:r>
              <w:rPr>
                <w:rFonts w:ascii="PT Astra Serif" w:hAnsi="PT Astra Serif"/>
                <w:sz w:val="22"/>
                <w:szCs w:val="22"/>
              </w:rPr>
              <w:t>*В соответствии с Постановлением Правительства РФ от 15 сентября 2008 г. №688 "Об утверждении перечней кодов медицинских товаров, облагаемых налогом на добавленную стоимость по налоговой ставке 10 процентов»</w:t>
            </w:r>
          </w:p>
          <w:tbl>
            <w:tblPr>
              <w:tblW w:w="13013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860"/>
              <w:gridCol w:w="4230"/>
              <w:gridCol w:w="860"/>
              <w:gridCol w:w="863"/>
              <w:gridCol w:w="1486"/>
              <w:gridCol w:w="2219"/>
              <w:gridCol w:w="2494"/>
            </w:tblGrid>
            <w:tr>
              <w:trPr>
                <w:trHeight w:val="543" w:hRule="atLeast"/>
              </w:trPr>
              <w:tc>
                <w:tcPr>
                  <w:tcW w:w="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 xml:space="preserve">№ </w:t>
                  </w: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42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8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both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Ед. изм.</w:t>
                  </w:r>
                </w:p>
              </w:tc>
              <w:tc>
                <w:tcPr>
                  <w:tcW w:w="86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both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148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НЦЕ без учета НДС, руб.</w:t>
                  </w:r>
                </w:p>
              </w:tc>
              <w:tc>
                <w:tcPr>
                  <w:tcW w:w="2219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НЦЕ сниж. </w:t>
                  </w: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по </w:t>
                  </w:r>
                  <w:r>
                    <w:rPr>
                      <w:rFonts w:eastAsia="BatangChe" w:ascii="Times New Roman" w:hAnsi="Times New Roman"/>
                      <w:sz w:val="18"/>
                      <w:szCs w:val="18"/>
                    </w:rPr>
                    <w:t>п. 18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Приказа МЗ РФ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 15.05.2020г.</w:t>
                  </w:r>
                </w:p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  <w:r>
                    <w:rPr>
                      <w:sz w:val="18"/>
                      <w:szCs w:val="18"/>
                    </w:rPr>
                    <w:t>450н</w:t>
                  </w:r>
                  <w:r>
                    <w:rPr>
                      <w:bCs/>
                      <w:sz w:val="18"/>
                      <w:szCs w:val="18"/>
                    </w:rPr>
                    <w:t>, руб</w:t>
                  </w:r>
                </w:p>
              </w:tc>
              <w:tc>
                <w:tcPr>
                  <w:tcW w:w="2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НМЦК по </w:t>
                  </w:r>
                  <w:r>
                    <w:rPr>
                      <w:rFonts w:eastAsia="BatangChe" w:ascii="Times New Roman" w:hAnsi="Times New Roman"/>
                      <w:sz w:val="18"/>
                      <w:szCs w:val="18"/>
                    </w:rPr>
                    <w:t>п. 18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Приказа МЗ РФ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 15.05.2020г.</w:t>
                  </w:r>
                </w:p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  <w:r>
                    <w:rPr>
                      <w:sz w:val="18"/>
                      <w:szCs w:val="18"/>
                    </w:rPr>
                    <w:t>450н</w:t>
                  </w:r>
                  <w:r>
                    <w:rPr>
                      <w:bCs/>
                      <w:sz w:val="18"/>
                      <w:szCs w:val="18"/>
                    </w:rPr>
                    <w:t>, руб</w:t>
                  </w: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>
              <w:trPr>
                <w:trHeight w:val="211" w:hRule="atLeast"/>
              </w:trPr>
              <w:tc>
                <w:tcPr>
                  <w:tcW w:w="86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30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 w:ascii="PT Astra Serif" w:hAnsi="PT Astra Serif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60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63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86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219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494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  <w:tr>
              <w:trPr>
                <w:trHeight w:val="211" w:hRule="atLeast"/>
              </w:trPr>
              <w:tc>
                <w:tcPr>
                  <w:tcW w:w="86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Шприц общего назначения</w:t>
                  </w:r>
                </w:p>
              </w:tc>
              <w:tc>
                <w:tcPr>
                  <w:tcW w:w="860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  <w:shd w:fill="FFFFFF" w:val="clear"/>
                    </w:rPr>
                    <w:t>шт</w:t>
                  </w:r>
                </w:p>
              </w:tc>
              <w:tc>
                <w:tcPr>
                  <w:tcW w:w="8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sz w:val="20"/>
                      <w:szCs w:val="20"/>
                      <w:lang w:val="en-US"/>
                    </w:rPr>
                    <w:t>00</w:t>
                  </w:r>
                </w:p>
              </w:tc>
              <w:tc>
                <w:tcPr>
                  <w:tcW w:w="14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 w:eastAsia="PT Astra Serif"/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rFonts w:eastAsia="PT Astra Serif"/>
                      <w:b w:val="false"/>
                      <w:bCs w:val="false"/>
                      <w:sz w:val="20"/>
                      <w:szCs w:val="20"/>
                    </w:rPr>
                    <w:t>30,30</w:t>
                  </w:r>
                </w:p>
              </w:tc>
              <w:tc>
                <w:tcPr>
                  <w:tcW w:w="221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b w:val="false"/>
                      <w:bCs w:val="false"/>
                      <w:color w:val="000000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color w:val="000000"/>
                      <w:sz w:val="20"/>
                      <w:szCs w:val="20"/>
                    </w:rPr>
                    <w:t>33,33</w:t>
                  </w:r>
                </w:p>
              </w:tc>
              <w:tc>
                <w:tcPr>
                  <w:tcW w:w="249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b w:val="false"/>
                      <w:bCs w:val="false"/>
                      <w:color w:val="000000"/>
                      <w:sz w:val="20"/>
                      <w:szCs w:val="20"/>
                    </w:rPr>
                  </w:pPr>
                  <w:r>
                    <w:rPr>
                      <w:b w:val="false"/>
                      <w:bCs w:val="false"/>
                      <w:color w:val="000000"/>
                      <w:sz w:val="20"/>
                      <w:szCs w:val="20"/>
                    </w:rPr>
                    <w:t>39 996,00</w:t>
                  </w:r>
                </w:p>
              </w:tc>
            </w:tr>
            <w:tr>
              <w:trPr>
                <w:trHeight w:val="367" w:hRule="atLeast"/>
              </w:trPr>
              <w:tc>
                <w:tcPr>
                  <w:tcW w:w="1051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right"/>
                    <w:rPr>
                      <w:b/>
                      <w:color w:val="000000"/>
                      <w:sz w:val="20"/>
                      <w:szCs w:val="16"/>
                    </w:rPr>
                  </w:pPr>
                  <w:r>
                    <w:rPr>
                      <w:b/>
                      <w:color w:val="000000"/>
                      <w:sz w:val="20"/>
                      <w:szCs w:val="16"/>
                    </w:rPr>
                    <w:t>итого</w:t>
                  </w:r>
                </w:p>
              </w:tc>
              <w:tc>
                <w:tcPr>
                  <w:tcW w:w="2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jc w:val="center"/>
                    <w:rPr>
                      <w:b/>
                      <w:bCs/>
                    </w:rPr>
                  </w:pPr>
                  <w:r>
                    <w:rPr>
                      <w:rFonts w:eastAsia="PT Astra Serif"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39 996,00</w:t>
                  </w:r>
                </w:p>
              </w:tc>
            </w:tr>
          </w:tbl>
          <w:p>
            <w:pPr>
              <w:pStyle w:val="Normal"/>
              <w:suppressAutoHyphens w:val="tru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соответствии с п. 18 Приказа Минздрава России от 15.05.2020 №450н НМЦК снижена заказчиком по сравнению с НМЦК, определенной в соответствии с настоящим порядком, исходя из имеющегося у заказчика объема финансового обеспечения для осуществления соответствующей закупки, с пропорциональным снижением начальных цен единиц закупаемых медицинских изделий (приложение №1 расчет по 450н п.18) – </w:t>
            </w:r>
            <w:r>
              <w:rPr>
                <w:rFonts w:eastAsia="PT Astra Serif" w:ascii="PT Astra Serif" w:hAnsi="PT Astra Serif"/>
                <w:b/>
                <w:bCs/>
                <w:sz w:val="20"/>
                <w:szCs w:val="20"/>
              </w:rPr>
              <w:t>39 996,00</w:t>
            </w:r>
          </w:p>
          <w:p>
            <w:pPr>
              <w:pStyle w:val="Normal"/>
              <w:widowControl w:val="false"/>
              <w:jc w:val="both"/>
              <w:rPr>
                <w:bCs/>
                <w:color w:themeColor="text1" w:val="000000"/>
                <w:sz w:val="20"/>
                <w:szCs w:val="20"/>
              </w:rPr>
            </w:pPr>
            <w:r>
              <w:rPr>
                <w:bCs/>
                <w:color w:themeColor="text1" w:val="000000"/>
                <w:sz w:val="20"/>
                <w:szCs w:val="20"/>
              </w:rPr>
              <w:t xml:space="preserve">НМЦК составляет </w:t>
            </w:r>
            <w:r>
              <w:rPr>
                <w:rFonts w:eastAsia="PT Astra Serif" w:ascii="PT Astra Serif" w:hAnsi="PT Astra Serif"/>
                <w:b/>
                <w:bCs/>
                <w:color w:themeColor="text1" w:val="000000"/>
                <w:sz w:val="20"/>
                <w:szCs w:val="20"/>
              </w:rPr>
              <w:t>39 996,00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361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sz w:val="20"/>
                <w:szCs w:val="20"/>
                <w:lang w:eastAsia="en-US"/>
              </w:rPr>
              <w:t>Дата подготовки обоснования:</w:t>
            </w:r>
          </w:p>
        </w:tc>
        <w:tc>
          <w:tcPr>
            <w:tcW w:w="1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PT Astra Serif" w:hAnsi="PT Astra Serif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sz w:val="20"/>
                <w:szCs w:val="20"/>
                <w:lang w:val="ru-RU" w:eastAsia="en-US"/>
              </w:rPr>
              <w:t>27.05</w:t>
            </w:r>
            <w:r>
              <w:rPr>
                <w:rFonts w:eastAsia="Calibri" w:ascii="PT Astra Serif" w:hAnsi="PT Astra Serif"/>
                <w:sz w:val="20"/>
                <w:szCs w:val="20"/>
                <w:lang w:eastAsia="en-US"/>
              </w:rPr>
              <w:t>.202</w:t>
            </w:r>
            <w:r>
              <w:rPr>
                <w:rFonts w:eastAsia="Calibri" w:ascii="PT Astra Serif" w:hAnsi="PT Astra Serif"/>
                <w:sz w:val="20"/>
                <w:szCs w:val="20"/>
                <w:lang w:val="ru-RU" w:eastAsia="en-US"/>
              </w:rPr>
              <w:t>6</w:t>
            </w:r>
            <w:r>
              <w:rPr>
                <w:rFonts w:eastAsia="Calibri" w:ascii="PT Astra Serif" w:hAnsi="PT Astra Serif"/>
                <w:sz w:val="20"/>
                <w:szCs w:val="20"/>
                <w:lang w:eastAsia="en-US"/>
              </w:rPr>
              <w:t>г.</w:t>
            </w:r>
          </w:p>
        </w:tc>
      </w:tr>
    </w:tbl>
    <w:p>
      <w:pPr>
        <w:pStyle w:val="Normal"/>
        <w:widowControl w:val="false"/>
        <w:rPr>
          <w:rFonts w:ascii="PT Astra Serif" w:hAnsi="PT Astra Serif"/>
          <w:bCs/>
          <w:color w:val="000000"/>
          <w:sz w:val="20"/>
          <w:szCs w:val="22"/>
        </w:rPr>
      </w:pPr>
      <w:r>
        <w:rPr>
          <w:rFonts w:ascii="PT Astra Serif" w:hAnsi="PT Astra Serif"/>
          <w:bCs/>
          <w:color w:val="000000"/>
          <w:sz w:val="20"/>
          <w:szCs w:val="22"/>
        </w:rPr>
      </w:r>
    </w:p>
    <w:tbl>
      <w:tblPr>
        <w:tblW w:w="1593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701"/>
        <w:gridCol w:w="169"/>
        <w:gridCol w:w="2608"/>
        <w:gridCol w:w="481"/>
        <w:gridCol w:w="10972"/>
      </w:tblGrid>
      <w:tr>
        <w:trPr/>
        <w:tc>
          <w:tcPr>
            <w:tcW w:w="4959" w:type="dxa"/>
            <w:gridSpan w:val="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Руководитель контрактной службы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Зам. гл. врача по финансово-экономическим вопросам</w:t>
            </w:r>
          </w:p>
        </w:tc>
        <w:tc>
          <w:tcPr>
            <w:tcW w:w="1097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4959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1097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170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  <w:tc>
          <w:tcPr>
            <w:tcW w:w="1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Зюнова М.В.</w:t>
            </w:r>
          </w:p>
        </w:tc>
        <w:tc>
          <w:tcPr>
            <w:tcW w:w="4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097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4959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(подпись/ расшифровка подписи)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097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rPr>
          <w:rFonts w:ascii="PT Astra Serif" w:hAnsi="PT Astra Serif"/>
          <w:bCs/>
          <w:color w:val="000000"/>
          <w:sz w:val="20"/>
          <w:szCs w:val="22"/>
        </w:rPr>
      </w:pPr>
      <w:r>
        <w:rPr>
          <w:rFonts w:ascii="PT Astra Serif" w:hAnsi="PT Astra Serif"/>
          <w:bCs/>
          <w:color w:val="000000"/>
          <w:sz w:val="16"/>
          <w:szCs w:val="22"/>
          <w:u w:val="single"/>
        </w:rPr>
        <w:t>Кушнаренко С.С. (8422) 48 61 23___________</w:t>
      </w:r>
    </w:p>
    <w:p>
      <w:pPr>
        <w:pStyle w:val="Normal"/>
        <w:widowControl w:val="false"/>
        <w:rPr>
          <w:rFonts w:ascii="PT Astra Serif" w:hAnsi="PT Astra Serif"/>
          <w:sz w:val="16"/>
          <w:szCs w:val="16"/>
          <w:u w:val="single"/>
        </w:rPr>
      </w:pPr>
      <w:r>
        <w:rPr>
          <w:rFonts w:ascii="PT Astra Serif" w:hAnsi="PT Astra Serif"/>
          <w:bCs/>
          <w:color w:val="000000"/>
          <w:sz w:val="16"/>
          <w:szCs w:val="22"/>
        </w:rPr>
        <w:t>(Ф.И.О. исполнителя/ контактный телефон)</w:t>
      </w:r>
    </w:p>
    <w:sectPr>
      <w:type w:val="nextPage"/>
      <w:pgSz w:orient="landscape" w:w="16838" w:h="11906"/>
      <w:pgMar w:left="1134" w:right="1134" w:gutter="0" w:header="0" w:top="170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Arial Unicode MS">
    <w:charset w:val="cc"/>
    <w:family w:val="swiss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746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5460a8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ze60" w:customStyle="1">
    <w:name w:val="size60"/>
    <w:basedOn w:val="DefaultParagraphFont"/>
    <w:qFormat/>
    <w:rsid w:val="0001788f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7720e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Основной текст Знак"/>
    <w:basedOn w:val="DefaultParagraphFont"/>
    <w:qFormat/>
    <w:rsid w:val="0045587f"/>
    <w:rPr>
      <w:rFonts w:ascii="Times New Roman" w:hAnsi="Times New Roman" w:eastAsia="Times New Roman" w:cs="Times New Roman"/>
      <w:sz w:val="24"/>
      <w:szCs w:val="20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20b1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320b1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95613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user">
    <w:name w:val="Символ сноски (user)"/>
    <w:uiPriority w:val="99"/>
    <w:semiHidden/>
    <w:unhideWhenUsed/>
    <w:qFormat/>
    <w:rsid w:val="0095613b"/>
    <w:rPr>
      <w:vertAlign w:val="superscript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50a93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460a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9" w:customStyle="1">
    <w:name w:val="Без интервала Знак"/>
    <w:link w:val="NoSpacing"/>
    <w:uiPriority w:val="1"/>
    <w:qFormat/>
    <w:rsid w:val="00345e94"/>
    <w:rPr/>
  </w:style>
  <w:style w:type="character" w:styleId="ng-star-inserted">
    <w:name w:val="ng-star-inserted"/>
    <w:qFormat/>
    <w:rPr/>
  </w:style>
  <w:style w:type="character" w:styleId="Style20">
    <w:name w:val="Обычный (веб) Знак"/>
    <w:qFormat/>
    <w:rPr>
      <w:sz w:val="24"/>
      <w:szCs w:val="24"/>
    </w:rPr>
  </w:style>
  <w:style w:type="character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styleId="blk1">
    <w:name w:val="blk1"/>
    <w:qFormat/>
    <w:rPr>
      <w:vanish w:val="false"/>
    </w:rPr>
  </w:style>
  <w:style w:type="character" w:styleId="ConsPlusNormal">
    <w:name w:val="ConsPlusNormal Знак"/>
    <w:qFormat/>
    <w:rPr>
      <w:rFonts w:eastAsia="Calibri"/>
      <w:b/>
      <w:bCs/>
      <w:lang w:bidi="ar-SA"/>
    </w:rPr>
  </w:style>
  <w:style w:type="character" w:styleId="apple-converted-space">
    <w:name w:val="apple-converted-space"/>
    <w:qFormat/>
    <w:rPr/>
  </w:style>
  <w:style w:type="character" w:styleId="11">
    <w:name w:val="Основной шрифт абзаца1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>
      <w:b w:val="false"/>
    </w:rPr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>
      <w:sz w:val="24"/>
    </w:rPr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Style21">
    <w:name w:val="Основной шрифт абзаца"/>
    <w:qFormat/>
    <w:rPr/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14"/>
    <w:rsid w:val="0045587f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 Unicode M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 Unicode MS"/>
    </w:rPr>
  </w:style>
  <w:style w:type="paragraph" w:styleId="ConsPlusNormal1" w:customStyle="1">
    <w:name w:val="ConsPlusNormal"/>
    <w:qFormat/>
    <w:rsid w:val="002d7d12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7720e"/>
    <w:pPr/>
    <w:rPr>
      <w:rFonts w:ascii="Tahoma" w:hAnsi="Tahoma" w:cs="Tahoma"/>
      <w:sz w:val="16"/>
      <w:szCs w:val="16"/>
    </w:rPr>
  </w:style>
  <w:style w:type="paragraph" w:styleId="3" w:customStyle="1">
    <w:name w:val="Стиль3 Знак Знак"/>
    <w:basedOn w:val="Normal"/>
    <w:qFormat/>
    <w:rsid w:val="00031f1b"/>
    <w:pPr>
      <w:widowControl w:val="false"/>
      <w:tabs>
        <w:tab w:val="clear" w:pos="708"/>
        <w:tab w:val="left" w:pos="2160" w:leader="none"/>
      </w:tabs>
      <w:ind w:hanging="360" w:left="2160"/>
      <w:jc w:val="both"/>
    </w:pPr>
    <w:rPr>
      <w:szCs w:val="20"/>
    </w:rPr>
  </w:style>
  <w:style w:type="paragraph" w:styleId="NormalWeb">
    <w:name w:val="Normal (Web)"/>
    <w:basedOn w:val="Normal"/>
    <w:qFormat/>
    <w:rsid w:val="0045587f"/>
    <w:pPr>
      <w:suppressAutoHyphens w:val="true"/>
      <w:spacing w:before="100" w:after="100"/>
    </w:pPr>
    <w:rPr>
      <w:rFonts w:ascii="Arial Unicode MS" w:hAnsi="Arial Unicode MS" w:eastAsia="Arial Unicode MS" w:cs="Arial Unicode MS"/>
      <w:lang w:eastAsia="ar-SA"/>
    </w:rPr>
  </w:style>
  <w:style w:type="paragraph" w:styleId="ListParagraph">
    <w:name w:val="List Paragraph"/>
    <w:basedOn w:val="Normal"/>
    <w:uiPriority w:val="34"/>
    <w:qFormat/>
    <w:rsid w:val="009144c1"/>
    <w:pPr>
      <w:spacing w:before="0" w:after="0"/>
      <w:ind w:left="720"/>
      <w:contextualSpacing/>
    </w:pPr>
    <w:rPr/>
  </w:style>
  <w:style w:type="paragraph" w:styleId="user3">
    <w:name w:val="Колонтитулы (user)"/>
    <w:basedOn w:val="Normal"/>
    <w:qFormat/>
    <w:pPr/>
    <w:rPr/>
  </w:style>
  <w:style w:type="paragraph" w:styleId="Style24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20b1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320b1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7"/>
    <w:uiPriority w:val="99"/>
    <w:semiHidden/>
    <w:unhideWhenUsed/>
    <w:rsid w:val="0095613b"/>
    <w:pPr/>
    <w:rPr>
      <w:sz w:val="20"/>
      <w:szCs w:val="20"/>
    </w:rPr>
  </w:style>
  <w:style w:type="paragraph" w:styleId="Default" w:customStyle="1">
    <w:name w:val="Default"/>
    <w:uiPriority w:val="99"/>
    <w:qFormat/>
    <w:rsid w:val="00224ff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2" w:customStyle="1">
    <w:name w:val="Обычный1"/>
    <w:qFormat/>
    <w:rsid w:val="0048082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Spacing">
    <w:name w:val="No Spacing"/>
    <w:link w:val="Style19"/>
    <w:uiPriority w:val="1"/>
    <w:qFormat/>
    <w:rsid w:val="00345e9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d7d1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894326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56473-3714-4DE2-AA5C-D1B5F23F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LibreOffice/25.2.7.2$Windows_X86_64 LibreOffice_project/5cbfd1ab6520636bb5f7b99185aa69bd7456825d</Application>
  <AppVersion>15.0000</AppVersion>
  <Pages>2</Pages>
  <Words>535</Words>
  <Characters>3296</Characters>
  <CharactersWithSpaces>3742</CharactersWithSpaces>
  <Paragraphs>104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2025-07-31T07:56:00Z</dcterms:created>
  <dc:creator>USER</dc:creator>
  <dc:description/>
  <dc:language>ru-RU</dc:language>
  <cp:lastModifiedBy/>
  <cp:lastPrinted>2026-02-10T14:10:05Z</cp:lastPrinted>
  <dcterms:modified xsi:type="dcterms:W3CDTF">2026-05-27T15:48:50Z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