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0B9E" w14:textId="77777777" w:rsidR="0055703C" w:rsidRPr="00D265E9" w:rsidRDefault="00792FE4" w:rsidP="0055703C">
      <w:pPr>
        <w:spacing w:line="240" w:lineRule="atLeast"/>
        <w:jc w:val="center"/>
        <w:rPr>
          <w:b/>
        </w:rPr>
      </w:pPr>
      <w:r>
        <w:rPr>
          <w:b/>
        </w:rPr>
        <w:t>Государственный контракт</w:t>
      </w:r>
      <w:r w:rsidR="0055703C" w:rsidRPr="00EC3F5C">
        <w:rPr>
          <w:b/>
        </w:rPr>
        <w:t xml:space="preserve"> № </w:t>
      </w:r>
      <w:r w:rsidR="00D90C1A">
        <w:rPr>
          <w:b/>
          <w:bCs/>
        </w:rPr>
        <w:t>_______</w:t>
      </w:r>
    </w:p>
    <w:p w14:paraId="3BE15B27" w14:textId="77777777" w:rsidR="00201B4E" w:rsidRPr="00D265E9" w:rsidRDefault="00201B4E" w:rsidP="0055703C">
      <w:pPr>
        <w:jc w:val="center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60"/>
        <w:gridCol w:w="5160"/>
      </w:tblGrid>
      <w:tr w:rsidR="0055703C" w:rsidRPr="00D265E9" w14:paraId="4A535E33" w14:textId="77777777" w:rsidTr="0055703C">
        <w:trPr>
          <w:trHeight w:val="285"/>
        </w:trPr>
        <w:tc>
          <w:tcPr>
            <w:tcW w:w="5160" w:type="dxa"/>
          </w:tcPr>
          <w:p w14:paraId="4F72CE32" w14:textId="77777777" w:rsidR="0055703C" w:rsidRPr="00D265E9" w:rsidRDefault="0055703C" w:rsidP="00201B4E">
            <w:pPr>
              <w:snapToGrid w:val="0"/>
              <w:ind w:right="-1"/>
              <w:jc w:val="both"/>
            </w:pPr>
            <w:r w:rsidRPr="00D265E9">
              <w:t>г. Екатеринбург</w:t>
            </w:r>
          </w:p>
        </w:tc>
        <w:tc>
          <w:tcPr>
            <w:tcW w:w="5160" w:type="dxa"/>
          </w:tcPr>
          <w:p w14:paraId="025D24A4" w14:textId="77777777" w:rsidR="0055703C" w:rsidRPr="00A34D46" w:rsidRDefault="0055703C" w:rsidP="00B31160">
            <w:pPr>
              <w:snapToGrid w:val="0"/>
              <w:ind w:right="-1"/>
              <w:jc w:val="right"/>
            </w:pPr>
            <w:r w:rsidRPr="00A34D46">
              <w:t>"</w:t>
            </w:r>
            <w:r w:rsidR="00D90C1A">
              <w:t>__</w:t>
            </w:r>
            <w:r w:rsidRPr="00A34D46">
              <w:t xml:space="preserve">" </w:t>
            </w:r>
            <w:r w:rsidR="00D90C1A">
              <w:t>_мая</w:t>
            </w:r>
            <w:r w:rsidRPr="00A34D46">
              <w:t xml:space="preserve"> 20</w:t>
            </w:r>
            <w:r w:rsidR="00871EE8">
              <w:t>2</w:t>
            </w:r>
            <w:r w:rsidR="00D90C1A">
              <w:t>6</w:t>
            </w:r>
            <w:r w:rsidR="00B31160" w:rsidRPr="00A34D46">
              <w:t xml:space="preserve"> </w:t>
            </w:r>
            <w:r w:rsidRPr="00A34D46">
              <w:t>г.</w:t>
            </w:r>
          </w:p>
        </w:tc>
      </w:tr>
    </w:tbl>
    <w:p w14:paraId="7B51B453" w14:textId="77777777" w:rsidR="0055703C" w:rsidRPr="00D265E9" w:rsidRDefault="0055703C" w:rsidP="0055703C">
      <w:pPr>
        <w:jc w:val="center"/>
      </w:pPr>
    </w:p>
    <w:p w14:paraId="087FD748" w14:textId="77777777" w:rsidR="00AC7195" w:rsidRPr="00FF3B3A" w:rsidRDefault="009C3715" w:rsidP="00FF3B3A">
      <w:pPr>
        <w:ind w:firstLine="709"/>
        <w:jc w:val="both"/>
      </w:pPr>
      <w:r w:rsidRPr="00FF3B3A">
        <w:rPr>
          <w:b/>
          <w:bCs/>
          <w:color w:val="000000"/>
          <w:lang w:bidi="mr-IN"/>
        </w:rPr>
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</w:r>
      <w:r w:rsidRPr="00FF3B3A">
        <w:rPr>
          <w:color w:val="000000"/>
          <w:lang w:bidi="mr-IN"/>
        </w:rPr>
        <w:t xml:space="preserve">, именуемое в дальнейшем </w:t>
      </w:r>
      <w:r w:rsidRPr="00FF3B3A">
        <w:rPr>
          <w:b/>
          <w:bCs/>
          <w:color w:val="000000"/>
          <w:lang w:bidi="mr-IN"/>
        </w:rPr>
        <w:t>«Заказчик»</w:t>
      </w:r>
      <w:r w:rsidRPr="00FF3B3A">
        <w:rPr>
          <w:color w:val="000000"/>
          <w:lang w:bidi="mr-IN"/>
        </w:rPr>
        <w:t>, в лице ректора Глуханюк Анны Аркадьевны, действующего на основании Устава,</w:t>
      </w:r>
      <w:r w:rsidR="009827C6" w:rsidRPr="00FF3B3A">
        <w:t xml:space="preserve"> </w:t>
      </w:r>
    </w:p>
    <w:p w14:paraId="2B7293D7" w14:textId="77777777" w:rsidR="009827C6" w:rsidRPr="00FF3B3A" w:rsidRDefault="009827C6" w:rsidP="00FF3B3A">
      <w:pPr>
        <w:ind w:firstLine="709"/>
        <w:jc w:val="both"/>
      </w:pPr>
      <w:r w:rsidRPr="00FF3B3A">
        <w:t xml:space="preserve">и </w:t>
      </w:r>
      <w:r w:rsidR="002D1E4E">
        <w:rPr>
          <w:b/>
        </w:rPr>
        <w:t>________________________</w:t>
      </w:r>
      <w:r w:rsidR="00AC7195" w:rsidRPr="00FF3B3A">
        <w:rPr>
          <w:b/>
        </w:rPr>
        <w:t>,</w:t>
      </w:r>
      <w:r w:rsidR="00AC7195" w:rsidRPr="00FF3B3A">
        <w:t xml:space="preserve">   именуем</w:t>
      </w:r>
      <w:r w:rsidR="00D90C1A">
        <w:t>ый</w:t>
      </w:r>
      <w:r w:rsidR="00AC7195" w:rsidRPr="00FF3B3A">
        <w:t xml:space="preserve">  в  дальнейшем  </w:t>
      </w:r>
      <w:r w:rsidR="00AC7195" w:rsidRPr="00724707">
        <w:rPr>
          <w:b/>
        </w:rPr>
        <w:t>«Подрядчик</w:t>
      </w:r>
      <w:r w:rsidR="00B31160" w:rsidRPr="00724707">
        <w:rPr>
          <w:b/>
        </w:rPr>
        <w:t>»</w:t>
      </w:r>
      <w:r w:rsidR="00AC7195" w:rsidRPr="00724707">
        <w:rPr>
          <w:b/>
        </w:rPr>
        <w:t>,</w:t>
      </w:r>
      <w:r w:rsidR="00AC7195" w:rsidRPr="00FF3B3A">
        <w:t xml:space="preserve"> </w:t>
      </w:r>
      <w:r w:rsidRPr="00FF3B3A">
        <w:t xml:space="preserve"> с другой стороны</w:t>
      </w:r>
      <w:r w:rsidR="00D90C1A">
        <w:t>,</w:t>
      </w:r>
      <w:r w:rsidRPr="00FF3B3A">
        <w:t xml:space="preserve"> </w:t>
      </w:r>
      <w:r w:rsidRPr="00FF3B3A">
        <w:rPr>
          <w:bCs/>
        </w:rPr>
        <w:t>совместно именуемые «Стороны</w:t>
      </w:r>
      <w:r w:rsidRPr="00FF3B3A">
        <w:t>», в соответствии с   п.</w:t>
      </w:r>
      <w:r w:rsidR="009C3715" w:rsidRPr="00FF3B3A">
        <w:t xml:space="preserve"> </w:t>
      </w:r>
      <w:r w:rsidR="00B31160" w:rsidRPr="00FF3B3A">
        <w:t>5</w:t>
      </w:r>
      <w:r w:rsidRPr="00FF3B3A">
        <w:t xml:space="preserve"> ч.1 ст.93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заключили между собой настоящий </w:t>
      </w:r>
      <w:r w:rsidR="00792FE4" w:rsidRPr="00FF3B3A">
        <w:rPr>
          <w:bCs/>
        </w:rPr>
        <w:t>Государственный контракт</w:t>
      </w:r>
      <w:r w:rsidR="00C20EBA" w:rsidRPr="00FF3B3A">
        <w:rPr>
          <w:bCs/>
        </w:rPr>
        <w:t xml:space="preserve"> (далее – Контракт)</w:t>
      </w:r>
      <w:r w:rsidRPr="00FF3B3A">
        <w:t xml:space="preserve">  о нижеследующем:</w:t>
      </w:r>
    </w:p>
    <w:p w14:paraId="659E58CC" w14:textId="77777777" w:rsidR="009827C6" w:rsidRPr="00FF3B3A" w:rsidRDefault="009827C6" w:rsidP="00FF3B3A">
      <w:pPr>
        <w:ind w:firstLine="709"/>
        <w:jc w:val="both"/>
      </w:pPr>
    </w:p>
    <w:p w14:paraId="06C18512" w14:textId="77777777" w:rsidR="009827C6" w:rsidRPr="00FF3B3A" w:rsidRDefault="009827C6" w:rsidP="00FF3B3A">
      <w:pPr>
        <w:numPr>
          <w:ilvl w:val="0"/>
          <w:numId w:val="6"/>
        </w:numPr>
        <w:ind w:left="0"/>
        <w:jc w:val="center"/>
        <w:rPr>
          <w:b/>
        </w:rPr>
      </w:pPr>
      <w:r w:rsidRPr="00FF3B3A">
        <w:rPr>
          <w:b/>
        </w:rPr>
        <w:t xml:space="preserve">Предмет </w:t>
      </w:r>
      <w:r w:rsidR="00792FE4" w:rsidRPr="00FF3B3A">
        <w:rPr>
          <w:b/>
        </w:rPr>
        <w:t>Государственного контракта</w:t>
      </w:r>
    </w:p>
    <w:p w14:paraId="491AB9C9" w14:textId="77777777" w:rsidR="009827C6" w:rsidRPr="00FF3B3A" w:rsidRDefault="009827C6" w:rsidP="00FF3B3A">
      <w:pPr>
        <w:widowControl w:val="0"/>
        <w:shd w:val="clear" w:color="auto" w:fill="FFFFFF"/>
        <w:ind w:firstLine="708"/>
        <w:jc w:val="both"/>
      </w:pPr>
      <w:r w:rsidRPr="00FF3B3A">
        <w:t xml:space="preserve">1.1. </w:t>
      </w:r>
      <w:r w:rsidR="00D90C1A" w:rsidRPr="00D90C1A">
        <w:t>Подрядчик обязуется собственными силами и средствами выполнить комплексные работы по моделированию и расчету акустики зала Новой сцены Учебного театра Екатеринбургского государственного театрального института, по адресу: г. Екатеринбург, ул. Карла Либкнехта, 38,</w:t>
      </w:r>
      <w:r w:rsidR="00370EAF">
        <w:t xml:space="preserve"> Литер А1</w:t>
      </w:r>
      <w:r w:rsidR="00D90C1A" w:rsidRPr="00D90C1A">
        <w:t xml:space="preserve"> составить отчет о выполненных акустических расчетах (далее – «Работы»), в объеме, установленном </w:t>
      </w:r>
      <w:r w:rsidR="00D90C1A">
        <w:t>настоящим Контрактом,</w:t>
      </w:r>
      <w:r w:rsidR="00D90C1A" w:rsidRPr="00D90C1A">
        <w:t xml:space="preserve"> а Заказчик обязуется принять надлежаще выполненные работы и оплатить их, в соответствии с условиями настоящего </w:t>
      </w:r>
      <w:r w:rsidR="00D90C1A">
        <w:t>Контракта</w:t>
      </w:r>
      <w:r w:rsidRPr="00FF3B3A">
        <w:t>.</w:t>
      </w:r>
    </w:p>
    <w:p w14:paraId="21564158" w14:textId="77777777" w:rsidR="009827C6" w:rsidRPr="00FF3B3A" w:rsidRDefault="009827C6" w:rsidP="00FF3B3A">
      <w:pPr>
        <w:widowControl w:val="0"/>
        <w:shd w:val="clear" w:color="auto" w:fill="FFFFFF"/>
        <w:ind w:firstLine="708"/>
        <w:jc w:val="both"/>
      </w:pPr>
      <w:r w:rsidRPr="00FF3B3A">
        <w:t xml:space="preserve">1.2. </w:t>
      </w:r>
      <w:r w:rsidR="00D90C1A" w:rsidRPr="00D90C1A">
        <w:t xml:space="preserve">Срок выполнения Работ и передача результатов Работ Заказчику– </w:t>
      </w:r>
      <w:r w:rsidR="00EB3777" w:rsidRPr="002D1E4E">
        <w:t>с 27.05.2026 г.</w:t>
      </w:r>
      <w:r w:rsidR="00EB3777">
        <w:t xml:space="preserve"> </w:t>
      </w:r>
      <w:r w:rsidR="00D90C1A" w:rsidRPr="002D1E4E">
        <w:t xml:space="preserve">до </w:t>
      </w:r>
      <w:r w:rsidR="00370EAF" w:rsidRPr="002D1E4E">
        <w:t>05.06.</w:t>
      </w:r>
      <w:r w:rsidR="00D90C1A" w:rsidRPr="002D1E4E">
        <w:t>2026 г.</w:t>
      </w:r>
    </w:p>
    <w:p w14:paraId="051580F9" w14:textId="77777777" w:rsidR="009827C6" w:rsidRPr="00FF3B3A" w:rsidRDefault="009827C6" w:rsidP="00FF3B3A">
      <w:pPr>
        <w:tabs>
          <w:tab w:val="left" w:pos="0"/>
        </w:tabs>
        <w:ind w:firstLine="709"/>
        <w:jc w:val="both"/>
      </w:pPr>
      <w:r w:rsidRPr="00FF3B3A">
        <w:t xml:space="preserve">1.3. </w:t>
      </w:r>
      <w:r w:rsidR="00D90C1A" w:rsidRPr="00D90C1A">
        <w:t xml:space="preserve">В </w:t>
      </w:r>
      <w:r w:rsidR="00D90C1A">
        <w:t>обязательства по настоящему Контракту</w:t>
      </w:r>
      <w:r w:rsidR="00D90C1A" w:rsidRPr="00D90C1A">
        <w:t xml:space="preserve"> не входят расчёты, связанные со звукоизоляцией</w:t>
      </w:r>
      <w:r w:rsidRPr="00FF3B3A">
        <w:t>.</w:t>
      </w:r>
    </w:p>
    <w:p w14:paraId="2501862F" w14:textId="77777777" w:rsidR="00792FE4" w:rsidRPr="00FF3B3A" w:rsidRDefault="00792FE4" w:rsidP="00FF3B3A">
      <w:pPr>
        <w:tabs>
          <w:tab w:val="left" w:pos="0"/>
        </w:tabs>
        <w:ind w:firstLine="709"/>
        <w:jc w:val="both"/>
      </w:pPr>
      <w:r w:rsidRPr="00FF3B3A">
        <w:t>1.4. Подрядчик гарантирует, что соответствует единым требованиям, установленным положениями Федерального закон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D90C1A">
        <w:t>.</w:t>
      </w:r>
    </w:p>
    <w:p w14:paraId="4685759E" w14:textId="77777777" w:rsidR="0055703C" w:rsidRPr="00FF3B3A" w:rsidRDefault="0055703C" w:rsidP="00FF3B3A">
      <w:pPr>
        <w:shd w:val="clear" w:color="auto" w:fill="FFFFFF"/>
        <w:jc w:val="center"/>
        <w:rPr>
          <w:b/>
          <w:iCs/>
        </w:rPr>
      </w:pPr>
    </w:p>
    <w:p w14:paraId="08FDFF40" w14:textId="77777777" w:rsidR="00D90C1A" w:rsidRDefault="00D90C1A" w:rsidP="00D90C1A">
      <w:pPr>
        <w:numPr>
          <w:ilvl w:val="0"/>
          <w:numId w:val="6"/>
        </w:numPr>
        <w:shd w:val="clear" w:color="auto" w:fill="FFFFFF"/>
        <w:jc w:val="center"/>
        <w:rPr>
          <w:b/>
          <w:bCs/>
          <w:iCs/>
        </w:rPr>
      </w:pPr>
      <w:r w:rsidRPr="00D90C1A">
        <w:rPr>
          <w:b/>
          <w:bCs/>
          <w:iCs/>
        </w:rPr>
        <w:t>Ц</w:t>
      </w:r>
      <w:r w:rsidR="00810B2B">
        <w:rPr>
          <w:b/>
          <w:bCs/>
          <w:iCs/>
        </w:rPr>
        <w:t>ена и порядок расчетов</w:t>
      </w:r>
    </w:p>
    <w:p w14:paraId="1335ED5B" w14:textId="77777777" w:rsidR="00D90C1A" w:rsidRPr="00D90C1A" w:rsidRDefault="00D90C1A" w:rsidP="00D90C1A">
      <w:pPr>
        <w:tabs>
          <w:tab w:val="left" w:pos="0"/>
        </w:tabs>
        <w:ind w:firstLine="709"/>
        <w:jc w:val="both"/>
      </w:pPr>
      <w:r w:rsidRPr="00D90C1A">
        <w:t>2.1.</w:t>
      </w:r>
      <w:r w:rsidR="00810B2B">
        <w:t xml:space="preserve"> </w:t>
      </w:r>
      <w:r w:rsidRPr="00D90C1A">
        <w:t xml:space="preserve">Цена </w:t>
      </w:r>
      <w:r w:rsidR="00A71763">
        <w:t>Контракта</w:t>
      </w:r>
      <w:r w:rsidRPr="00D90C1A">
        <w:t xml:space="preserve"> составляет </w:t>
      </w:r>
      <w:r w:rsidR="002D1E4E">
        <w:rPr>
          <w:b/>
          <w:bCs/>
        </w:rPr>
        <w:t>_____________</w:t>
      </w:r>
      <w:r w:rsidRPr="00A71763">
        <w:rPr>
          <w:b/>
          <w:bCs/>
        </w:rPr>
        <w:t xml:space="preserve"> (</w:t>
      </w:r>
      <w:r w:rsidR="002D1E4E">
        <w:rPr>
          <w:b/>
          <w:bCs/>
        </w:rPr>
        <w:t>________________</w:t>
      </w:r>
      <w:r w:rsidRPr="00A71763">
        <w:rPr>
          <w:b/>
          <w:bCs/>
        </w:rPr>
        <w:t>) рублей 00 копеек</w:t>
      </w:r>
      <w:r w:rsidRPr="00D90C1A">
        <w:t xml:space="preserve">, </w:t>
      </w:r>
      <w:r w:rsidR="002D1E4E">
        <w:t>с НДС/</w:t>
      </w:r>
      <w:r w:rsidRPr="00D90C1A">
        <w:t>НДС не применяется.</w:t>
      </w:r>
      <w:r w:rsidR="00810B2B" w:rsidRPr="00810B2B">
        <w:rPr>
          <w:bCs/>
        </w:rPr>
        <w:t xml:space="preserve"> </w:t>
      </w:r>
    </w:p>
    <w:p w14:paraId="16DF6AE4" w14:textId="77777777" w:rsidR="00810B2B" w:rsidRDefault="00D90C1A" w:rsidP="00D90C1A">
      <w:pPr>
        <w:tabs>
          <w:tab w:val="left" w:pos="0"/>
        </w:tabs>
        <w:ind w:firstLine="709"/>
        <w:jc w:val="both"/>
      </w:pPr>
      <w:r w:rsidRPr="00D90C1A">
        <w:t xml:space="preserve">2.2. </w:t>
      </w:r>
      <w:r w:rsidR="00810B2B" w:rsidRPr="00D90C1A">
        <w:t xml:space="preserve">Цена </w:t>
      </w:r>
      <w:r w:rsidR="00A71763">
        <w:t>Контракта</w:t>
      </w:r>
      <w:r w:rsidR="00810B2B" w:rsidRPr="00D90C1A">
        <w:t xml:space="preserve"> является твердой, определена на весь срок выполнения работ по </w:t>
      </w:r>
      <w:r w:rsidR="00A71763">
        <w:t>Контракту</w:t>
      </w:r>
      <w:r w:rsidR="00810B2B" w:rsidRPr="00D90C1A">
        <w:t xml:space="preserve"> и не может изменяться в ходе его исполнения, за исключением случаев, предусмотренных </w:t>
      </w:r>
      <w:r w:rsidR="00A71763">
        <w:t>Контрактом</w:t>
      </w:r>
      <w:r w:rsidR="00810B2B" w:rsidRPr="00D90C1A">
        <w:t xml:space="preserve"> или действующим законодательством РФ. </w:t>
      </w:r>
    </w:p>
    <w:p w14:paraId="14147476" w14:textId="77777777" w:rsidR="00D90C1A" w:rsidRPr="00D90C1A" w:rsidRDefault="00810B2B" w:rsidP="00D90C1A">
      <w:pPr>
        <w:tabs>
          <w:tab w:val="left" w:pos="0"/>
        </w:tabs>
        <w:ind w:firstLine="709"/>
        <w:jc w:val="both"/>
      </w:pPr>
      <w:r>
        <w:t xml:space="preserve">2.3. </w:t>
      </w:r>
      <w:r w:rsidR="00D90C1A" w:rsidRPr="00D90C1A">
        <w:t xml:space="preserve">Оплата по </w:t>
      </w:r>
      <w:r>
        <w:t>настоящему Контракту</w:t>
      </w:r>
      <w:r w:rsidR="00D90C1A" w:rsidRPr="00D90C1A">
        <w:t xml:space="preserve"> осуществляется после выполнения работ, на основании предоставленного счета, счета-фактуры, при условии подписания Акта сдачи-приемки выполненных работ, в течение 7 (семи) </w:t>
      </w:r>
      <w:r w:rsidR="00D90C1A">
        <w:t>рабочих</w:t>
      </w:r>
      <w:r w:rsidR="00D90C1A" w:rsidRPr="00D90C1A">
        <w:t xml:space="preserve"> дней. Стоимость работ определяется в соответствии со Спецификацией (Приложением №1). </w:t>
      </w:r>
    </w:p>
    <w:p w14:paraId="6FC49F37" w14:textId="77777777" w:rsidR="00D90C1A" w:rsidRPr="00D90C1A" w:rsidRDefault="00D90C1A" w:rsidP="00D90C1A">
      <w:pPr>
        <w:tabs>
          <w:tab w:val="left" w:pos="0"/>
        </w:tabs>
        <w:ind w:firstLine="709"/>
        <w:jc w:val="both"/>
      </w:pPr>
      <w:r w:rsidRPr="00D90C1A">
        <w:t>2.</w:t>
      </w:r>
      <w:r w:rsidR="00810B2B">
        <w:t>4</w:t>
      </w:r>
      <w:r w:rsidRPr="00D90C1A">
        <w:t xml:space="preserve">. Оплата по </w:t>
      </w:r>
      <w:r w:rsidR="00810B2B">
        <w:t>настоящему Контракту</w:t>
      </w:r>
      <w:r w:rsidRPr="00D90C1A">
        <w:t xml:space="preserve"> осуществляется в рублях Российской Федерации.</w:t>
      </w:r>
    </w:p>
    <w:p w14:paraId="651D04B4" w14:textId="77777777" w:rsidR="00D90C1A" w:rsidRPr="00D90C1A" w:rsidRDefault="00D90C1A" w:rsidP="00D90C1A">
      <w:pPr>
        <w:tabs>
          <w:tab w:val="left" w:pos="0"/>
        </w:tabs>
        <w:ind w:firstLine="709"/>
        <w:jc w:val="both"/>
      </w:pPr>
      <w:r w:rsidRPr="00D90C1A">
        <w:t>2.</w:t>
      </w:r>
      <w:r w:rsidR="00810B2B">
        <w:t>5</w:t>
      </w:r>
      <w:r w:rsidRPr="00D90C1A">
        <w:t xml:space="preserve">. Цена </w:t>
      </w:r>
      <w:r w:rsidR="00810B2B">
        <w:t>Контракта</w:t>
      </w:r>
      <w:r w:rsidRPr="00D90C1A">
        <w:t xml:space="preserve"> включает в себя все затраты, издержки и иные расходы Исполнителя, в том числе сопутствующие, связанные с исполнением настоящего </w:t>
      </w:r>
      <w:r w:rsidR="00810B2B">
        <w:t>Контра</w:t>
      </w:r>
      <w:r w:rsidR="00A71763">
        <w:t>кта</w:t>
      </w:r>
      <w:r w:rsidR="00810B2B">
        <w:t>.</w:t>
      </w:r>
    </w:p>
    <w:p w14:paraId="254A53D2" w14:textId="77777777" w:rsidR="00D90C1A" w:rsidRPr="00D90C1A" w:rsidRDefault="00D90C1A" w:rsidP="00D90C1A">
      <w:pPr>
        <w:tabs>
          <w:tab w:val="left" w:pos="0"/>
        </w:tabs>
        <w:ind w:firstLine="709"/>
        <w:jc w:val="both"/>
      </w:pPr>
      <w:r w:rsidRPr="00D90C1A">
        <w:t>2.</w:t>
      </w:r>
      <w:r w:rsidR="00810B2B">
        <w:t>6</w:t>
      </w:r>
      <w:r w:rsidRPr="00D90C1A">
        <w:t xml:space="preserve">. </w:t>
      </w:r>
      <w:r w:rsidR="00810B2B" w:rsidRPr="00810B2B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F7E5E61" w14:textId="77777777" w:rsidR="00810B2B" w:rsidRDefault="00D90C1A" w:rsidP="00810B2B">
      <w:pPr>
        <w:tabs>
          <w:tab w:val="left" w:pos="0"/>
        </w:tabs>
        <w:ind w:firstLine="709"/>
        <w:jc w:val="both"/>
      </w:pPr>
      <w:r w:rsidRPr="00D90C1A">
        <w:t>2.</w:t>
      </w:r>
      <w:r w:rsidR="00810B2B">
        <w:t>7</w:t>
      </w:r>
      <w:r w:rsidRPr="00D90C1A">
        <w:t xml:space="preserve">. </w:t>
      </w:r>
      <w:r w:rsidR="00810B2B">
        <w:t xml:space="preserve">Обязательство Заказчика по оплате считается исполненным с момента списания денежных средств со счета Заказчика. </w:t>
      </w:r>
    </w:p>
    <w:p w14:paraId="1DF786D5" w14:textId="77777777" w:rsidR="00810B2B" w:rsidRDefault="00810B2B" w:rsidP="00810B2B">
      <w:pPr>
        <w:tabs>
          <w:tab w:val="left" w:pos="0"/>
        </w:tabs>
        <w:ind w:firstLine="709"/>
        <w:jc w:val="both"/>
      </w:pPr>
      <w:r>
        <w:t>2.8. Источник финансирования: средства от приносящей доход деятельности.</w:t>
      </w:r>
    </w:p>
    <w:p w14:paraId="3BFC59D1" w14:textId="77777777" w:rsidR="00810B2B" w:rsidRDefault="00810B2B" w:rsidP="00810B2B">
      <w:pPr>
        <w:tabs>
          <w:tab w:val="left" w:pos="0"/>
        </w:tabs>
        <w:ind w:firstLine="709"/>
        <w:jc w:val="both"/>
      </w:pPr>
      <w:r>
        <w:lastRenderedPageBreak/>
        <w:t xml:space="preserve">2.9. Стоимость работ, подлежащая оплате Заказчиком по настоящему Государственному контракту, подлежит уменьшению путем удержания неустойки (штрафа, пени) в случае неисполнения или ненадлежащего исполнения обязательств со стороны Подрядчика. </w:t>
      </w:r>
    </w:p>
    <w:p w14:paraId="5B0E88DB" w14:textId="77777777" w:rsidR="00D90C1A" w:rsidRDefault="00810B2B" w:rsidP="00810B2B">
      <w:pPr>
        <w:tabs>
          <w:tab w:val="left" w:pos="0"/>
        </w:tabs>
        <w:ind w:firstLine="709"/>
        <w:jc w:val="both"/>
      </w:pPr>
      <w:r>
        <w:t>2.10. Если Заказчик не удержит по какой-либо причине сумму штрафных санкций, либо основания для их уплаты штрафа возникнут позднее, Подрядчик обязуется уплатить такую сумму в течение 7 (семи) дней с момента получения требования Заказчика.</w:t>
      </w:r>
    </w:p>
    <w:p w14:paraId="57A522E8" w14:textId="77777777" w:rsidR="00810B2B" w:rsidRDefault="00810B2B" w:rsidP="00810B2B">
      <w:pPr>
        <w:tabs>
          <w:tab w:val="left" w:pos="0"/>
        </w:tabs>
        <w:ind w:firstLine="709"/>
        <w:jc w:val="both"/>
        <w:rPr>
          <w:b/>
          <w:bCs/>
          <w:iCs/>
        </w:rPr>
      </w:pPr>
    </w:p>
    <w:p w14:paraId="753906F4" w14:textId="77777777" w:rsidR="0055703C" w:rsidRPr="00FF3B3A" w:rsidRDefault="0055703C" w:rsidP="00FF3B3A">
      <w:pPr>
        <w:shd w:val="clear" w:color="auto" w:fill="FFFFFF"/>
        <w:jc w:val="center"/>
        <w:rPr>
          <w:b/>
          <w:bCs/>
          <w:iCs/>
        </w:rPr>
      </w:pPr>
      <w:r w:rsidRPr="00FF3B3A">
        <w:rPr>
          <w:b/>
          <w:bCs/>
          <w:iCs/>
        </w:rPr>
        <w:t>3. Права и обязанности сторон</w:t>
      </w:r>
    </w:p>
    <w:p w14:paraId="27CCB554" w14:textId="77777777" w:rsidR="00810B2B" w:rsidRPr="00A71763" w:rsidRDefault="00810B2B" w:rsidP="00A71763">
      <w:pPr>
        <w:tabs>
          <w:tab w:val="left" w:pos="0"/>
        </w:tabs>
        <w:ind w:firstLine="709"/>
        <w:jc w:val="both"/>
      </w:pPr>
      <w:r w:rsidRPr="00A71763">
        <w:t>3.1. Заказчик обязан:</w:t>
      </w:r>
    </w:p>
    <w:p w14:paraId="73552690" w14:textId="77777777" w:rsidR="00810B2B" w:rsidRPr="00A71763" w:rsidRDefault="00810B2B" w:rsidP="00A71763">
      <w:pPr>
        <w:tabs>
          <w:tab w:val="left" w:pos="0"/>
        </w:tabs>
        <w:ind w:firstLine="709"/>
        <w:jc w:val="both"/>
      </w:pPr>
      <w:r>
        <w:t xml:space="preserve">3.1.1. Обеспечить представителям Исполнителя необходимые чертежи объектов, при этом </w:t>
      </w:r>
      <w:r w:rsidRPr="00A71763">
        <w:t>за неточную, либо неполную предоставленную информацию исполнитель ответственности не несёт.</w:t>
      </w:r>
    </w:p>
    <w:p w14:paraId="24B5545B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>3.1.3. Произвести приемку и оплату Работ, выполненных Исполнителем, в порядке, предусмотренном настоящим Контрактом.</w:t>
      </w:r>
    </w:p>
    <w:p w14:paraId="5B71EC37" w14:textId="77777777" w:rsidR="00810B2B" w:rsidRPr="00A71763" w:rsidRDefault="00810B2B" w:rsidP="00A71763">
      <w:pPr>
        <w:tabs>
          <w:tab w:val="left" w:pos="0"/>
        </w:tabs>
        <w:ind w:firstLine="709"/>
        <w:jc w:val="both"/>
      </w:pPr>
      <w:r w:rsidRPr="00A71763">
        <w:t>3.2. Исполнитель обязан:</w:t>
      </w:r>
    </w:p>
    <w:p w14:paraId="3C7FECEC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>3.2.1. Выполнить Работы, качественно и в срок силами квалифицированных специалистов</w:t>
      </w:r>
      <w:r w:rsidR="00370EAF">
        <w:t xml:space="preserve"> с обязательным выездом специалиста на площадку, проведением замеров и предоставлением отчета в соответствии со спецификацией (Техническим заданием) по результат проделанной Работы.</w:t>
      </w:r>
    </w:p>
    <w:p w14:paraId="12B0E5A4" w14:textId="77777777" w:rsidR="00810B2B" w:rsidRPr="00A71763" w:rsidRDefault="00810B2B" w:rsidP="00A71763">
      <w:pPr>
        <w:tabs>
          <w:tab w:val="left" w:pos="0"/>
        </w:tabs>
        <w:ind w:firstLine="709"/>
        <w:jc w:val="both"/>
      </w:pPr>
      <w:r>
        <w:t xml:space="preserve">3.2.2 Давать уточняющие пояснения, если такие возникнут у заказчика по тексту акустического проекта. </w:t>
      </w:r>
      <w:r w:rsidRPr="00A71763">
        <w:t xml:space="preserve">Выполнение перерасчёта акустических параметров в </w:t>
      </w:r>
      <w:r w:rsidR="00A71763" w:rsidRPr="00A71763">
        <w:t xml:space="preserve">обязательства по настоящему Контракту </w:t>
      </w:r>
      <w:r w:rsidRPr="00A71763">
        <w:t>не входит.</w:t>
      </w:r>
    </w:p>
    <w:p w14:paraId="27667821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>3.2.2. В случае возникновения обстоятельств, замедляющих ход Работ, в течение 3 (трех) рабочих дней поставить об этом в известность Заказчика.</w:t>
      </w:r>
    </w:p>
    <w:p w14:paraId="211B62A1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 xml:space="preserve">3.2.3. Выполнить в полном объеме все свои обязательства, предусмотренные в других статьях настоящего </w:t>
      </w:r>
      <w:r w:rsidR="00A71763">
        <w:t>Контракта</w:t>
      </w:r>
      <w:r>
        <w:t xml:space="preserve">. </w:t>
      </w:r>
    </w:p>
    <w:p w14:paraId="32A38FC2" w14:textId="77777777" w:rsidR="00810B2B" w:rsidRDefault="00810B2B" w:rsidP="00A71763">
      <w:pPr>
        <w:tabs>
          <w:tab w:val="left" w:pos="0"/>
        </w:tabs>
        <w:ind w:firstLine="709"/>
        <w:jc w:val="both"/>
      </w:pPr>
      <w:r w:rsidRPr="00A71763">
        <w:t xml:space="preserve">3.3. Исполнитель имеет право:  </w:t>
      </w:r>
    </w:p>
    <w:p w14:paraId="47CED414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>3.3.1. Вносить предложения по корректировке проводимых Работ;</w:t>
      </w:r>
    </w:p>
    <w:p w14:paraId="64AACB7F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>3.3.2. По согласованию с Заказчиком переносить сроки выполнения Работ.</w:t>
      </w:r>
    </w:p>
    <w:p w14:paraId="074DA4E0" w14:textId="77777777" w:rsidR="00D5736D" w:rsidRPr="00FF3B3A" w:rsidRDefault="00D5736D" w:rsidP="00FF3B3A">
      <w:pPr>
        <w:shd w:val="clear" w:color="auto" w:fill="FFFFFF"/>
        <w:jc w:val="center"/>
        <w:rPr>
          <w:b/>
          <w:iCs/>
        </w:rPr>
      </w:pPr>
    </w:p>
    <w:p w14:paraId="48BAE1C4" w14:textId="77777777" w:rsidR="00810B2B" w:rsidRDefault="00810B2B" w:rsidP="00810B2B">
      <w:pPr>
        <w:jc w:val="center"/>
        <w:rPr>
          <w:b/>
        </w:rPr>
      </w:pPr>
      <w:r>
        <w:rPr>
          <w:b/>
        </w:rPr>
        <w:t xml:space="preserve">4. Порядок сдачи-приемки выполненных работ </w:t>
      </w:r>
    </w:p>
    <w:p w14:paraId="4474057A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 xml:space="preserve">4.1. После завершения выполнения Работ по каждому помещению, указанному в Спецификации, Исполнитель уведомляет Заказчика о факте завершения выполнения этапа Работ. </w:t>
      </w:r>
    </w:p>
    <w:p w14:paraId="3202FB07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 xml:space="preserve">4.2. Не позднее рабочего дня, следующего за днем получения Заказчиком уведомления, указанного в п. 4.1 </w:t>
      </w:r>
      <w:r w:rsidR="00A71763">
        <w:t>настоящего Контракта</w:t>
      </w:r>
      <w:r>
        <w:t>, Исполнитель представляет Заказчику результат выполненного этапа Работ в виде Технического отчета</w:t>
      </w:r>
      <w:r w:rsidR="00A71763">
        <w:t>, а по окончании выполнения всего объема работ</w:t>
      </w:r>
      <w:r>
        <w:t xml:space="preserve"> </w:t>
      </w:r>
      <w:r w:rsidR="00A71763">
        <w:t>-</w:t>
      </w:r>
      <w:r>
        <w:t xml:space="preserve"> Акт сдачи-приемки выполненных работ, подписанный Исполнителем, в 2 (двух) экземплярах.</w:t>
      </w:r>
    </w:p>
    <w:p w14:paraId="37650FFD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 xml:space="preserve">4.3. Не позднее 10 (десяти) календарных дней после получения от Исполнителя </w:t>
      </w:r>
      <w:r w:rsidR="00A71763" w:rsidRPr="00A71763">
        <w:t>Акт сдачи-приемки выполненных работ</w:t>
      </w:r>
      <w:r>
        <w:t>, Заказчик рассматривает результаты и осуществляет приемку выполненн</w:t>
      </w:r>
      <w:r w:rsidR="00A71763">
        <w:t>ых</w:t>
      </w:r>
      <w:r>
        <w:t xml:space="preserve"> Работ по настоящему Контракту на предмет соответствия их объема, качества требованиям, изложенным в настоящем Контракте и Спецификации (Приложение № 1), и направляет заказным письмом с уведомлением, либо отдает нарочно Исполнителю подписанный Заказчиком 1 (один) экземпляр Акта сдачи-приемки выполненных Работ либо запрос о предоставлении разъяснений касательно результатов выполненных Работ, или мотивированный отказ от принятия результатов выполненных Работ, или акт с перечнем выявленных недостатков, необходимых доработок и сроком их устранения. </w:t>
      </w:r>
    </w:p>
    <w:p w14:paraId="3B232B96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t xml:space="preserve">4.4. В случае если Заказчиком не будет выявлено недостатков результата Работ, а также в случае отсутствия у Заказчика запросов касательно представления разъяснений в отношении выполненных Работ, Заказчик принимает выполненные Работы и подписывает 2 (два) экземпляра Акта сдачи-приемки выполненных работ, один из которых направляет Исполнителю в порядке, предусмотренном в п. 4.3 </w:t>
      </w:r>
      <w:r w:rsidR="00A71763">
        <w:t>настоящего Контракта</w:t>
      </w:r>
      <w:r>
        <w:t>.</w:t>
      </w:r>
    </w:p>
    <w:p w14:paraId="4F4BE8B1" w14:textId="77777777" w:rsidR="00810B2B" w:rsidRPr="00A71763" w:rsidRDefault="00810B2B" w:rsidP="00A71763">
      <w:pPr>
        <w:tabs>
          <w:tab w:val="left" w:pos="0"/>
        </w:tabs>
        <w:ind w:firstLine="709"/>
        <w:jc w:val="both"/>
      </w:pPr>
      <w:r>
        <w:t xml:space="preserve">4.5. </w:t>
      </w:r>
      <w:r w:rsidRPr="00A71763">
        <w:t xml:space="preserve">Моментом исполнения обязательств Исполнителя по выполнению работ считается факт подписания Сторонами </w:t>
      </w:r>
      <w:r>
        <w:t>Акт сдачи-приемки выполненных работ</w:t>
      </w:r>
      <w:r w:rsidRPr="00A71763">
        <w:t xml:space="preserve">. </w:t>
      </w:r>
    </w:p>
    <w:p w14:paraId="2E2AA7EB" w14:textId="77777777" w:rsidR="00810B2B" w:rsidRDefault="00810B2B" w:rsidP="00A71763">
      <w:pPr>
        <w:tabs>
          <w:tab w:val="left" w:pos="0"/>
        </w:tabs>
        <w:ind w:firstLine="709"/>
        <w:jc w:val="both"/>
      </w:pPr>
      <w:r>
        <w:lastRenderedPageBreak/>
        <w:t>4.6. Подписанный Заказчиком и Исполнителем Акт сдачи-приемки выполненных работ и полученный от Исполнителя счет на оплату являются основанием для оплаты Исполнителю выполненных работ.</w:t>
      </w:r>
    </w:p>
    <w:p w14:paraId="35789F24" w14:textId="77777777" w:rsidR="0055703C" w:rsidRPr="00FF3B3A" w:rsidRDefault="0055703C" w:rsidP="00FF3B3A">
      <w:pPr>
        <w:shd w:val="clear" w:color="auto" w:fill="FFFFFF"/>
        <w:ind w:firstLine="709"/>
        <w:jc w:val="center"/>
        <w:rPr>
          <w:b/>
          <w:bCs/>
          <w:iCs/>
        </w:rPr>
      </w:pPr>
    </w:p>
    <w:p w14:paraId="6F7DE777" w14:textId="77777777" w:rsidR="007E5E0D" w:rsidRPr="00FF3B3A" w:rsidRDefault="00A71763" w:rsidP="00FF3B3A">
      <w:pPr>
        <w:shd w:val="clear" w:color="auto" w:fill="FFFFFF"/>
        <w:jc w:val="center"/>
        <w:rPr>
          <w:b/>
          <w:iCs/>
        </w:rPr>
      </w:pPr>
      <w:r>
        <w:rPr>
          <w:b/>
          <w:iCs/>
        </w:rPr>
        <w:t>5</w:t>
      </w:r>
      <w:r w:rsidR="007E5E0D" w:rsidRPr="00FF3B3A">
        <w:rPr>
          <w:b/>
          <w:iCs/>
        </w:rPr>
        <w:t xml:space="preserve">. Ответственность сторон </w:t>
      </w:r>
    </w:p>
    <w:p w14:paraId="4C25B3B2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7E5E0D" w:rsidRPr="00FF3B3A">
        <w:t xml:space="preserve">.1. </w:t>
      </w:r>
      <w:r w:rsidR="004733EC" w:rsidRPr="00FF3B3A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</w:t>
      </w:r>
      <w:r w:rsidR="00F43D86" w:rsidRPr="00FF3B3A">
        <w:t xml:space="preserve"> </w:t>
      </w:r>
      <w:bookmarkStart w:id="0" w:name="_Hlk212461656"/>
      <w:bookmarkStart w:id="1" w:name="_Hlk212462945"/>
      <w:r w:rsidR="00F43D86" w:rsidRPr="00FF3B3A">
        <w:t>(поставщик, подрядчик)</w:t>
      </w:r>
      <w:bookmarkEnd w:id="0"/>
      <w:r w:rsidR="004733EC" w:rsidRPr="00FF3B3A">
        <w:t xml:space="preserve"> </w:t>
      </w:r>
      <w:bookmarkEnd w:id="1"/>
      <w:r w:rsidR="004733EC" w:rsidRPr="00FF3B3A">
        <w:t>вправе потребовать уплаты неустоек (штрафов, пеней).</w:t>
      </w:r>
    </w:p>
    <w:p w14:paraId="5D6B8A0E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19C257D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</w:t>
      </w:r>
      <w:r w:rsidR="00F43D86" w:rsidRPr="00FF3B3A">
        <w:t xml:space="preserve"> (поставщик, подрядчик)</w:t>
      </w:r>
      <w:r w:rsidR="004733EC" w:rsidRPr="00FF3B3A">
        <w:t xml:space="preserve"> вправе потребовать уплату штрафа. Размер штрафа устанавливается в следующем порядке:</w:t>
      </w:r>
    </w:p>
    <w:p w14:paraId="5E56DD30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proofErr w:type="gramStart"/>
      <w:r w:rsidRPr="00FF3B3A">
        <w:t xml:space="preserve">а)   </w:t>
      </w:r>
      <w:proofErr w:type="gramEnd"/>
      <w:r w:rsidRPr="00FF3B3A">
        <w:t>1000 рублей, если цена контракта не превышает 3 млн рублей (включительно);</w:t>
      </w:r>
    </w:p>
    <w:p w14:paraId="45705DCB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б) 5000 рублей, если цена контракта составляет от 3 млн рублей до 50 млн рублей (включительно);</w:t>
      </w:r>
    </w:p>
    <w:p w14:paraId="02CB1482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в) 10000 рублей, если цена контракта составляет от 50 млн рублей до 100 млн рублей (включительно);</w:t>
      </w:r>
    </w:p>
    <w:p w14:paraId="43DE77F3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proofErr w:type="gramStart"/>
      <w:r w:rsidRPr="00FF3B3A">
        <w:t xml:space="preserve">г)   </w:t>
      </w:r>
      <w:proofErr w:type="gramEnd"/>
      <w:r w:rsidRPr="00FF3B3A">
        <w:t>100000 рублей, если цена контракта превышает 100 млн рублей.</w:t>
      </w:r>
    </w:p>
    <w:p w14:paraId="48AC6C03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9B88B8E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.5. Заказчик освобождается от уплаты пени и (или) штрафа, если докажет, что ненадлежащее исполнение обязательства, предусмотренного контрактом, произошло вследствие непреодолимой силы или по вине Исполнителя</w:t>
      </w:r>
      <w:r w:rsidR="00F43D86" w:rsidRPr="00FF3B3A">
        <w:t xml:space="preserve"> (поставщика, подрядчика)</w:t>
      </w:r>
      <w:r w:rsidR="004733EC" w:rsidRPr="00FF3B3A">
        <w:t>.</w:t>
      </w:r>
    </w:p>
    <w:p w14:paraId="57CE7F9B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.6. За каждый факт неисполнения или ненадлежащего исполнения Исполнителем</w:t>
      </w:r>
      <w:r w:rsidR="00F43D86" w:rsidRPr="00FF3B3A">
        <w:t xml:space="preserve"> (поставщиком, подрядчиком)</w:t>
      </w:r>
      <w:r w:rsidR="004733EC" w:rsidRPr="00FF3B3A"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</w:t>
      </w:r>
      <w:r w:rsidR="002C7964" w:rsidRPr="00FF3B3A">
        <w:t xml:space="preserve"> (поставщик, </w:t>
      </w:r>
      <w:proofErr w:type="gramStart"/>
      <w:r w:rsidR="002C7964" w:rsidRPr="00FF3B3A">
        <w:t xml:space="preserve">подрядчик) </w:t>
      </w:r>
      <w:r w:rsidR="004733EC" w:rsidRPr="00FF3B3A">
        <w:t xml:space="preserve"> уплачивает</w:t>
      </w:r>
      <w:proofErr w:type="gramEnd"/>
      <w:r w:rsidR="004733EC" w:rsidRPr="00FF3B3A">
        <w:t xml:space="preserve"> Заказчику штраф. Размер штрафа устанавливается в следующем порядке (за исключением случаев, предусмотренных пунктами </w:t>
      </w:r>
      <w:r>
        <w:t>5</w:t>
      </w:r>
      <w:r w:rsidR="004733EC" w:rsidRPr="00FF3B3A">
        <w:t xml:space="preserve">.7 - </w:t>
      </w:r>
      <w:r>
        <w:t>5</w:t>
      </w:r>
      <w:r w:rsidR="004733EC" w:rsidRPr="00FF3B3A">
        <w:t>.9 настоящего контракта):</w:t>
      </w:r>
    </w:p>
    <w:p w14:paraId="28023FEA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а) 10 процентов цены контракта (этапа) в случае, если цена контракта (этапа) не превышает 3 млн рублей;</w:t>
      </w:r>
    </w:p>
    <w:p w14:paraId="795ACF58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б) 5 процентов цены контракта (этапа) в случае, если цена контракта (этапа) составляет от 3 млн рублей до 50 млн рублей (включительно);</w:t>
      </w:r>
    </w:p>
    <w:p w14:paraId="2BD14CEB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в) 1 процент цены контракта (этапа) в случае, если цена контракта (этапа) составляет от 50 млн рублей до 100 млн рублей (включительно);</w:t>
      </w:r>
    </w:p>
    <w:p w14:paraId="1780A738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г) 0,5 процента цены контракта (этапа) в случае, если цена контракта (этапа) составляет от 100 млн рублей до 500 млн рублей (включительно);</w:t>
      </w:r>
    </w:p>
    <w:p w14:paraId="3D9BCCA3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д) 0,4 процента цены контракта (этапа) в случае, если цена контракта (этапа) составляет от 500 млн рублей до 1 млрд рублей (включительно);</w:t>
      </w:r>
    </w:p>
    <w:p w14:paraId="1D065306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е) 0,3 процента цены контракта (этапа) в случае, если цена контракта (этапа) составляет от 1 млрд рублей до 2 млрд рублей (включительно);</w:t>
      </w:r>
    </w:p>
    <w:p w14:paraId="16ABBD70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ж) 0,25 процента цены контракта (этапа) в случае, если цена контракта (этапа) составляет от 2 млрд рублей до 5 млрд рублей (включительно);</w:t>
      </w:r>
    </w:p>
    <w:p w14:paraId="558F2443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з) 0,2 процента цены контракта (этапа) в случае, если цена контракта (этапа) составляет от 5 млрд рублей до 10 млрд рублей (включительно);</w:t>
      </w:r>
    </w:p>
    <w:p w14:paraId="6F6F0F7B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и) 0,1 процента цены контракта (этапа) в случае, если цена контракта (этапа) превышает 10 млрд рублей.</w:t>
      </w:r>
    </w:p>
    <w:p w14:paraId="12B1C62A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 xml:space="preserve">.7.  За каждый факт неисполнения или ненадлежащего исполнения Исполнителем </w:t>
      </w:r>
      <w:r w:rsidR="002C7964" w:rsidRPr="00FF3B3A">
        <w:t xml:space="preserve">(поставщиком, подрядчиком) </w:t>
      </w:r>
      <w:r w:rsidR="004733EC" w:rsidRPr="00FF3B3A">
        <w:t>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N 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14:paraId="490C0310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.8. За каждый факт неисполнения или ненадлежащего исполнения Исполнителем</w:t>
      </w:r>
      <w:r w:rsidR="002C7964" w:rsidRPr="00FF3B3A">
        <w:t xml:space="preserve"> (поставщиком, подрядчиком) </w:t>
      </w:r>
      <w:r w:rsidR="004733EC" w:rsidRPr="00FF3B3A"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N 44-ФЗ), предложившим наиболее высокую цену за право заключения контракта, размер штрафа, за исключением просрочки исполнения обязательств (в том числе гарантийного обязательства), предусмотренных контрактом, устанавливается в следующем порядке:</w:t>
      </w:r>
    </w:p>
    <w:p w14:paraId="6CDE536D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а) в случае если цена контракта не превышает начальную (максимальную) цену контракта:</w:t>
      </w:r>
    </w:p>
    <w:p w14:paraId="28337BE7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10 процентов начальной (максимальной) цены контракта, если цена контракта не превышает 3 млн рублей;</w:t>
      </w:r>
    </w:p>
    <w:p w14:paraId="5A2517C5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5 процентов начальной (максимальной) цены контракта, если цена контракта составляет от 3 млн рублей до 50 млн рублей (включительно);</w:t>
      </w:r>
    </w:p>
    <w:p w14:paraId="5C0DCC03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1 процент начальной (максимальной) цены контракта, если цена контракта составляет от 50 млн рублей до 100 млн рублей (включительно);</w:t>
      </w:r>
    </w:p>
    <w:p w14:paraId="18587B10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б) в случае если цена контракта превышает начальную (максимальную) цену контракта:</w:t>
      </w:r>
    </w:p>
    <w:p w14:paraId="1575E4D7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10 процентов цены контракта, если цена контракта не превышает 3 млн рублей;</w:t>
      </w:r>
    </w:p>
    <w:p w14:paraId="66D8BF48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5 процентов цены контракта, если цена контракта составляет от 3 млн рублей до 50 млн рублей (включительно);</w:t>
      </w:r>
    </w:p>
    <w:p w14:paraId="242F0952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1 процент цены контракта, если цена контракта составляет от 50 млн рублей до 100 млн рублей (включительно).</w:t>
      </w:r>
    </w:p>
    <w:p w14:paraId="3B85524D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 xml:space="preserve">.9. За каждый факт неисполнения или ненадлежащего исполнения Исполнителем </w:t>
      </w:r>
      <w:r w:rsidR="002C7964" w:rsidRPr="00FF3B3A">
        <w:t xml:space="preserve">(поставщиком, подрядчиком) </w:t>
      </w:r>
      <w:r w:rsidR="004733EC" w:rsidRPr="00FF3B3A">
        <w:t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4B320B4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а) 1000 рублей, если цена контракта не превышает 3 млн рублей;</w:t>
      </w:r>
    </w:p>
    <w:p w14:paraId="66FA4CDD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б) 5000 рублей, если цена контракта составляет от 3 млн рублей до 50 млн рублей (включительно);</w:t>
      </w:r>
    </w:p>
    <w:p w14:paraId="2B63B252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в) 10000 рублей, если цена контракта составляет от 50 млн рублей до 100 млн рублей (включительно);</w:t>
      </w:r>
    </w:p>
    <w:p w14:paraId="2ABCCD2E" w14:textId="77777777" w:rsidR="004733EC" w:rsidRPr="00FF3B3A" w:rsidRDefault="004733EC" w:rsidP="00A71763">
      <w:pPr>
        <w:tabs>
          <w:tab w:val="left" w:pos="0"/>
        </w:tabs>
        <w:ind w:firstLine="709"/>
        <w:jc w:val="both"/>
      </w:pPr>
      <w:r w:rsidRPr="00FF3B3A">
        <w:t>г) 100000 рублей, если цена контракта превышает 100 млн рублей.</w:t>
      </w:r>
    </w:p>
    <w:p w14:paraId="28182BF0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 xml:space="preserve">.10. В случае просрочки исполнения Исполнителем </w:t>
      </w:r>
      <w:r w:rsidR="002C7964" w:rsidRPr="00FF3B3A">
        <w:t xml:space="preserve">(поставщиком, подрядчиком) </w:t>
      </w:r>
      <w:r w:rsidR="004733EC" w:rsidRPr="00FF3B3A">
        <w:t>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</w:t>
      </w:r>
      <w:r w:rsidR="002C7964" w:rsidRPr="00FF3B3A">
        <w:t xml:space="preserve"> (поставщиком, </w:t>
      </w:r>
      <w:proofErr w:type="gramStart"/>
      <w:r w:rsidR="002C7964" w:rsidRPr="00FF3B3A">
        <w:t xml:space="preserve">подрядчиком) </w:t>
      </w:r>
      <w:r w:rsidR="004733EC" w:rsidRPr="00FF3B3A">
        <w:t xml:space="preserve"> обязательств</w:t>
      </w:r>
      <w:proofErr w:type="gramEnd"/>
      <w:r w:rsidR="004733EC" w:rsidRPr="00FF3B3A">
        <w:t>, предусмотренных контрактом, Заказчик направляет Исполнителю</w:t>
      </w:r>
      <w:r w:rsidR="002C7964" w:rsidRPr="00FF3B3A">
        <w:t xml:space="preserve"> (поставщику, подрядчику) </w:t>
      </w:r>
      <w:r w:rsidR="004733EC" w:rsidRPr="00FF3B3A">
        <w:t xml:space="preserve"> требование об уплате неустоек (штрафов, пеней).</w:t>
      </w:r>
    </w:p>
    <w:p w14:paraId="425A61F1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.11. Пеня начисляется за каждый день просрочки исполнения Исполнителем</w:t>
      </w:r>
      <w:r w:rsidR="002C7964" w:rsidRPr="00FF3B3A">
        <w:t xml:space="preserve"> (поставщиком, подрядчиком) </w:t>
      </w:r>
      <w:r w:rsidR="004733EC" w:rsidRPr="00FF3B3A"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</w:t>
      </w:r>
      <w:r w:rsidR="002C7964" w:rsidRPr="00FF3B3A">
        <w:t xml:space="preserve"> (поставщиком, подрядчиком)</w:t>
      </w:r>
      <w:r w:rsidR="004733EC" w:rsidRPr="00FF3B3A">
        <w:t>, за исключением случаев, если законодательством Российской Федерации установлен иной порядок начисления пени.</w:t>
      </w:r>
    </w:p>
    <w:p w14:paraId="206C2688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.12. Общая сумма начисленных штрафов за неисполнение или ненадлежащее исполнение Исполнителем</w:t>
      </w:r>
      <w:r w:rsidR="002C7964" w:rsidRPr="00FF3B3A">
        <w:t xml:space="preserve"> (поставщиком, подрядчиком) </w:t>
      </w:r>
      <w:r w:rsidR="004733EC" w:rsidRPr="00FF3B3A">
        <w:t xml:space="preserve"> обязательств, предусмотренных контрактом, не может превышать цену контракта.</w:t>
      </w:r>
    </w:p>
    <w:p w14:paraId="700EE9EC" w14:textId="77777777" w:rsidR="007E5E0D" w:rsidRDefault="00A71763" w:rsidP="00A71763">
      <w:pPr>
        <w:tabs>
          <w:tab w:val="left" w:pos="0"/>
        </w:tabs>
        <w:ind w:firstLine="709"/>
        <w:jc w:val="both"/>
      </w:pPr>
      <w:r>
        <w:t>5</w:t>
      </w:r>
      <w:r w:rsidR="004733EC" w:rsidRPr="00FF3B3A">
        <w:t>.13 Исполнитель</w:t>
      </w:r>
      <w:r w:rsidR="002C7964" w:rsidRPr="00FF3B3A">
        <w:t xml:space="preserve"> (поставщик, подрядчик) </w:t>
      </w:r>
      <w:r w:rsidR="004733EC" w:rsidRPr="00FF3B3A">
        <w:t xml:space="preserve"> освобождается от уплаты пени и (или)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Заказчика.</w:t>
      </w:r>
    </w:p>
    <w:p w14:paraId="0730FD9F" w14:textId="77777777" w:rsidR="00A71763" w:rsidRPr="00FF3B3A" w:rsidRDefault="00A71763" w:rsidP="00A71763">
      <w:pPr>
        <w:tabs>
          <w:tab w:val="left" w:pos="0"/>
        </w:tabs>
        <w:ind w:firstLine="709"/>
        <w:jc w:val="both"/>
      </w:pPr>
      <w:r>
        <w:t xml:space="preserve">5.14. </w:t>
      </w:r>
      <w:r w:rsidRPr="00A71763">
        <w:t>Заказчик вправе удержать сумму начисленной неустойки из сумм подлежащих выплате По</w:t>
      </w:r>
      <w:r>
        <w:t>дрядчику</w:t>
      </w:r>
      <w:r w:rsidRPr="00A71763">
        <w:t>.</w:t>
      </w:r>
    </w:p>
    <w:p w14:paraId="7D7E6C0A" w14:textId="77777777" w:rsidR="0055703C" w:rsidRPr="00FF3B3A" w:rsidRDefault="0055703C" w:rsidP="00FF3B3A">
      <w:pPr>
        <w:pStyle w:val="a4"/>
        <w:tabs>
          <w:tab w:val="left" w:pos="-180"/>
        </w:tabs>
        <w:rPr>
          <w:lang w:val="ru-RU"/>
        </w:rPr>
      </w:pPr>
    </w:p>
    <w:p w14:paraId="7603AD12" w14:textId="77777777" w:rsidR="0055703C" w:rsidRPr="00FF3B3A" w:rsidRDefault="00A71763" w:rsidP="00FF3B3A">
      <w:pPr>
        <w:pStyle w:val="a4"/>
        <w:tabs>
          <w:tab w:val="left" w:pos="-180"/>
        </w:tabs>
      </w:pPr>
      <w:r>
        <w:rPr>
          <w:lang w:val="ru-RU"/>
        </w:rPr>
        <w:t>6</w:t>
      </w:r>
      <w:r w:rsidR="0055703C" w:rsidRPr="00FF3B3A">
        <w:t>. Обстоятельства непреодолимой силы</w:t>
      </w:r>
    </w:p>
    <w:p w14:paraId="06138C0C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6</w:t>
      </w:r>
      <w:r w:rsidR="004733EC" w:rsidRPr="00FF3B3A">
        <w:t>.1. Стороны не несут ответственность за полное или частичное неисполнение предусмотренных Государственным контрактом обязательств, если такое неисполнение связано с обстоятельствами непреодолимой силы.</w:t>
      </w:r>
    </w:p>
    <w:p w14:paraId="36F04941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6</w:t>
      </w:r>
      <w:r w:rsidR="004733EC" w:rsidRPr="00FF3B3A">
        <w:t>.2. Сторона, для которой создалась невозможность исполнения обязательств по Контракту вследствие обстоятельств непреодолимой силы,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3B37127D" w14:textId="77777777" w:rsidR="004733EC" w:rsidRPr="00FF3B3A" w:rsidRDefault="00A71763" w:rsidP="00A71763">
      <w:pPr>
        <w:tabs>
          <w:tab w:val="left" w:pos="0"/>
        </w:tabs>
        <w:ind w:firstLine="709"/>
        <w:jc w:val="both"/>
      </w:pPr>
      <w:r>
        <w:t>6</w:t>
      </w:r>
      <w:r w:rsidR="004733EC" w:rsidRPr="00FF3B3A">
        <w:t>.3. В случае возникновения обстоятельств непреодолимой силы Стороны вправе расторгнуть настоящий Государственный контракт, и в этом случае ни одна из Сторон не вправе требовать возмещения убытков.</w:t>
      </w:r>
    </w:p>
    <w:p w14:paraId="4ACD1103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6</w:t>
      </w:r>
      <w:r w:rsidR="004733EC" w:rsidRPr="00FF3B3A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3812847F" w14:textId="77777777" w:rsidR="004733EC" w:rsidRPr="00FF3B3A" w:rsidRDefault="004733EC" w:rsidP="00FF3B3A">
      <w:pPr>
        <w:shd w:val="clear" w:color="auto" w:fill="FFFFFF"/>
        <w:ind w:firstLine="709"/>
        <w:jc w:val="center"/>
        <w:rPr>
          <w:b/>
          <w:iCs/>
        </w:rPr>
      </w:pPr>
    </w:p>
    <w:p w14:paraId="3971BEE6" w14:textId="77777777" w:rsidR="0055703C" w:rsidRPr="00FF3B3A" w:rsidRDefault="00A71763" w:rsidP="00FF3B3A">
      <w:pPr>
        <w:shd w:val="clear" w:color="auto" w:fill="FFFFFF"/>
        <w:ind w:firstLine="709"/>
        <w:jc w:val="center"/>
        <w:rPr>
          <w:b/>
        </w:rPr>
      </w:pPr>
      <w:r>
        <w:rPr>
          <w:b/>
          <w:iCs/>
        </w:rPr>
        <w:t>7</w:t>
      </w:r>
      <w:r w:rsidR="0055703C" w:rsidRPr="00FF3B3A">
        <w:rPr>
          <w:b/>
          <w:iCs/>
        </w:rPr>
        <w:t xml:space="preserve">. </w:t>
      </w:r>
      <w:r w:rsidR="0055703C" w:rsidRPr="00FF3B3A">
        <w:rPr>
          <w:b/>
        </w:rPr>
        <w:t xml:space="preserve">Основания и порядок изменения и расторжения </w:t>
      </w:r>
      <w:r w:rsidR="00EB3777">
        <w:rPr>
          <w:b/>
        </w:rPr>
        <w:t>К</w:t>
      </w:r>
      <w:r w:rsidR="00792FE4" w:rsidRPr="00FF3B3A">
        <w:rPr>
          <w:b/>
        </w:rPr>
        <w:t>онтракта</w:t>
      </w:r>
    </w:p>
    <w:p w14:paraId="5BB55153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7</w:t>
      </w:r>
      <w:r w:rsidR="0055703C" w:rsidRPr="00FF3B3A">
        <w:t xml:space="preserve">.1. </w:t>
      </w:r>
      <w:r w:rsidR="00792FE4" w:rsidRPr="00FF3B3A">
        <w:t>Государственный контракт</w:t>
      </w:r>
      <w:r w:rsidR="0055703C" w:rsidRPr="00FF3B3A">
        <w:t xml:space="preserve"> может быть изменен по соглашению Сторон в случаях, предусмотренных ч.1 ст.95 Закона о контрактной системе</w:t>
      </w:r>
      <w:r w:rsidR="00370B0F" w:rsidRPr="00FF3B3A">
        <w:t>.</w:t>
      </w:r>
    </w:p>
    <w:p w14:paraId="55FDB9D6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7</w:t>
      </w:r>
      <w:r w:rsidR="0055703C" w:rsidRPr="00FF3B3A">
        <w:t>.</w:t>
      </w:r>
      <w:r w:rsidR="00370B0F" w:rsidRPr="00FF3B3A">
        <w:t>2.</w:t>
      </w:r>
      <w:r w:rsidR="0055703C" w:rsidRPr="00FF3B3A">
        <w:t xml:space="preserve"> Заказчик вправе принять решение об одностороннем отказе от исполнения </w:t>
      </w:r>
      <w:r w:rsidR="00792FE4" w:rsidRPr="00FF3B3A">
        <w:t>Государственного контракта</w:t>
      </w:r>
      <w:r w:rsidR="0055703C" w:rsidRPr="00FF3B3A"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</w:t>
      </w:r>
      <w:r w:rsidR="00CB4349" w:rsidRPr="00FF3B3A">
        <w:t>обязательств при условии, если</w:t>
      </w:r>
      <w:r w:rsidR="0055703C" w:rsidRPr="00FF3B3A">
        <w:t xml:space="preserve"> это было предусмотрено </w:t>
      </w:r>
      <w:r w:rsidR="00792FE4" w:rsidRPr="00FF3B3A">
        <w:t>Контрактом</w:t>
      </w:r>
      <w:r w:rsidR="0055703C" w:rsidRPr="00FF3B3A">
        <w:t>.</w:t>
      </w:r>
    </w:p>
    <w:p w14:paraId="01CF3B09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7</w:t>
      </w:r>
      <w:r w:rsidR="0055703C" w:rsidRPr="00FF3B3A">
        <w:t>.</w:t>
      </w:r>
      <w:r w:rsidR="00370B0F" w:rsidRPr="00FF3B3A">
        <w:t>3.</w:t>
      </w:r>
      <w:r w:rsidR="0055703C" w:rsidRPr="00FF3B3A">
        <w:t xml:space="preserve"> Заказчик вправе провести экспертизу выполненной работы с привлечением экспертов, экспертных организаций до принятия решения об одностороннем отказе от исполнения </w:t>
      </w:r>
      <w:r w:rsidR="00792FE4" w:rsidRPr="00FF3B3A">
        <w:t>Государственного контракта</w:t>
      </w:r>
      <w:r w:rsidR="0055703C" w:rsidRPr="00FF3B3A">
        <w:t xml:space="preserve"> в соответствии с </w:t>
      </w:r>
      <w:r w:rsidR="00792FE4" w:rsidRPr="00FF3B3A">
        <w:t>положениями</w:t>
      </w:r>
      <w:r w:rsidR="0055703C" w:rsidRPr="00FF3B3A">
        <w:t xml:space="preserve"> Закона о контрактной системе.</w:t>
      </w:r>
    </w:p>
    <w:p w14:paraId="06187827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7</w:t>
      </w:r>
      <w:r w:rsidR="00370B0F" w:rsidRPr="00FF3B3A">
        <w:t>.</w:t>
      </w:r>
      <w:r w:rsidR="004D0F7A" w:rsidRPr="00FF3B3A">
        <w:t>4</w:t>
      </w:r>
      <w:r w:rsidR="0055703C" w:rsidRPr="00FF3B3A">
        <w:t xml:space="preserve">. Любые изменения и дополнения к настоящему </w:t>
      </w:r>
      <w:r w:rsidR="00792FE4" w:rsidRPr="00FF3B3A">
        <w:t>Контракту</w:t>
      </w:r>
      <w:r w:rsidR="0055703C" w:rsidRPr="00FF3B3A">
        <w:t xml:space="preserve"> действительны лишь при условии, если они совершены в письменной форме и подписаны уполномоченными на то представителями Сторон.</w:t>
      </w:r>
    </w:p>
    <w:p w14:paraId="73C62644" w14:textId="77777777" w:rsidR="0055703C" w:rsidRDefault="00A71763" w:rsidP="00A71763">
      <w:pPr>
        <w:tabs>
          <w:tab w:val="left" w:pos="0"/>
        </w:tabs>
        <w:ind w:firstLine="709"/>
        <w:jc w:val="both"/>
      </w:pPr>
      <w:r>
        <w:t>7</w:t>
      </w:r>
      <w:r w:rsidR="0055703C" w:rsidRPr="00FF3B3A">
        <w:t>.</w:t>
      </w:r>
      <w:r w:rsidR="004D0F7A" w:rsidRPr="00FF3B3A">
        <w:t>5</w:t>
      </w:r>
      <w:r w:rsidR="0055703C" w:rsidRPr="00FF3B3A">
        <w:t xml:space="preserve">. Расторжение </w:t>
      </w:r>
      <w:r w:rsidR="00792FE4" w:rsidRPr="00FF3B3A">
        <w:t>Государственного контракта</w:t>
      </w:r>
      <w:r w:rsidR="0055703C" w:rsidRPr="00FF3B3A">
        <w:t xml:space="preserve"> допускается по соглашению Сторон, по решению суда, в случае одностороннего отказа от исполнения </w:t>
      </w:r>
      <w:r w:rsidR="00792FE4" w:rsidRPr="00FF3B3A">
        <w:t>Государственного контракта</w:t>
      </w:r>
      <w:r w:rsidR="0055703C" w:rsidRPr="00FF3B3A">
        <w:t xml:space="preserve"> в соответствии с гражданским законодательством Российской Федерации в порядке, предусмотренном </w:t>
      </w:r>
      <w:r w:rsidR="00792FE4" w:rsidRPr="00FF3B3A">
        <w:t>Законом</w:t>
      </w:r>
      <w:r w:rsidR="0055703C" w:rsidRPr="00FF3B3A">
        <w:t xml:space="preserve"> о контрактной системе.</w:t>
      </w:r>
    </w:p>
    <w:p w14:paraId="13B6F515" w14:textId="77777777" w:rsidR="00A71763" w:rsidRDefault="00A71763" w:rsidP="00FF3B3A">
      <w:pPr>
        <w:spacing w:line="240" w:lineRule="atLeast"/>
        <w:ind w:firstLine="567"/>
        <w:contextualSpacing/>
        <w:jc w:val="both"/>
      </w:pPr>
    </w:p>
    <w:p w14:paraId="6CE4F108" w14:textId="77777777" w:rsidR="00A71763" w:rsidRDefault="00A71763" w:rsidP="00A71763">
      <w:pPr>
        <w:tabs>
          <w:tab w:val="left" w:pos="0"/>
        </w:tabs>
        <w:jc w:val="center"/>
        <w:rPr>
          <w:b/>
        </w:rPr>
      </w:pPr>
      <w:r>
        <w:rPr>
          <w:b/>
        </w:rPr>
        <w:t>8. Срок действия Контракта</w:t>
      </w:r>
    </w:p>
    <w:p w14:paraId="25FFA7E9" w14:textId="77777777" w:rsidR="00A71763" w:rsidRDefault="00A71763" w:rsidP="00A71763">
      <w:pPr>
        <w:tabs>
          <w:tab w:val="left" w:pos="0"/>
        </w:tabs>
        <w:ind w:firstLine="709"/>
        <w:jc w:val="both"/>
      </w:pPr>
      <w:r>
        <w:t>8.1. Настоящий Контракт вступает в силу с момента его подписания и действует до момента полного исполнения Сторонами своих обязательств по нему. Окончание срока действия Контракта не освобождает Исполнителя от гарантийных обязательств, предусмотренных настоящим Контрактом.</w:t>
      </w:r>
    </w:p>
    <w:p w14:paraId="5BD94D9D" w14:textId="77777777" w:rsidR="00A71763" w:rsidRPr="00FF3B3A" w:rsidRDefault="00A71763" w:rsidP="00FF3B3A">
      <w:pPr>
        <w:spacing w:line="240" w:lineRule="atLeast"/>
        <w:ind w:firstLine="567"/>
        <w:contextualSpacing/>
        <w:jc w:val="both"/>
      </w:pPr>
    </w:p>
    <w:p w14:paraId="3A83742D" w14:textId="77777777" w:rsidR="0055703C" w:rsidRPr="00FF3B3A" w:rsidRDefault="00A71763" w:rsidP="00FF3B3A">
      <w:pPr>
        <w:widowControl w:val="0"/>
        <w:suppressAutoHyphens/>
        <w:spacing w:line="240" w:lineRule="atLeast"/>
        <w:jc w:val="center"/>
        <w:rPr>
          <w:b/>
          <w:lang w:eastAsia="ar-SA"/>
        </w:rPr>
      </w:pPr>
      <w:r>
        <w:rPr>
          <w:b/>
          <w:lang w:eastAsia="ar-SA"/>
        </w:rPr>
        <w:t>9</w:t>
      </w:r>
      <w:r w:rsidR="0055703C" w:rsidRPr="00FF3B3A">
        <w:rPr>
          <w:b/>
          <w:lang w:eastAsia="ar-SA"/>
        </w:rPr>
        <w:t>. Дополнительные положения</w:t>
      </w:r>
    </w:p>
    <w:p w14:paraId="600CAAA7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.1. Стороны соглашаются с тем, что </w:t>
      </w:r>
      <w:r w:rsidR="00792FE4" w:rsidRPr="00FF3B3A">
        <w:t>Государственный контракт</w:t>
      </w:r>
      <w:r w:rsidR="0055703C" w:rsidRPr="00FF3B3A">
        <w:t xml:space="preserve">, включая его условия, а также любая информация и документы, касающиеся любой из Сторон и предоставленные или ставшие известными любой из Сторон в рамках исполнения </w:t>
      </w:r>
      <w:r w:rsidR="00792FE4" w:rsidRPr="00FF3B3A">
        <w:t>Государственного контракта</w:t>
      </w:r>
      <w:r w:rsidR="0055703C" w:rsidRPr="00FF3B3A">
        <w:t>, содержат коммерческую тайну Сторон и не подлежат разглашению или передаче третьим лицам за исключением случаев, предусмотренных действующим законодательством РФ.</w:t>
      </w:r>
    </w:p>
    <w:p w14:paraId="60FBAD5F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.2. Все предусмотренные </w:t>
      </w:r>
      <w:r w:rsidR="00792FE4" w:rsidRPr="00FF3B3A">
        <w:t>Контрактом</w:t>
      </w:r>
      <w:r w:rsidR="0055703C" w:rsidRPr="00FF3B3A">
        <w:t xml:space="preserve"> заявления, извещения отправляются Сторонами посредством факсимильной связи по номерам, указанным в </w:t>
      </w:r>
      <w:r w:rsidR="00792FE4" w:rsidRPr="00FF3B3A">
        <w:t>Контракте</w:t>
      </w:r>
      <w:r w:rsidR="0055703C" w:rsidRPr="00FF3B3A">
        <w:t xml:space="preserve">, и почтовыми отправлениями по адресам, указанным в </w:t>
      </w:r>
      <w:r w:rsidR="00792FE4" w:rsidRPr="00FF3B3A">
        <w:t>Контракте</w:t>
      </w:r>
      <w:r w:rsidR="0055703C" w:rsidRPr="00FF3B3A">
        <w:t xml:space="preserve"> в качестве почтовых адресов, либо вручаются под расписку уполномоченному представителю Стороны-получателя.</w:t>
      </w:r>
    </w:p>
    <w:p w14:paraId="3236F426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.3. Все документы, исходящие от Стороны по </w:t>
      </w:r>
      <w:r w:rsidR="00792FE4" w:rsidRPr="00FF3B3A">
        <w:t>Контракту</w:t>
      </w:r>
      <w:r w:rsidR="0055703C" w:rsidRPr="00FF3B3A">
        <w:t xml:space="preserve"> и отправляемые в рамках исполнения </w:t>
      </w:r>
      <w:r w:rsidR="00792FE4" w:rsidRPr="00FF3B3A">
        <w:t>Государственного контракта</w:t>
      </w:r>
      <w:r w:rsidR="0055703C" w:rsidRPr="00FF3B3A">
        <w:t>, должны быть подписаны уполномоченным лицом Стороны-отправителя.</w:t>
      </w:r>
    </w:p>
    <w:p w14:paraId="01411918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.4. Стороны обязуются незамедлительно извещать друг друга об изменении </w:t>
      </w:r>
      <w:r w:rsidR="00CB4349" w:rsidRPr="00FF3B3A">
        <w:t>своих юридических</w:t>
      </w:r>
      <w:r w:rsidR="0055703C" w:rsidRPr="00FF3B3A">
        <w:t xml:space="preserve"> и почтовых адресов, номеров телефонов и факсов, а также об изменении своих банковских и иных реквизитов.</w:t>
      </w:r>
    </w:p>
    <w:p w14:paraId="396C658B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>.5.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0E804557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.6. </w:t>
      </w:r>
      <w:r w:rsidR="004733EC" w:rsidRPr="00FF3B3A">
        <w:t>При исполнении своих обязательств по настоящему Государственному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9F0D040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.7. Настоящий </w:t>
      </w:r>
      <w:r w:rsidR="00792FE4" w:rsidRPr="00FF3B3A">
        <w:t>Государственный контракт</w:t>
      </w:r>
      <w:r w:rsidR="0055703C" w:rsidRPr="00FF3B3A">
        <w:t xml:space="preserve"> составлен в двух экземплярах, имеющих равную юридическую силу, по одному для каждой из Сторон.</w:t>
      </w:r>
    </w:p>
    <w:p w14:paraId="5672298D" w14:textId="77777777" w:rsidR="0055703C" w:rsidRPr="00FF3B3A" w:rsidRDefault="00A71763" w:rsidP="00A71763">
      <w:pPr>
        <w:tabs>
          <w:tab w:val="left" w:pos="0"/>
        </w:tabs>
        <w:ind w:firstLine="709"/>
        <w:jc w:val="both"/>
      </w:pPr>
      <w:r>
        <w:t>9</w:t>
      </w:r>
      <w:r w:rsidR="0055703C" w:rsidRPr="00FF3B3A">
        <w:t xml:space="preserve">.8. Все перечисленные ниже приложения являются неотъемлемой частью настоящего </w:t>
      </w:r>
      <w:r w:rsidR="00792FE4" w:rsidRPr="00FF3B3A">
        <w:t>Государственного контракта</w:t>
      </w:r>
      <w:r w:rsidR="0055703C" w:rsidRPr="00FF3B3A">
        <w:t>:</w:t>
      </w:r>
    </w:p>
    <w:p w14:paraId="74B0DB30" w14:textId="77777777" w:rsidR="009827C6" w:rsidRPr="00FF3B3A" w:rsidRDefault="009827C6" w:rsidP="00A71763">
      <w:pPr>
        <w:tabs>
          <w:tab w:val="left" w:pos="0"/>
        </w:tabs>
        <w:ind w:firstLine="709"/>
        <w:jc w:val="both"/>
      </w:pPr>
      <w:r w:rsidRPr="00FF3B3A">
        <w:t xml:space="preserve">Приложение № 1- </w:t>
      </w:r>
      <w:r w:rsidR="00A71763">
        <w:t>Спецификация (</w:t>
      </w:r>
      <w:r w:rsidR="004733EC" w:rsidRPr="00FF3B3A">
        <w:t>Техническое задание</w:t>
      </w:r>
      <w:r w:rsidR="00A71763">
        <w:t>).</w:t>
      </w:r>
    </w:p>
    <w:p w14:paraId="3FD5BFE4" w14:textId="77777777" w:rsidR="00FF2B71" w:rsidRPr="00FF3B3A" w:rsidRDefault="00FF2B71" w:rsidP="00FF3B3A">
      <w:pPr>
        <w:pStyle w:val="ListParagraph"/>
        <w:spacing w:line="240" w:lineRule="atLeast"/>
        <w:ind w:left="0"/>
      </w:pPr>
    </w:p>
    <w:p w14:paraId="062F669F" w14:textId="77777777" w:rsidR="00AF0439" w:rsidRPr="00FF3B3A" w:rsidRDefault="00AF0439" w:rsidP="00FF3B3A">
      <w:pPr>
        <w:pStyle w:val="ListParagraph"/>
        <w:spacing w:line="240" w:lineRule="atLeast"/>
        <w:ind w:left="0"/>
        <w:rPr>
          <w:b/>
        </w:rPr>
      </w:pPr>
    </w:p>
    <w:p w14:paraId="63809E9A" w14:textId="77777777" w:rsidR="00011491" w:rsidRPr="00FF3B3A" w:rsidRDefault="00011491" w:rsidP="00FF3B3A">
      <w:pPr>
        <w:pStyle w:val="ListParagraph"/>
        <w:spacing w:line="240" w:lineRule="atLeast"/>
        <w:ind w:left="0"/>
        <w:jc w:val="center"/>
        <w:rPr>
          <w:b/>
        </w:rPr>
      </w:pPr>
      <w:r w:rsidRPr="00FF3B3A">
        <w:rPr>
          <w:b/>
        </w:rPr>
        <w:t>1</w:t>
      </w:r>
      <w:r w:rsidR="00A71763">
        <w:rPr>
          <w:b/>
        </w:rPr>
        <w:t>3</w:t>
      </w:r>
      <w:r w:rsidRPr="00FF3B3A">
        <w:rPr>
          <w:b/>
        </w:rPr>
        <w:t>. Реквизиты сторон</w:t>
      </w:r>
    </w:p>
    <w:p w14:paraId="585166AA" w14:textId="77777777" w:rsidR="004733EC" w:rsidRPr="00FF3B3A" w:rsidRDefault="004733EC" w:rsidP="00FF3B3A">
      <w:pPr>
        <w:pStyle w:val="ListParagraph"/>
        <w:spacing w:line="240" w:lineRule="atLeast"/>
        <w:ind w:left="0"/>
        <w:jc w:val="center"/>
        <w:rPr>
          <w:b/>
        </w:rPr>
      </w:pPr>
    </w:p>
    <w:tbl>
      <w:tblPr>
        <w:tblW w:w="10521" w:type="dxa"/>
        <w:jc w:val="center"/>
        <w:tblLook w:val="00A0" w:firstRow="1" w:lastRow="0" w:firstColumn="1" w:lastColumn="0" w:noHBand="0" w:noVBand="0"/>
      </w:tblPr>
      <w:tblGrid>
        <w:gridCol w:w="5211"/>
        <w:gridCol w:w="5310"/>
      </w:tblGrid>
      <w:tr w:rsidR="00712D93" w:rsidRPr="00FF3B3A" w14:paraId="5BB0FBCD" w14:textId="77777777" w:rsidTr="004733EC">
        <w:trPr>
          <w:trHeight w:val="3285"/>
          <w:jc w:val="center"/>
        </w:trPr>
        <w:tc>
          <w:tcPr>
            <w:tcW w:w="5211" w:type="dxa"/>
          </w:tcPr>
          <w:p w14:paraId="45DC771A" w14:textId="77777777" w:rsidR="00712D93" w:rsidRPr="00FF3B3A" w:rsidRDefault="00712D93" w:rsidP="00FF3B3A">
            <w:pPr>
              <w:pStyle w:val="ListParagraph"/>
              <w:spacing w:line="240" w:lineRule="atLeast"/>
              <w:ind w:left="0"/>
              <w:jc w:val="center"/>
              <w:rPr>
                <w:b/>
              </w:rPr>
            </w:pPr>
            <w:r w:rsidRPr="00FF3B3A">
              <w:rPr>
                <w:b/>
              </w:rPr>
              <w:t>Заказчик:</w:t>
            </w:r>
          </w:p>
          <w:p w14:paraId="35D1F723" w14:textId="77777777" w:rsidR="009C3715" w:rsidRPr="00FF3B3A" w:rsidRDefault="009C3715" w:rsidP="00AA4A70">
            <w:pPr>
              <w:jc w:val="center"/>
              <w:rPr>
                <w:lang w:bidi="mr-IN"/>
              </w:rPr>
            </w:pPr>
            <w:r w:rsidRPr="00FF3B3A">
              <w:rPr>
                <w:lang w:bidi="mr-IN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  <w:p w14:paraId="5302D99F" w14:textId="77777777" w:rsidR="009C3715" w:rsidRPr="00FF3B3A" w:rsidRDefault="009C3715" w:rsidP="00FF3B3A">
            <w:pPr>
              <w:rPr>
                <w:lang w:bidi="mr-IN"/>
              </w:rPr>
            </w:pPr>
          </w:p>
          <w:p w14:paraId="2F6395C9" w14:textId="77777777" w:rsidR="004733EC" w:rsidRPr="00FF3B3A" w:rsidRDefault="004733EC" w:rsidP="00FF3B3A">
            <w:pPr>
              <w:rPr>
                <w:lang w:bidi="mr-IN"/>
              </w:rPr>
            </w:pPr>
            <w:r w:rsidRPr="00FF3B3A">
              <w:rPr>
                <w:lang w:bidi="mr-IN"/>
              </w:rPr>
              <w:t>Адрес: 620014, г. Екатеринбург, ул. Вайнера, 2,</w:t>
            </w:r>
          </w:p>
          <w:p w14:paraId="1A75FE83" w14:textId="77777777" w:rsidR="004733EC" w:rsidRPr="00FF3B3A" w:rsidRDefault="004733EC" w:rsidP="00FF3B3A">
            <w:pPr>
              <w:rPr>
                <w:lang w:bidi="mr-IN"/>
              </w:rPr>
            </w:pPr>
            <w:r w:rsidRPr="00FF3B3A">
              <w:rPr>
                <w:lang w:bidi="mr-IN"/>
              </w:rPr>
              <w:t>ИНН 6658040878 КПП 665801001</w:t>
            </w:r>
          </w:p>
          <w:p w14:paraId="3BB1ADCC" w14:textId="77777777" w:rsidR="004733EC" w:rsidRPr="00FF3B3A" w:rsidRDefault="004733EC" w:rsidP="00FF3B3A">
            <w:pPr>
              <w:rPr>
                <w:lang w:bidi="mr-IN"/>
              </w:rPr>
            </w:pPr>
            <w:r w:rsidRPr="00FF3B3A">
              <w:rPr>
                <w:lang w:bidi="mr-IN"/>
              </w:rPr>
              <w:t>Получатель: УФК по Свердловской области (Екатеринбургский государственный театральный институт л/</w:t>
            </w:r>
            <w:proofErr w:type="spellStart"/>
            <w:r w:rsidRPr="00FF3B3A">
              <w:rPr>
                <w:lang w:bidi="mr-IN"/>
              </w:rPr>
              <w:t>сч</w:t>
            </w:r>
            <w:proofErr w:type="spellEnd"/>
            <w:r w:rsidRPr="00FF3B3A">
              <w:rPr>
                <w:lang w:bidi="mr-IN"/>
              </w:rPr>
              <w:t xml:space="preserve">. 20626У59880) </w:t>
            </w:r>
          </w:p>
          <w:p w14:paraId="2A654C85" w14:textId="77777777" w:rsidR="004733EC" w:rsidRPr="00FF3B3A" w:rsidRDefault="004733EC" w:rsidP="00FF3B3A">
            <w:pPr>
              <w:rPr>
                <w:lang w:bidi="mr-IN"/>
              </w:rPr>
            </w:pPr>
            <w:r w:rsidRPr="00FF3B3A">
              <w:rPr>
                <w:lang w:bidi="mr-IN"/>
              </w:rPr>
              <w:t>Расчетный счет: 03214643000000016200</w:t>
            </w:r>
          </w:p>
          <w:p w14:paraId="0B3542E4" w14:textId="77777777" w:rsidR="004733EC" w:rsidRPr="00FF3B3A" w:rsidRDefault="004733EC" w:rsidP="00FF3B3A">
            <w:pPr>
              <w:rPr>
                <w:lang w:bidi="mr-IN"/>
              </w:rPr>
            </w:pPr>
            <w:r w:rsidRPr="00FF3B3A">
              <w:rPr>
                <w:lang w:bidi="mr-IN"/>
              </w:rPr>
              <w:t>Банк: ОКЦ № 1 УГУ Банка России//УФК по Свердловской области, г. Екатеринбург</w:t>
            </w:r>
          </w:p>
          <w:p w14:paraId="1553DDA0" w14:textId="77777777" w:rsidR="004733EC" w:rsidRPr="00FF3B3A" w:rsidRDefault="004733EC" w:rsidP="00FF3B3A">
            <w:pPr>
              <w:rPr>
                <w:lang w:bidi="mr-IN"/>
              </w:rPr>
            </w:pPr>
            <w:r w:rsidRPr="00FF3B3A">
              <w:rPr>
                <w:lang w:bidi="mr-IN"/>
              </w:rPr>
              <w:t>БИК 016577551</w:t>
            </w:r>
          </w:p>
          <w:p w14:paraId="4D6A10D3" w14:textId="77777777" w:rsidR="004733EC" w:rsidRPr="00FF3B3A" w:rsidRDefault="004733EC" w:rsidP="00FF3B3A">
            <w:pPr>
              <w:rPr>
                <w:lang w:bidi="mr-IN"/>
              </w:rPr>
            </w:pPr>
            <w:proofErr w:type="spellStart"/>
            <w:r w:rsidRPr="00FF3B3A">
              <w:rPr>
                <w:lang w:bidi="mr-IN"/>
              </w:rPr>
              <w:t>Корр.счет</w:t>
            </w:r>
            <w:proofErr w:type="spellEnd"/>
            <w:r w:rsidRPr="00FF3B3A">
              <w:rPr>
                <w:lang w:bidi="mr-IN"/>
              </w:rPr>
              <w:t>: 40102810645370000054</w:t>
            </w:r>
          </w:p>
          <w:p w14:paraId="7914565A" w14:textId="77777777" w:rsidR="005C5B05" w:rsidRPr="00FF3B3A" w:rsidRDefault="004733EC" w:rsidP="00FF3B3A">
            <w:pPr>
              <w:pStyle w:val="10"/>
              <w:spacing w:line="240" w:lineRule="atLeast"/>
              <w:ind w:left="0"/>
              <w:rPr>
                <w:lang w:bidi="mr-IN"/>
              </w:rPr>
            </w:pPr>
            <w:r w:rsidRPr="00FF3B3A">
              <w:rPr>
                <w:lang w:bidi="mr-IN"/>
              </w:rPr>
              <w:t xml:space="preserve">тел. (343) 371-76-45, </w:t>
            </w:r>
            <w:r w:rsidRPr="00FF3B3A">
              <w:rPr>
                <w:lang w:val="en-US" w:bidi="mr-IN"/>
              </w:rPr>
              <w:t>E</w:t>
            </w:r>
            <w:r w:rsidRPr="00FF3B3A">
              <w:rPr>
                <w:lang w:bidi="mr-IN"/>
              </w:rPr>
              <w:t>-</w:t>
            </w:r>
            <w:r w:rsidRPr="00FF3B3A">
              <w:rPr>
                <w:lang w:val="en-US" w:bidi="mr-IN"/>
              </w:rPr>
              <w:t>mail</w:t>
            </w:r>
            <w:r w:rsidRPr="00FF3B3A">
              <w:rPr>
                <w:lang w:bidi="mr-IN"/>
              </w:rPr>
              <w:t xml:space="preserve">: </w:t>
            </w:r>
            <w:r w:rsidRPr="00FF3B3A">
              <w:rPr>
                <w:lang w:val="en-US" w:bidi="mr-IN"/>
              </w:rPr>
              <w:t>r</w:t>
            </w:r>
            <w:r w:rsidRPr="00FF3B3A">
              <w:rPr>
                <w:lang w:bidi="mr-IN"/>
              </w:rPr>
              <w:t>_</w:t>
            </w:r>
            <w:proofErr w:type="spellStart"/>
            <w:r w:rsidRPr="00FF3B3A">
              <w:rPr>
                <w:lang w:val="en-US" w:bidi="mr-IN"/>
              </w:rPr>
              <w:t>egti</w:t>
            </w:r>
            <w:proofErr w:type="spellEnd"/>
            <w:r w:rsidRPr="00FF3B3A">
              <w:rPr>
                <w:lang w:bidi="mr-IN"/>
              </w:rPr>
              <w:t>@</w:t>
            </w:r>
            <w:r w:rsidRPr="00FF3B3A">
              <w:rPr>
                <w:lang w:val="en-US" w:bidi="mr-IN"/>
              </w:rPr>
              <w:t>mail</w:t>
            </w:r>
            <w:r w:rsidRPr="00FF3B3A">
              <w:rPr>
                <w:lang w:bidi="mr-IN"/>
              </w:rPr>
              <w:t>.</w:t>
            </w:r>
            <w:proofErr w:type="spellStart"/>
            <w:r w:rsidRPr="00FF3B3A">
              <w:rPr>
                <w:lang w:val="en-US" w:bidi="mr-IN"/>
              </w:rPr>
              <w:t>ru</w:t>
            </w:r>
            <w:proofErr w:type="spellEnd"/>
          </w:p>
          <w:p w14:paraId="1C41A386" w14:textId="77777777" w:rsidR="005C5B05" w:rsidRPr="00FF3B3A" w:rsidRDefault="005C5B05" w:rsidP="00FF3B3A">
            <w:pPr>
              <w:pStyle w:val="10"/>
              <w:spacing w:line="240" w:lineRule="atLeast"/>
              <w:ind w:left="0"/>
              <w:rPr>
                <w:lang w:bidi="mr-IN"/>
              </w:rPr>
            </w:pPr>
          </w:p>
          <w:p w14:paraId="1D2B03A7" w14:textId="77777777" w:rsidR="00E13D4A" w:rsidRPr="00FF3B3A" w:rsidRDefault="009C3715" w:rsidP="00FF3B3A">
            <w:pPr>
              <w:pStyle w:val="10"/>
              <w:spacing w:line="240" w:lineRule="atLeast"/>
              <w:ind w:left="0"/>
            </w:pPr>
            <w:r w:rsidRPr="00FF3B3A">
              <w:t>Ректор</w:t>
            </w:r>
          </w:p>
          <w:p w14:paraId="1637EB72" w14:textId="77777777" w:rsidR="00E13D4A" w:rsidRPr="00FF3B3A" w:rsidRDefault="00E13D4A" w:rsidP="00FF3B3A">
            <w:pPr>
              <w:pStyle w:val="10"/>
              <w:spacing w:line="240" w:lineRule="atLeast"/>
              <w:ind w:left="0"/>
            </w:pPr>
          </w:p>
          <w:p w14:paraId="7A503CB7" w14:textId="77777777" w:rsidR="00E13D4A" w:rsidRPr="00FF3B3A" w:rsidRDefault="00E13D4A" w:rsidP="00FF3B3A">
            <w:pPr>
              <w:pStyle w:val="10"/>
              <w:spacing w:line="240" w:lineRule="atLeast"/>
              <w:ind w:left="0"/>
            </w:pPr>
            <w:r w:rsidRPr="00FF3B3A">
              <w:t>____________/</w:t>
            </w:r>
            <w:r w:rsidR="009C3715" w:rsidRPr="00FF3B3A">
              <w:t xml:space="preserve">А.А. </w:t>
            </w:r>
            <w:proofErr w:type="spellStart"/>
            <w:r w:rsidR="009C3715" w:rsidRPr="00FF3B3A">
              <w:t>Глуханюк</w:t>
            </w:r>
            <w:proofErr w:type="spellEnd"/>
            <w:r w:rsidRPr="00FF3B3A">
              <w:t>/</w:t>
            </w:r>
          </w:p>
          <w:p w14:paraId="7336438B" w14:textId="77777777" w:rsidR="00712D93" w:rsidRPr="00FF3B3A" w:rsidRDefault="00E13D4A" w:rsidP="00FF3B3A">
            <w:pPr>
              <w:pStyle w:val="ListParagraph"/>
              <w:spacing w:line="240" w:lineRule="atLeast"/>
              <w:ind w:left="0"/>
            </w:pPr>
            <w:r w:rsidRPr="00FF3B3A">
              <w:t>М.П.</w:t>
            </w:r>
          </w:p>
        </w:tc>
        <w:tc>
          <w:tcPr>
            <w:tcW w:w="5310" w:type="dxa"/>
          </w:tcPr>
          <w:p w14:paraId="03CA307F" w14:textId="77777777" w:rsidR="00F14BDC" w:rsidRDefault="00F14BDC" w:rsidP="00FF3B3A">
            <w:pPr>
              <w:pStyle w:val="ListParagraph"/>
              <w:spacing w:line="240" w:lineRule="atLeast"/>
              <w:ind w:left="0"/>
              <w:jc w:val="center"/>
              <w:rPr>
                <w:b/>
              </w:rPr>
            </w:pPr>
            <w:r w:rsidRPr="00FF3B3A">
              <w:rPr>
                <w:b/>
              </w:rPr>
              <w:t>Подрядчик:</w:t>
            </w:r>
          </w:p>
          <w:p w14:paraId="7EB33B7E" w14:textId="77777777" w:rsidR="00F61BEA" w:rsidRDefault="00F61BEA" w:rsidP="00F61BEA">
            <w:pPr>
              <w:pStyle w:val="ListParagraph"/>
              <w:spacing w:line="240" w:lineRule="atLeast"/>
              <w:ind w:left="0"/>
            </w:pPr>
          </w:p>
          <w:p w14:paraId="3CFE5C4A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0527651E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535EE865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7B0642E1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3A40A9ED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5DC3AA0F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365FEDCC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1932779D" w14:textId="77777777" w:rsidR="002D1E4E" w:rsidRDefault="002D1E4E" w:rsidP="00F61BEA">
            <w:pPr>
              <w:pStyle w:val="ListParagraph"/>
              <w:spacing w:line="240" w:lineRule="atLeast"/>
              <w:ind w:left="0"/>
            </w:pPr>
          </w:p>
          <w:p w14:paraId="402386F8" w14:textId="77777777" w:rsidR="002D1E4E" w:rsidRPr="00F61BEA" w:rsidRDefault="002D1E4E" w:rsidP="00F61BEA">
            <w:pPr>
              <w:pStyle w:val="ListParagraph"/>
              <w:spacing w:line="240" w:lineRule="atLeast"/>
              <w:ind w:left="0"/>
            </w:pPr>
          </w:p>
          <w:p w14:paraId="2DFDB621" w14:textId="77777777" w:rsidR="00A71763" w:rsidRDefault="00A71763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7940E840" w14:textId="77777777" w:rsidR="00A71763" w:rsidRDefault="00A71763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4A1ADE67" w14:textId="77777777" w:rsidR="00A71763" w:rsidRDefault="00A71763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03D2F8B4" w14:textId="77777777" w:rsidR="00A71763" w:rsidRDefault="00A71763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4F9BB85A" w14:textId="77777777" w:rsidR="00A71763" w:rsidRDefault="00A71763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23FC3FEB" w14:textId="77777777" w:rsidR="00A71763" w:rsidRDefault="00A71763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1F2CF171" w14:textId="77777777" w:rsidR="002D1E4E" w:rsidRDefault="002D1E4E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</w:p>
          <w:p w14:paraId="1A373214" w14:textId="77777777" w:rsidR="00F61BEA" w:rsidRPr="00F61BEA" w:rsidRDefault="00F61BEA" w:rsidP="00F61BE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  <w:r w:rsidRPr="00F61BEA">
              <w:rPr>
                <w:rFonts w:eastAsia="Times New Roman"/>
                <w:lang w:eastAsia="ar-SA"/>
              </w:rPr>
              <w:t>Директор</w:t>
            </w:r>
          </w:p>
          <w:p w14:paraId="5288DB51" w14:textId="77777777" w:rsidR="004733EC" w:rsidRPr="00F61BEA" w:rsidRDefault="004733EC" w:rsidP="00FF3B3A">
            <w:pPr>
              <w:tabs>
                <w:tab w:val="left" w:pos="3424"/>
              </w:tabs>
              <w:suppressAutoHyphens/>
              <w:rPr>
                <w:rFonts w:eastAsia="Times New Roman"/>
                <w:b/>
                <w:lang w:eastAsia="ar-SA"/>
              </w:rPr>
            </w:pPr>
          </w:p>
          <w:p w14:paraId="67529927" w14:textId="77777777" w:rsidR="004733EC" w:rsidRPr="00F61BEA" w:rsidRDefault="00F61BEA" w:rsidP="00FF3B3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  <w:r w:rsidRPr="00F61BEA">
              <w:rPr>
                <w:rFonts w:eastAsia="Times New Roman"/>
                <w:lang w:eastAsia="ar-SA"/>
              </w:rPr>
              <w:t>_____________/ /</w:t>
            </w:r>
          </w:p>
          <w:p w14:paraId="66CA4821" w14:textId="77777777" w:rsidR="00F61BEA" w:rsidRPr="00F61BEA" w:rsidRDefault="00F61BEA" w:rsidP="00FF3B3A">
            <w:pPr>
              <w:tabs>
                <w:tab w:val="left" w:pos="3424"/>
              </w:tabs>
              <w:suppressAutoHyphens/>
              <w:rPr>
                <w:rFonts w:eastAsia="Times New Roman"/>
                <w:lang w:eastAsia="ar-SA"/>
              </w:rPr>
            </w:pPr>
            <w:r w:rsidRPr="00F61BEA">
              <w:rPr>
                <w:rFonts w:eastAsia="Times New Roman"/>
                <w:lang w:eastAsia="ar-SA"/>
              </w:rPr>
              <w:t>М.П.</w:t>
            </w:r>
          </w:p>
          <w:p w14:paraId="793E0775" w14:textId="77777777" w:rsidR="00712D93" w:rsidRPr="00FF3B3A" w:rsidRDefault="00712D93" w:rsidP="00FF3B3A">
            <w:pPr>
              <w:pStyle w:val="ListParagraph"/>
              <w:spacing w:line="240" w:lineRule="atLeast"/>
              <w:ind w:left="0"/>
              <w:rPr>
                <w:b/>
                <w:highlight w:val="yellow"/>
              </w:rPr>
            </w:pPr>
          </w:p>
        </w:tc>
      </w:tr>
    </w:tbl>
    <w:p w14:paraId="2FB8E1AF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62B6B3DD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161F1575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4186D9C2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6D5CC06A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1A4E93A7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53832BEF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6A39477D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3278742E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520DE685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7A516609" w14:textId="77777777" w:rsidR="00A71763" w:rsidRDefault="00A71763" w:rsidP="00B31160">
      <w:pPr>
        <w:pStyle w:val="1"/>
        <w:jc w:val="right"/>
        <w:rPr>
          <w:b w:val="0"/>
          <w:sz w:val="24"/>
          <w:szCs w:val="24"/>
        </w:rPr>
      </w:pPr>
    </w:p>
    <w:p w14:paraId="1FC472CA" w14:textId="77777777" w:rsidR="00B31160" w:rsidRPr="00406727" w:rsidRDefault="00B31160" w:rsidP="00B31160">
      <w:pPr>
        <w:pStyle w:val="1"/>
        <w:jc w:val="right"/>
        <w:rPr>
          <w:b w:val="0"/>
          <w:sz w:val="24"/>
          <w:szCs w:val="24"/>
        </w:rPr>
      </w:pPr>
      <w:r w:rsidRPr="00406727">
        <w:rPr>
          <w:b w:val="0"/>
          <w:sz w:val="24"/>
          <w:szCs w:val="24"/>
        </w:rPr>
        <w:t>Приложение № 1</w:t>
      </w:r>
    </w:p>
    <w:p w14:paraId="4E746B40" w14:textId="77777777" w:rsidR="004733EC" w:rsidRDefault="00B31160" w:rsidP="00B31160">
      <w:pPr>
        <w:pStyle w:val="1"/>
        <w:jc w:val="right"/>
        <w:rPr>
          <w:b w:val="0"/>
          <w:sz w:val="24"/>
          <w:szCs w:val="24"/>
        </w:rPr>
      </w:pPr>
      <w:bookmarkStart w:id="2" w:name="_Hlk212460203"/>
      <w:r w:rsidRPr="00406727">
        <w:rPr>
          <w:b w:val="0"/>
          <w:sz w:val="24"/>
          <w:szCs w:val="24"/>
        </w:rPr>
        <w:t xml:space="preserve">к </w:t>
      </w:r>
      <w:r w:rsidR="004733EC">
        <w:rPr>
          <w:b w:val="0"/>
          <w:sz w:val="24"/>
          <w:szCs w:val="24"/>
        </w:rPr>
        <w:t>Государственному к</w:t>
      </w:r>
      <w:r w:rsidR="00792FE4">
        <w:rPr>
          <w:b w:val="0"/>
          <w:sz w:val="24"/>
          <w:szCs w:val="24"/>
        </w:rPr>
        <w:t>онтракту</w:t>
      </w:r>
      <w:r>
        <w:rPr>
          <w:b w:val="0"/>
          <w:sz w:val="24"/>
          <w:szCs w:val="24"/>
        </w:rPr>
        <w:t xml:space="preserve"> </w:t>
      </w:r>
    </w:p>
    <w:p w14:paraId="6343551B" w14:textId="77777777" w:rsidR="003B6D4D" w:rsidRDefault="00B31160" w:rsidP="003B6D4D">
      <w:pPr>
        <w:pStyle w:val="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</w:t>
      </w:r>
      <w:r w:rsidR="00A71763">
        <w:rPr>
          <w:b w:val="0"/>
          <w:sz w:val="24"/>
          <w:szCs w:val="24"/>
        </w:rPr>
        <w:t>________</w:t>
      </w:r>
      <w:r w:rsidR="006313D4">
        <w:rPr>
          <w:b w:val="0"/>
          <w:sz w:val="24"/>
          <w:szCs w:val="24"/>
        </w:rPr>
        <w:t xml:space="preserve"> </w:t>
      </w:r>
      <w:r w:rsidRPr="00406727">
        <w:rPr>
          <w:b w:val="0"/>
          <w:sz w:val="24"/>
          <w:szCs w:val="24"/>
        </w:rPr>
        <w:t>от «</w:t>
      </w:r>
      <w:r w:rsidR="00A71763">
        <w:rPr>
          <w:b w:val="0"/>
          <w:sz w:val="24"/>
          <w:szCs w:val="24"/>
        </w:rPr>
        <w:t>__» мая</w:t>
      </w:r>
      <w:r w:rsidR="00E857C9">
        <w:rPr>
          <w:b w:val="0"/>
          <w:sz w:val="24"/>
          <w:szCs w:val="24"/>
        </w:rPr>
        <w:t xml:space="preserve"> 202</w:t>
      </w:r>
      <w:r w:rsidR="00A71763">
        <w:rPr>
          <w:b w:val="0"/>
          <w:sz w:val="24"/>
          <w:szCs w:val="24"/>
        </w:rPr>
        <w:t>6</w:t>
      </w:r>
      <w:r w:rsidR="00473306">
        <w:rPr>
          <w:b w:val="0"/>
          <w:sz w:val="24"/>
          <w:szCs w:val="24"/>
        </w:rPr>
        <w:t xml:space="preserve"> г.</w:t>
      </w:r>
    </w:p>
    <w:bookmarkEnd w:id="2"/>
    <w:p w14:paraId="2924EB5D" w14:textId="77777777" w:rsidR="003B6D4D" w:rsidRDefault="003B6D4D" w:rsidP="003B6D4D">
      <w:pPr>
        <w:pStyle w:val="1"/>
        <w:jc w:val="right"/>
        <w:rPr>
          <w:b w:val="0"/>
          <w:bCs/>
          <w:color w:val="000000"/>
          <w:u w:val="single"/>
        </w:rPr>
      </w:pPr>
    </w:p>
    <w:p w14:paraId="0866209C" w14:textId="77777777" w:rsidR="00B31160" w:rsidRPr="0007086F" w:rsidRDefault="00B31160" w:rsidP="003B6D4D">
      <w:pPr>
        <w:pStyle w:val="1"/>
        <w:jc w:val="center"/>
        <w:rPr>
          <w:b w:val="0"/>
          <w:sz w:val="24"/>
          <w:szCs w:val="24"/>
          <w:u w:val="single"/>
        </w:rPr>
      </w:pPr>
    </w:p>
    <w:p w14:paraId="50FDC1A2" w14:textId="77777777" w:rsidR="00A71763" w:rsidRPr="00CE63FD" w:rsidRDefault="00A71763" w:rsidP="00A71763">
      <w:pPr>
        <w:shd w:val="clear" w:color="auto" w:fill="FDFEFF"/>
        <w:tabs>
          <w:tab w:val="left" w:pos="4455"/>
        </w:tabs>
        <w:spacing w:line="306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 (</w:t>
      </w:r>
      <w:r w:rsidRPr="00CE63FD">
        <w:rPr>
          <w:b/>
          <w:sz w:val="22"/>
          <w:szCs w:val="22"/>
        </w:rPr>
        <w:t>ТЕХНИЧЕСКОЕ ЗАДАНИЕ</w:t>
      </w:r>
      <w:r>
        <w:rPr>
          <w:b/>
          <w:sz w:val="22"/>
          <w:szCs w:val="22"/>
        </w:rPr>
        <w:t>)</w:t>
      </w:r>
    </w:p>
    <w:p w14:paraId="31FA5033" w14:textId="77777777" w:rsidR="00A71763" w:rsidRPr="00CE63FD" w:rsidRDefault="00A71763" w:rsidP="00A71763">
      <w:pPr>
        <w:shd w:val="clear" w:color="auto" w:fill="FDFEFF"/>
        <w:tabs>
          <w:tab w:val="left" w:pos="4455"/>
        </w:tabs>
        <w:spacing w:line="306" w:lineRule="atLeas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46"/>
        <w:gridCol w:w="6390"/>
      </w:tblGrid>
      <w:tr w:rsidR="00A71763" w:rsidRPr="00CE63FD" w14:paraId="2842AF58" w14:textId="77777777" w:rsidTr="00A8238F">
        <w:trPr>
          <w:trHeight w:val="504"/>
        </w:trPr>
        <w:tc>
          <w:tcPr>
            <w:tcW w:w="534" w:type="dxa"/>
          </w:tcPr>
          <w:p w14:paraId="6AE38107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rPr>
                <w:b/>
                <w:sz w:val="22"/>
                <w:szCs w:val="22"/>
              </w:rPr>
            </w:pPr>
            <w:r w:rsidRPr="00CE63FD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CE63FD">
              <w:rPr>
                <w:b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3246" w:type="dxa"/>
          </w:tcPr>
          <w:p w14:paraId="34D9D4D7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jc w:val="center"/>
              <w:rPr>
                <w:b/>
                <w:sz w:val="22"/>
                <w:szCs w:val="22"/>
              </w:rPr>
            </w:pPr>
            <w:r w:rsidRPr="00CE63FD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390" w:type="dxa"/>
          </w:tcPr>
          <w:p w14:paraId="23C71A24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jc w:val="center"/>
              <w:rPr>
                <w:b/>
                <w:sz w:val="22"/>
                <w:szCs w:val="22"/>
              </w:rPr>
            </w:pPr>
            <w:r w:rsidRPr="00CE63FD">
              <w:rPr>
                <w:b/>
                <w:sz w:val="22"/>
                <w:szCs w:val="22"/>
              </w:rPr>
              <w:t>Содержание работ</w:t>
            </w:r>
          </w:p>
        </w:tc>
      </w:tr>
      <w:tr w:rsidR="00A71763" w:rsidRPr="00CE63FD" w14:paraId="5F787BF3" w14:textId="77777777" w:rsidTr="00A8238F">
        <w:trPr>
          <w:trHeight w:val="1523"/>
        </w:trPr>
        <w:tc>
          <w:tcPr>
            <w:tcW w:w="534" w:type="dxa"/>
          </w:tcPr>
          <w:p w14:paraId="214D9BC3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jc w:val="center"/>
              <w:rPr>
                <w:sz w:val="22"/>
                <w:szCs w:val="22"/>
              </w:rPr>
            </w:pPr>
            <w:r w:rsidRPr="00CE63FD">
              <w:rPr>
                <w:sz w:val="22"/>
                <w:szCs w:val="22"/>
              </w:rPr>
              <w:t>1</w:t>
            </w:r>
          </w:p>
        </w:tc>
        <w:tc>
          <w:tcPr>
            <w:tcW w:w="3246" w:type="dxa"/>
          </w:tcPr>
          <w:p w14:paraId="395D44AF" w14:textId="77777777" w:rsidR="00A71763" w:rsidRPr="00CE63FD" w:rsidRDefault="00A71763" w:rsidP="00A8238F">
            <w:pPr>
              <w:jc w:val="both"/>
            </w:pPr>
            <w:r w:rsidRPr="00CE63FD">
              <w:t xml:space="preserve">Акустические измерения зала Новой сцены </w:t>
            </w:r>
            <w:r w:rsidRPr="00CE63FD">
              <w:rPr>
                <w:bCs/>
              </w:rPr>
              <w:t>Учебного театра ЕГТИ</w:t>
            </w:r>
            <w:r w:rsidR="00370EAF">
              <w:rPr>
                <w:bCs/>
              </w:rPr>
              <w:t>, Литер А1</w:t>
            </w:r>
          </w:p>
        </w:tc>
        <w:tc>
          <w:tcPr>
            <w:tcW w:w="6390" w:type="dxa"/>
          </w:tcPr>
          <w:p w14:paraId="4A20B3EE" w14:textId="77777777" w:rsidR="00A71763" w:rsidRPr="00CE63FD" w:rsidRDefault="00A71763" w:rsidP="00A8238F">
            <w:pPr>
              <w:jc w:val="both"/>
            </w:pPr>
            <w:r w:rsidRPr="00CE63FD">
              <w:t xml:space="preserve">Комплект оборудование - ненаправленный излучатель додекаэдр, измерительный микрофон, измерительная станция </w:t>
            </w:r>
            <w:proofErr w:type="spellStart"/>
            <w:r w:rsidRPr="00CE63FD">
              <w:rPr>
                <w:lang w:val="en-US"/>
              </w:rPr>
              <w:t>Easera</w:t>
            </w:r>
            <w:proofErr w:type="spellEnd"/>
            <w:r w:rsidRPr="00CE63FD">
              <w:t>.</w:t>
            </w:r>
          </w:p>
          <w:p w14:paraId="63A3A0CD" w14:textId="77777777" w:rsidR="00A71763" w:rsidRPr="00CE63FD" w:rsidRDefault="00A71763" w:rsidP="00A8238F">
            <w:pPr>
              <w:jc w:val="both"/>
            </w:pPr>
            <w:r w:rsidRPr="00CE63FD">
              <w:t>Анализ параметров: Стандартное времени реверберации Т60 (по алгоритму T-30,с.), в 6 октавных полосах.</w:t>
            </w:r>
          </w:p>
          <w:p w14:paraId="175CD588" w14:textId="77777777" w:rsidR="00A71763" w:rsidRPr="00CE63FD" w:rsidRDefault="00A71763" w:rsidP="00A8238F"/>
        </w:tc>
      </w:tr>
      <w:tr w:rsidR="00A71763" w:rsidRPr="00CE63FD" w14:paraId="65942AA2" w14:textId="77777777" w:rsidTr="00A8238F">
        <w:trPr>
          <w:trHeight w:val="1523"/>
        </w:trPr>
        <w:tc>
          <w:tcPr>
            <w:tcW w:w="534" w:type="dxa"/>
          </w:tcPr>
          <w:p w14:paraId="2C38064D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jc w:val="center"/>
              <w:rPr>
                <w:sz w:val="22"/>
                <w:szCs w:val="22"/>
              </w:rPr>
            </w:pPr>
            <w:r w:rsidRPr="00CE63FD">
              <w:rPr>
                <w:sz w:val="22"/>
                <w:szCs w:val="22"/>
              </w:rPr>
              <w:t>2</w:t>
            </w:r>
          </w:p>
        </w:tc>
        <w:tc>
          <w:tcPr>
            <w:tcW w:w="3246" w:type="dxa"/>
          </w:tcPr>
          <w:p w14:paraId="7C567676" w14:textId="77777777" w:rsidR="00A71763" w:rsidRPr="00CE63FD" w:rsidRDefault="00A71763" w:rsidP="00A8238F">
            <w:pPr>
              <w:jc w:val="both"/>
            </w:pPr>
            <w:r w:rsidRPr="00CE63FD">
              <w:t>Создание 3-</w:t>
            </w:r>
            <w:r w:rsidRPr="00CE63FD">
              <w:rPr>
                <w:lang w:val="en-US"/>
              </w:rPr>
              <w:t>D</w:t>
            </w:r>
            <w:r w:rsidRPr="00CE63FD">
              <w:t>модели в специализированной программе:</w:t>
            </w:r>
          </w:p>
          <w:p w14:paraId="1C0B7971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rPr>
                <w:sz w:val="22"/>
                <w:szCs w:val="22"/>
              </w:rPr>
            </w:pPr>
          </w:p>
        </w:tc>
        <w:tc>
          <w:tcPr>
            <w:tcW w:w="6390" w:type="dxa"/>
          </w:tcPr>
          <w:p w14:paraId="7F3E9F2A" w14:textId="77777777" w:rsidR="00A71763" w:rsidRPr="00CE63FD" w:rsidRDefault="00A71763" w:rsidP="00A8238F">
            <w:r w:rsidRPr="00CE63FD">
              <w:t>- определение нормативных характеристик для данных залов в соответствии с СП 51.13330.2011;</w:t>
            </w:r>
          </w:p>
          <w:p w14:paraId="206D1A87" w14:textId="77777777" w:rsidR="00A71763" w:rsidRPr="00CE63FD" w:rsidRDefault="00A71763" w:rsidP="00A8238F">
            <w:r w:rsidRPr="00CE63FD">
              <w:t>- анализ пропорций зала;</w:t>
            </w:r>
          </w:p>
          <w:p w14:paraId="149F61B8" w14:textId="77777777" w:rsidR="00A71763" w:rsidRPr="00CE63FD" w:rsidRDefault="00A71763" w:rsidP="00A8238F">
            <w:r w:rsidRPr="00CE63FD">
              <w:t>- создание несколько десятков трёх координатных точек и плоскостей в соответствии с чертежами;</w:t>
            </w:r>
          </w:p>
          <w:p w14:paraId="41749DEB" w14:textId="77777777" w:rsidR="00A71763" w:rsidRPr="00CE63FD" w:rsidRDefault="00A71763" w:rsidP="00A8238F">
            <w:r w:rsidRPr="00CE63FD">
              <w:t>- определение и назначение коэффициентов звукопоглощения и коэффициентов рассеяния плоскостям (пол, стены, пол, потолок);</w:t>
            </w:r>
          </w:p>
          <w:p w14:paraId="31DB248D" w14:textId="77777777" w:rsidR="00A71763" w:rsidRPr="00CE63FD" w:rsidRDefault="00A71763" w:rsidP="00A8238F">
            <w:r w:rsidRPr="00CE63FD">
              <w:t>-  указание возможных вариантов акустических материалов (их коэффициентов звукопоглощения);</w:t>
            </w:r>
          </w:p>
          <w:p w14:paraId="3F160971" w14:textId="77777777" w:rsidR="00A71763" w:rsidRPr="00CE63FD" w:rsidRDefault="00A71763" w:rsidP="00A8238F">
            <w:r w:rsidRPr="00CE63FD">
              <w:t>- определение площади и углов наклонных и рельефных плоскостей в локальных зонах для настройки ранних отражений и устранения резонансных явлений.</w:t>
            </w:r>
          </w:p>
          <w:p w14:paraId="4B75142F" w14:textId="77777777" w:rsidR="00A71763" w:rsidRPr="00CE63FD" w:rsidRDefault="00A71763" w:rsidP="00A8238F"/>
        </w:tc>
      </w:tr>
      <w:tr w:rsidR="00A71763" w:rsidRPr="00CE63FD" w14:paraId="71F87786" w14:textId="77777777" w:rsidTr="00A8238F">
        <w:trPr>
          <w:trHeight w:val="1523"/>
        </w:trPr>
        <w:tc>
          <w:tcPr>
            <w:tcW w:w="534" w:type="dxa"/>
          </w:tcPr>
          <w:p w14:paraId="003487B6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jc w:val="center"/>
              <w:rPr>
                <w:sz w:val="22"/>
                <w:szCs w:val="22"/>
              </w:rPr>
            </w:pPr>
            <w:r w:rsidRPr="00CE63FD">
              <w:rPr>
                <w:sz w:val="22"/>
                <w:szCs w:val="22"/>
              </w:rPr>
              <w:t>3</w:t>
            </w:r>
          </w:p>
        </w:tc>
        <w:tc>
          <w:tcPr>
            <w:tcW w:w="3246" w:type="dxa"/>
          </w:tcPr>
          <w:p w14:paraId="7A46F215" w14:textId="77777777" w:rsidR="00A71763" w:rsidRPr="00CE63FD" w:rsidRDefault="00A71763" w:rsidP="00A8238F">
            <w:pPr>
              <w:jc w:val="both"/>
            </w:pPr>
            <w:r w:rsidRPr="00CE63FD">
              <w:t>Расчёт звукового поля.</w:t>
            </w:r>
          </w:p>
        </w:tc>
        <w:tc>
          <w:tcPr>
            <w:tcW w:w="6390" w:type="dxa"/>
          </w:tcPr>
          <w:p w14:paraId="0EC20CD7" w14:textId="77777777" w:rsidR="00A71763" w:rsidRPr="00CE63FD" w:rsidRDefault="00A71763" w:rsidP="00A8238F">
            <w:pPr>
              <w:jc w:val="both"/>
            </w:pPr>
            <w:r w:rsidRPr="00CE63FD">
              <w:t>- достижение конфигураций звукового поля до стадии, в которой оно будет соответствовать нормативам по СП 51.13330.2011 (набор акустических критериев:</w:t>
            </w:r>
            <w:r w:rsidR="00370EAF">
              <w:t xml:space="preserve"> </w:t>
            </w:r>
            <w:r w:rsidRPr="00CE63FD">
              <w:t xml:space="preserve">Стандартное времени реверберации Т60 (по алгоритму T-30,с.), Индекс музыкальной ясности C-80,дБ, Индекс передачи речи STI и </w:t>
            </w:r>
            <w:r w:rsidRPr="00CE63FD">
              <w:rPr>
                <w:lang w:val="en-US"/>
              </w:rPr>
              <w:t>EK</w:t>
            </w:r>
            <w:r w:rsidRPr="00CE63FD">
              <w:t xml:space="preserve"> - при моделировании) в 6 октавных полосах.</w:t>
            </w:r>
          </w:p>
          <w:p w14:paraId="457343AF" w14:textId="77777777" w:rsidR="00A71763" w:rsidRPr="00CE63FD" w:rsidRDefault="00A71763" w:rsidP="00A8238F">
            <w:pPr>
              <w:jc w:val="both"/>
            </w:pPr>
          </w:p>
        </w:tc>
      </w:tr>
      <w:tr w:rsidR="00A71763" w:rsidRPr="00CE63FD" w14:paraId="0E6DBF00" w14:textId="77777777" w:rsidTr="00A8238F">
        <w:trPr>
          <w:trHeight w:val="1523"/>
        </w:trPr>
        <w:tc>
          <w:tcPr>
            <w:tcW w:w="534" w:type="dxa"/>
          </w:tcPr>
          <w:p w14:paraId="640E3F8C" w14:textId="77777777" w:rsidR="00A71763" w:rsidRPr="00CE63FD" w:rsidRDefault="00A71763" w:rsidP="00A8238F">
            <w:pPr>
              <w:tabs>
                <w:tab w:val="left" w:pos="4455"/>
              </w:tabs>
              <w:spacing w:line="306" w:lineRule="atLeast"/>
              <w:jc w:val="center"/>
              <w:rPr>
                <w:sz w:val="22"/>
                <w:szCs w:val="22"/>
              </w:rPr>
            </w:pPr>
            <w:r w:rsidRPr="00CE63FD">
              <w:rPr>
                <w:sz w:val="22"/>
                <w:szCs w:val="22"/>
              </w:rPr>
              <w:t>4</w:t>
            </w:r>
          </w:p>
        </w:tc>
        <w:tc>
          <w:tcPr>
            <w:tcW w:w="3246" w:type="dxa"/>
          </w:tcPr>
          <w:p w14:paraId="11A8BF0B" w14:textId="77777777" w:rsidR="00A71763" w:rsidRPr="00CE63FD" w:rsidRDefault="00A71763" w:rsidP="00A8238F">
            <w:pPr>
              <w:jc w:val="both"/>
            </w:pPr>
            <w:r w:rsidRPr="00CE63FD">
              <w:t>Создание документа по расчету звукового поля.</w:t>
            </w:r>
          </w:p>
        </w:tc>
        <w:tc>
          <w:tcPr>
            <w:tcW w:w="6390" w:type="dxa"/>
          </w:tcPr>
          <w:p w14:paraId="11B5D307" w14:textId="77777777" w:rsidR="00A71763" w:rsidRPr="00CE63FD" w:rsidRDefault="00A71763" w:rsidP="00A8238F">
            <w:r w:rsidRPr="00CE63FD">
              <w:t xml:space="preserve">- создание отчёта в электронном виде (формат </w:t>
            </w:r>
            <w:r w:rsidRPr="00CE63FD">
              <w:rPr>
                <w:lang w:val="en-US"/>
              </w:rPr>
              <w:t>PDF</w:t>
            </w:r>
            <w:r w:rsidRPr="00CE63FD">
              <w:t>), содержащего рисунки, отображающие местоположение акустических материалов, рисунки узлов креплений, графики и таблицы акустических параметров, список литературы, с описанием объекта и выводами.</w:t>
            </w:r>
          </w:p>
          <w:p w14:paraId="076D78B5" w14:textId="77777777" w:rsidR="00A71763" w:rsidRPr="00CE63FD" w:rsidRDefault="00A71763" w:rsidP="00A8238F"/>
          <w:p w14:paraId="0DBC5DF9" w14:textId="77777777" w:rsidR="00A71763" w:rsidRPr="00CE63FD" w:rsidRDefault="00A71763" w:rsidP="00A8238F">
            <w:pPr>
              <w:jc w:val="both"/>
            </w:pPr>
          </w:p>
        </w:tc>
      </w:tr>
    </w:tbl>
    <w:p w14:paraId="2345168E" w14:textId="77777777" w:rsidR="006313D4" w:rsidRPr="006313D4" w:rsidRDefault="006313D4" w:rsidP="006313D4">
      <w:pPr>
        <w:tabs>
          <w:tab w:val="left" w:pos="1140"/>
        </w:tabs>
        <w:rPr>
          <w:rFonts w:eastAsia="Times New Roman"/>
        </w:rPr>
      </w:pPr>
    </w:p>
    <w:p w14:paraId="2C7EF7DD" w14:textId="77777777" w:rsidR="006313D4" w:rsidRDefault="006313D4" w:rsidP="0055703C">
      <w:pPr>
        <w:pStyle w:val="1"/>
        <w:jc w:val="right"/>
        <w:rPr>
          <w:b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9F7201" w:rsidRPr="004733EC" w14:paraId="79B6F806" w14:textId="77777777" w:rsidTr="009B2EC4">
        <w:tc>
          <w:tcPr>
            <w:tcW w:w="4926" w:type="dxa"/>
          </w:tcPr>
          <w:p w14:paraId="1DF7AE8E" w14:textId="77777777" w:rsidR="009F7201" w:rsidRDefault="009F7201" w:rsidP="009F7201">
            <w:bookmarkStart w:id="3" w:name="_Hlk213661298"/>
            <w:r>
              <w:t xml:space="preserve">     </w:t>
            </w:r>
            <w:r w:rsidRPr="004733EC">
              <w:t>От Заказчика</w:t>
            </w:r>
          </w:p>
          <w:p w14:paraId="41F04C30" w14:textId="77777777" w:rsidR="009F7201" w:rsidRPr="004733EC" w:rsidRDefault="009F7201" w:rsidP="009F7201"/>
          <w:p w14:paraId="3AA795AB" w14:textId="77777777" w:rsidR="009F7201" w:rsidRPr="004733EC" w:rsidRDefault="009F7201" w:rsidP="009F7201"/>
          <w:p w14:paraId="4A259EDB" w14:textId="77777777" w:rsidR="009F7201" w:rsidRPr="004733EC" w:rsidRDefault="009F7201" w:rsidP="009F7201">
            <w:r w:rsidRPr="004733EC">
              <w:t xml:space="preserve">      ________________</w:t>
            </w:r>
            <w:r>
              <w:t xml:space="preserve">/А.А. </w:t>
            </w:r>
            <w:proofErr w:type="spellStart"/>
            <w:r>
              <w:t>Глуханюк</w:t>
            </w:r>
            <w:proofErr w:type="spellEnd"/>
            <w:r w:rsidRPr="004733EC">
              <w:t xml:space="preserve"> </w:t>
            </w:r>
          </w:p>
          <w:p w14:paraId="204C1A51" w14:textId="77777777" w:rsidR="009F7201" w:rsidRPr="004733EC" w:rsidRDefault="009F7201" w:rsidP="009F7201">
            <w:r w:rsidRPr="004733EC">
              <w:t xml:space="preserve">     (подпись)                                ФИО</w:t>
            </w:r>
            <w:r>
              <w:t xml:space="preserve">                       </w:t>
            </w:r>
          </w:p>
          <w:p w14:paraId="229A5857" w14:textId="77777777" w:rsidR="009F7201" w:rsidRPr="004733EC" w:rsidRDefault="009F7201" w:rsidP="009F7201"/>
          <w:p w14:paraId="163BBCF4" w14:textId="77777777" w:rsidR="009F7201" w:rsidRDefault="009F7201" w:rsidP="009F7201">
            <w:r w:rsidRPr="004733EC">
              <w:t xml:space="preserve">      М.П.   « _» _________ 202</w:t>
            </w:r>
            <w:r w:rsidR="00A71763">
              <w:t>6</w:t>
            </w:r>
            <w:r w:rsidRPr="004733EC">
              <w:t xml:space="preserve"> г.</w:t>
            </w:r>
          </w:p>
          <w:p w14:paraId="0CCC8ABA" w14:textId="77777777" w:rsidR="009F7201" w:rsidRPr="004733EC" w:rsidRDefault="009F7201" w:rsidP="009F7201"/>
        </w:tc>
        <w:tc>
          <w:tcPr>
            <w:tcW w:w="4927" w:type="dxa"/>
          </w:tcPr>
          <w:p w14:paraId="1DF2A9E2" w14:textId="77777777" w:rsidR="009F7201" w:rsidRDefault="009F7201" w:rsidP="009F7201">
            <w:pPr>
              <w:tabs>
                <w:tab w:val="left" w:pos="555"/>
                <w:tab w:val="left" w:pos="825"/>
              </w:tabs>
            </w:pPr>
            <w:r w:rsidRPr="004733EC">
              <w:t xml:space="preserve"> </w:t>
            </w:r>
            <w:r>
              <w:t xml:space="preserve">         От Подрядчика</w:t>
            </w:r>
          </w:p>
          <w:p w14:paraId="016C124E" w14:textId="77777777" w:rsidR="009F7201" w:rsidRDefault="009F7201" w:rsidP="009F7201"/>
          <w:p w14:paraId="2A06ED97" w14:textId="77777777" w:rsidR="009F7201" w:rsidRDefault="009F7201" w:rsidP="009F7201"/>
          <w:p w14:paraId="66D5769F" w14:textId="77777777" w:rsidR="009F7201" w:rsidRDefault="009F7201" w:rsidP="009F7201">
            <w:r>
              <w:t xml:space="preserve">          ______________ /</w:t>
            </w:r>
          </w:p>
          <w:p w14:paraId="2634A305" w14:textId="77777777" w:rsidR="009F7201" w:rsidRDefault="009F7201" w:rsidP="009F7201">
            <w:r>
              <w:t xml:space="preserve">          (подпись)                     ФИО</w:t>
            </w:r>
          </w:p>
          <w:p w14:paraId="4C5EAC2A" w14:textId="77777777" w:rsidR="009F7201" w:rsidRDefault="009F7201" w:rsidP="009F7201"/>
          <w:p w14:paraId="66FFADAF" w14:textId="77777777" w:rsidR="009F7201" w:rsidRPr="004733EC" w:rsidRDefault="009F7201" w:rsidP="00A71763">
            <w:pPr>
              <w:rPr>
                <w:rFonts w:ascii="Calibri" w:hAnsi="Calibri"/>
              </w:rPr>
            </w:pPr>
            <w:r>
              <w:t xml:space="preserve">          М.П.   « _» _________ 202</w:t>
            </w:r>
            <w:r w:rsidR="00A71763">
              <w:t>6</w:t>
            </w:r>
            <w:r>
              <w:t xml:space="preserve"> г.</w:t>
            </w:r>
          </w:p>
        </w:tc>
      </w:tr>
      <w:bookmarkEnd w:id="3"/>
    </w:tbl>
    <w:p w14:paraId="7B55FC21" w14:textId="77777777" w:rsidR="0002403D" w:rsidRDefault="0002403D" w:rsidP="005C5B05">
      <w:pPr>
        <w:spacing w:after="160" w:line="259" w:lineRule="auto"/>
        <w:jc w:val="center"/>
      </w:pPr>
    </w:p>
    <w:sectPr w:rsidR="0002403D" w:rsidSect="00011491">
      <w:footerReference w:type="even" r:id="rId7"/>
      <w:footerReference w:type="default" r:id="rId8"/>
      <w:pgSz w:w="11906" w:h="16838"/>
      <w:pgMar w:top="79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B452" w14:textId="77777777" w:rsidR="008776A2" w:rsidRDefault="008776A2">
      <w:r>
        <w:separator/>
      </w:r>
    </w:p>
  </w:endnote>
  <w:endnote w:type="continuationSeparator" w:id="0">
    <w:p w14:paraId="091DAC4C" w14:textId="77777777" w:rsidR="008776A2" w:rsidRDefault="0087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56FD" w14:textId="77777777" w:rsidR="009827C6" w:rsidRDefault="009827C6" w:rsidP="002532B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 w:rsidR="00105EB8">
      <w:rPr>
        <w:rStyle w:val="ac"/>
      </w:rPr>
      <w:fldChar w:fldCharType="separate"/>
    </w:r>
    <w:r w:rsidR="00105EB8">
      <w:rPr>
        <w:rStyle w:val="ac"/>
        <w:noProof/>
      </w:rPr>
      <w:t>11</w:t>
    </w:r>
    <w:r>
      <w:rPr>
        <w:rStyle w:val="ac"/>
      </w:rPr>
      <w:fldChar w:fldCharType="end"/>
    </w:r>
  </w:p>
  <w:p w14:paraId="4FC3EB1F" w14:textId="77777777" w:rsidR="009827C6" w:rsidRDefault="009827C6" w:rsidP="00376350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C1A5" w14:textId="77777777" w:rsidR="009827C6" w:rsidRDefault="009827C6" w:rsidP="002532B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0896">
      <w:rPr>
        <w:rStyle w:val="ac"/>
        <w:noProof/>
      </w:rPr>
      <w:t>15</w:t>
    </w:r>
    <w:r>
      <w:rPr>
        <w:rStyle w:val="ac"/>
      </w:rPr>
      <w:fldChar w:fldCharType="end"/>
    </w:r>
  </w:p>
  <w:p w14:paraId="1398A71E" w14:textId="77777777" w:rsidR="009827C6" w:rsidRDefault="009827C6" w:rsidP="0037635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AF7F" w14:textId="77777777" w:rsidR="008776A2" w:rsidRDefault="008776A2">
      <w:r>
        <w:separator/>
      </w:r>
    </w:p>
  </w:footnote>
  <w:footnote w:type="continuationSeparator" w:id="0">
    <w:p w14:paraId="741BD308" w14:textId="77777777" w:rsidR="008776A2" w:rsidRDefault="0087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E5C"/>
    <w:multiLevelType w:val="multilevel"/>
    <w:tmpl w:val="2FE00AA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8A56A20"/>
    <w:multiLevelType w:val="hybridMultilevel"/>
    <w:tmpl w:val="4C42F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C047D49"/>
    <w:multiLevelType w:val="hybridMultilevel"/>
    <w:tmpl w:val="56D80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18F2410"/>
    <w:multiLevelType w:val="hybridMultilevel"/>
    <w:tmpl w:val="E78A2DBA"/>
    <w:lvl w:ilvl="0" w:tplc="F62E0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D6444"/>
    <w:multiLevelType w:val="hybridMultilevel"/>
    <w:tmpl w:val="6C62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893A5C"/>
    <w:multiLevelType w:val="hybridMultilevel"/>
    <w:tmpl w:val="B6B61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4073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292252">
    <w:abstractNumId w:val="2"/>
  </w:num>
  <w:num w:numId="3" w16cid:durableId="848442834">
    <w:abstractNumId w:val="1"/>
  </w:num>
  <w:num w:numId="4" w16cid:durableId="1741177595">
    <w:abstractNumId w:val="0"/>
  </w:num>
  <w:num w:numId="5" w16cid:durableId="1494298082">
    <w:abstractNumId w:val="5"/>
  </w:num>
  <w:num w:numId="6" w16cid:durableId="1866868710">
    <w:abstractNumId w:val="4"/>
  </w:num>
  <w:num w:numId="7" w16cid:durableId="1580210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3C"/>
    <w:rsid w:val="00011491"/>
    <w:rsid w:val="0002403D"/>
    <w:rsid w:val="000466F6"/>
    <w:rsid w:val="000532BB"/>
    <w:rsid w:val="00062D36"/>
    <w:rsid w:val="00063171"/>
    <w:rsid w:val="0007086F"/>
    <w:rsid w:val="00074A22"/>
    <w:rsid w:val="000867CE"/>
    <w:rsid w:val="000A785E"/>
    <w:rsid w:val="000D0200"/>
    <w:rsid w:val="000D334F"/>
    <w:rsid w:val="00102A9E"/>
    <w:rsid w:val="00103836"/>
    <w:rsid w:val="00105EB8"/>
    <w:rsid w:val="00126D4F"/>
    <w:rsid w:val="001449C2"/>
    <w:rsid w:val="0014690F"/>
    <w:rsid w:val="00146C7C"/>
    <w:rsid w:val="0016133E"/>
    <w:rsid w:val="0016468E"/>
    <w:rsid w:val="001861B9"/>
    <w:rsid w:val="001C7EBA"/>
    <w:rsid w:val="001D6E64"/>
    <w:rsid w:val="001F27B6"/>
    <w:rsid w:val="00201B4E"/>
    <w:rsid w:val="002028D2"/>
    <w:rsid w:val="0020486C"/>
    <w:rsid w:val="00231A67"/>
    <w:rsid w:val="0023764C"/>
    <w:rsid w:val="002532B9"/>
    <w:rsid w:val="002556A6"/>
    <w:rsid w:val="00261657"/>
    <w:rsid w:val="00272D85"/>
    <w:rsid w:val="00276DB1"/>
    <w:rsid w:val="0029576D"/>
    <w:rsid w:val="00295AE8"/>
    <w:rsid w:val="002B2E6A"/>
    <w:rsid w:val="002C24EF"/>
    <w:rsid w:val="002C7964"/>
    <w:rsid w:val="002D1417"/>
    <w:rsid w:val="002D1E4E"/>
    <w:rsid w:val="002E65E6"/>
    <w:rsid w:val="002E76B0"/>
    <w:rsid w:val="002F1CDE"/>
    <w:rsid w:val="0030377B"/>
    <w:rsid w:val="00314E21"/>
    <w:rsid w:val="0031794A"/>
    <w:rsid w:val="00357F2B"/>
    <w:rsid w:val="00370B0F"/>
    <w:rsid w:val="00370EAF"/>
    <w:rsid w:val="00376350"/>
    <w:rsid w:val="0038041C"/>
    <w:rsid w:val="0039772C"/>
    <w:rsid w:val="003A099E"/>
    <w:rsid w:val="003A35BA"/>
    <w:rsid w:val="003A4308"/>
    <w:rsid w:val="003B0CE4"/>
    <w:rsid w:val="003B6D4D"/>
    <w:rsid w:val="003D110D"/>
    <w:rsid w:val="003E59B1"/>
    <w:rsid w:val="003E7322"/>
    <w:rsid w:val="003E784B"/>
    <w:rsid w:val="00423152"/>
    <w:rsid w:val="00433E3A"/>
    <w:rsid w:val="00437E17"/>
    <w:rsid w:val="00443465"/>
    <w:rsid w:val="00445E30"/>
    <w:rsid w:val="00456534"/>
    <w:rsid w:val="00466745"/>
    <w:rsid w:val="00467B95"/>
    <w:rsid w:val="00473306"/>
    <w:rsid w:val="004733EC"/>
    <w:rsid w:val="004826D9"/>
    <w:rsid w:val="00495441"/>
    <w:rsid w:val="004A3ED0"/>
    <w:rsid w:val="004A6751"/>
    <w:rsid w:val="004C72A5"/>
    <w:rsid w:val="004D0F7A"/>
    <w:rsid w:val="004F50D1"/>
    <w:rsid w:val="005004F3"/>
    <w:rsid w:val="005058A4"/>
    <w:rsid w:val="00512BB0"/>
    <w:rsid w:val="00520C10"/>
    <w:rsid w:val="00520E05"/>
    <w:rsid w:val="00550366"/>
    <w:rsid w:val="0055703C"/>
    <w:rsid w:val="005711DF"/>
    <w:rsid w:val="00571C81"/>
    <w:rsid w:val="005B4216"/>
    <w:rsid w:val="005B71EA"/>
    <w:rsid w:val="005C00C2"/>
    <w:rsid w:val="005C100B"/>
    <w:rsid w:val="005C2E35"/>
    <w:rsid w:val="005C5B05"/>
    <w:rsid w:val="005D104E"/>
    <w:rsid w:val="005D1F2F"/>
    <w:rsid w:val="005E106E"/>
    <w:rsid w:val="00630B75"/>
    <w:rsid w:val="006313D4"/>
    <w:rsid w:val="00632227"/>
    <w:rsid w:val="006331E1"/>
    <w:rsid w:val="00635694"/>
    <w:rsid w:val="00653C35"/>
    <w:rsid w:val="006547BD"/>
    <w:rsid w:val="00661283"/>
    <w:rsid w:val="00670D88"/>
    <w:rsid w:val="00686FC6"/>
    <w:rsid w:val="0069202F"/>
    <w:rsid w:val="00695B0B"/>
    <w:rsid w:val="006A06EC"/>
    <w:rsid w:val="006A079C"/>
    <w:rsid w:val="006A5326"/>
    <w:rsid w:val="006C1597"/>
    <w:rsid w:val="006C429D"/>
    <w:rsid w:val="006D058E"/>
    <w:rsid w:val="006D4276"/>
    <w:rsid w:val="006F18B1"/>
    <w:rsid w:val="006F2A40"/>
    <w:rsid w:val="006F4AAD"/>
    <w:rsid w:val="006F7541"/>
    <w:rsid w:val="00712D93"/>
    <w:rsid w:val="00724707"/>
    <w:rsid w:val="00725C8C"/>
    <w:rsid w:val="00730EAC"/>
    <w:rsid w:val="00752509"/>
    <w:rsid w:val="00777971"/>
    <w:rsid w:val="00792FE4"/>
    <w:rsid w:val="00793749"/>
    <w:rsid w:val="007969EB"/>
    <w:rsid w:val="007A3AF9"/>
    <w:rsid w:val="007C70A7"/>
    <w:rsid w:val="007D188A"/>
    <w:rsid w:val="007D26A8"/>
    <w:rsid w:val="007E3952"/>
    <w:rsid w:val="007E5E0D"/>
    <w:rsid w:val="007F5CED"/>
    <w:rsid w:val="0080786E"/>
    <w:rsid w:val="00810B2B"/>
    <w:rsid w:val="00810DEB"/>
    <w:rsid w:val="008226B2"/>
    <w:rsid w:val="00822C34"/>
    <w:rsid w:val="00836F82"/>
    <w:rsid w:val="00840DBF"/>
    <w:rsid w:val="00861E20"/>
    <w:rsid w:val="00863739"/>
    <w:rsid w:val="00871EE8"/>
    <w:rsid w:val="008776A2"/>
    <w:rsid w:val="008A18A8"/>
    <w:rsid w:val="008A35BC"/>
    <w:rsid w:val="008C2670"/>
    <w:rsid w:val="008C7A21"/>
    <w:rsid w:val="008D3618"/>
    <w:rsid w:val="008D4294"/>
    <w:rsid w:val="008E535D"/>
    <w:rsid w:val="00912B5B"/>
    <w:rsid w:val="00924850"/>
    <w:rsid w:val="009252C9"/>
    <w:rsid w:val="00934E68"/>
    <w:rsid w:val="00953243"/>
    <w:rsid w:val="00966D6E"/>
    <w:rsid w:val="00972C78"/>
    <w:rsid w:val="00981176"/>
    <w:rsid w:val="009827C6"/>
    <w:rsid w:val="009966A1"/>
    <w:rsid w:val="009A6556"/>
    <w:rsid w:val="009B1620"/>
    <w:rsid w:val="009B2EC4"/>
    <w:rsid w:val="009C2178"/>
    <w:rsid w:val="009C3715"/>
    <w:rsid w:val="009C4DDD"/>
    <w:rsid w:val="009D5A49"/>
    <w:rsid w:val="009E3724"/>
    <w:rsid w:val="009F13C7"/>
    <w:rsid w:val="009F6C63"/>
    <w:rsid w:val="009F7201"/>
    <w:rsid w:val="00A0197B"/>
    <w:rsid w:val="00A0224E"/>
    <w:rsid w:val="00A0548B"/>
    <w:rsid w:val="00A05DD8"/>
    <w:rsid w:val="00A34D46"/>
    <w:rsid w:val="00A46A8D"/>
    <w:rsid w:val="00A61500"/>
    <w:rsid w:val="00A70C8E"/>
    <w:rsid w:val="00A71763"/>
    <w:rsid w:val="00A80ABB"/>
    <w:rsid w:val="00A8238F"/>
    <w:rsid w:val="00AA4A70"/>
    <w:rsid w:val="00AB7CDC"/>
    <w:rsid w:val="00AC53B6"/>
    <w:rsid w:val="00AC7195"/>
    <w:rsid w:val="00AD2AF1"/>
    <w:rsid w:val="00AE12A7"/>
    <w:rsid w:val="00AE3B5F"/>
    <w:rsid w:val="00AF0439"/>
    <w:rsid w:val="00AF2E43"/>
    <w:rsid w:val="00B12E3A"/>
    <w:rsid w:val="00B15603"/>
    <w:rsid w:val="00B30F71"/>
    <w:rsid w:val="00B31160"/>
    <w:rsid w:val="00B45BFE"/>
    <w:rsid w:val="00B62A22"/>
    <w:rsid w:val="00B66E4C"/>
    <w:rsid w:val="00B85E9F"/>
    <w:rsid w:val="00B861A1"/>
    <w:rsid w:val="00B92A7D"/>
    <w:rsid w:val="00BA2A9B"/>
    <w:rsid w:val="00BC0971"/>
    <w:rsid w:val="00BE0896"/>
    <w:rsid w:val="00BE447B"/>
    <w:rsid w:val="00BE4621"/>
    <w:rsid w:val="00BF09AB"/>
    <w:rsid w:val="00BF2977"/>
    <w:rsid w:val="00BF743F"/>
    <w:rsid w:val="00C03A0B"/>
    <w:rsid w:val="00C067A7"/>
    <w:rsid w:val="00C20EBA"/>
    <w:rsid w:val="00C42D33"/>
    <w:rsid w:val="00C44574"/>
    <w:rsid w:val="00C5017F"/>
    <w:rsid w:val="00C524B3"/>
    <w:rsid w:val="00C56098"/>
    <w:rsid w:val="00C65B04"/>
    <w:rsid w:val="00C90C87"/>
    <w:rsid w:val="00C93473"/>
    <w:rsid w:val="00C95E57"/>
    <w:rsid w:val="00CA3A25"/>
    <w:rsid w:val="00CB4349"/>
    <w:rsid w:val="00CC194D"/>
    <w:rsid w:val="00CE57CD"/>
    <w:rsid w:val="00D446D6"/>
    <w:rsid w:val="00D55A2D"/>
    <w:rsid w:val="00D5736D"/>
    <w:rsid w:val="00D766C0"/>
    <w:rsid w:val="00D90C1A"/>
    <w:rsid w:val="00DA17CF"/>
    <w:rsid w:val="00DA495A"/>
    <w:rsid w:val="00DB2C01"/>
    <w:rsid w:val="00DB4332"/>
    <w:rsid w:val="00DC7766"/>
    <w:rsid w:val="00DD4466"/>
    <w:rsid w:val="00DE1751"/>
    <w:rsid w:val="00DE4C95"/>
    <w:rsid w:val="00DE5DDF"/>
    <w:rsid w:val="00DF6A8E"/>
    <w:rsid w:val="00E05282"/>
    <w:rsid w:val="00E13D4A"/>
    <w:rsid w:val="00E22CD4"/>
    <w:rsid w:val="00E35250"/>
    <w:rsid w:val="00E57605"/>
    <w:rsid w:val="00E622A9"/>
    <w:rsid w:val="00E723FB"/>
    <w:rsid w:val="00E73CCD"/>
    <w:rsid w:val="00E857C9"/>
    <w:rsid w:val="00E9694A"/>
    <w:rsid w:val="00EA58B9"/>
    <w:rsid w:val="00EB07AB"/>
    <w:rsid w:val="00EB2E52"/>
    <w:rsid w:val="00EB3777"/>
    <w:rsid w:val="00EB7BA4"/>
    <w:rsid w:val="00EC3F5C"/>
    <w:rsid w:val="00EC7E3E"/>
    <w:rsid w:val="00ED1ED5"/>
    <w:rsid w:val="00EF07D9"/>
    <w:rsid w:val="00F00A3E"/>
    <w:rsid w:val="00F14BDC"/>
    <w:rsid w:val="00F22FB3"/>
    <w:rsid w:val="00F43D86"/>
    <w:rsid w:val="00F503DE"/>
    <w:rsid w:val="00F57A47"/>
    <w:rsid w:val="00F61BEA"/>
    <w:rsid w:val="00F66858"/>
    <w:rsid w:val="00F7234C"/>
    <w:rsid w:val="00F732DA"/>
    <w:rsid w:val="00F77019"/>
    <w:rsid w:val="00F86243"/>
    <w:rsid w:val="00F93FC9"/>
    <w:rsid w:val="00FB26BA"/>
    <w:rsid w:val="00FE6F18"/>
    <w:rsid w:val="00FF2B71"/>
    <w:rsid w:val="00FF3B3A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09360"/>
  <w15:chartTrackingRefBased/>
  <w15:docId w15:val="{3E962ACC-DDAE-4ED7-9F86-95D8DAEB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201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с отступом Знак"/>
    <w:aliases w:val="текст Знак"/>
    <w:link w:val="a4"/>
    <w:semiHidden/>
    <w:locked/>
    <w:rsid w:val="0055703C"/>
    <w:rPr>
      <w:b/>
      <w:bCs/>
      <w:sz w:val="24"/>
      <w:szCs w:val="24"/>
      <w:lang w:bidi="ar-SA"/>
    </w:rPr>
  </w:style>
  <w:style w:type="paragraph" w:styleId="a4">
    <w:name w:val="Body Text Indent"/>
    <w:aliases w:val="текст"/>
    <w:basedOn w:val="a"/>
    <w:link w:val="a3"/>
    <w:semiHidden/>
    <w:rsid w:val="0055703C"/>
    <w:pPr>
      <w:keepNext/>
      <w:overflowPunct w:val="0"/>
      <w:autoSpaceDE w:val="0"/>
      <w:autoSpaceDN w:val="0"/>
      <w:adjustRightInd w:val="0"/>
      <w:jc w:val="center"/>
    </w:pPr>
    <w:rPr>
      <w:rFonts w:eastAsia="Times New Roman"/>
      <w:b/>
      <w:bCs/>
      <w:lang w:val="ru-RU" w:eastAsia="ru-RU"/>
    </w:rPr>
  </w:style>
  <w:style w:type="paragraph" w:customStyle="1" w:styleId="ListParagraph">
    <w:name w:val="List Paragraph"/>
    <w:basedOn w:val="a"/>
    <w:rsid w:val="0055703C"/>
    <w:pPr>
      <w:suppressAutoHyphens/>
      <w:ind w:left="708"/>
    </w:pPr>
    <w:rPr>
      <w:lang w:eastAsia="ar-SA"/>
    </w:rPr>
  </w:style>
  <w:style w:type="paragraph" w:customStyle="1" w:styleId="1">
    <w:name w:val="Цитата1"/>
    <w:basedOn w:val="a"/>
    <w:rsid w:val="0055703C"/>
    <w:pPr>
      <w:suppressAutoHyphens/>
      <w:ind w:left="567" w:right="-1"/>
      <w:jc w:val="both"/>
    </w:pPr>
    <w:rPr>
      <w:b/>
      <w:sz w:val="20"/>
      <w:szCs w:val="20"/>
      <w:lang w:eastAsia="ar-SA"/>
    </w:rPr>
  </w:style>
  <w:style w:type="paragraph" w:styleId="a5">
    <w:name w:val="Balloon Text"/>
    <w:basedOn w:val="a"/>
    <w:link w:val="a6"/>
    <w:semiHidden/>
    <w:rsid w:val="005570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55703C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7">
    <w:name w:val="Название"/>
    <w:basedOn w:val="a"/>
    <w:next w:val="a8"/>
    <w:link w:val="a9"/>
    <w:qFormat/>
    <w:rsid w:val="0055703C"/>
    <w:pPr>
      <w:suppressAutoHyphens/>
      <w:jc w:val="center"/>
    </w:pPr>
    <w:rPr>
      <w:b/>
      <w:sz w:val="28"/>
      <w:szCs w:val="28"/>
      <w:lang w:eastAsia="ar-SA"/>
    </w:rPr>
  </w:style>
  <w:style w:type="paragraph" w:styleId="a8">
    <w:name w:val="Subtitle"/>
    <w:basedOn w:val="a"/>
    <w:next w:val="a"/>
    <w:link w:val="aa"/>
    <w:qFormat/>
    <w:rsid w:val="0055703C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8"/>
    <w:locked/>
    <w:rsid w:val="0055703C"/>
    <w:rPr>
      <w:rFonts w:ascii="Cambria" w:eastAsia="Calibri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9">
    <w:name w:val="Название Знак"/>
    <w:link w:val="a7"/>
    <w:locked/>
    <w:rsid w:val="0055703C"/>
    <w:rPr>
      <w:rFonts w:eastAsia="Calibri"/>
      <w:b/>
      <w:sz w:val="28"/>
      <w:szCs w:val="28"/>
      <w:lang w:val="ru-RU" w:eastAsia="ar-SA" w:bidi="ar-SA"/>
    </w:rPr>
  </w:style>
  <w:style w:type="paragraph" w:customStyle="1" w:styleId="10">
    <w:name w:val="Абзац списка1"/>
    <w:basedOn w:val="a"/>
    <w:rsid w:val="0055703C"/>
    <w:pPr>
      <w:suppressAutoHyphens/>
      <w:ind w:left="708"/>
    </w:pPr>
    <w:rPr>
      <w:rFonts w:eastAsia="Times New Roman"/>
      <w:lang w:eastAsia="ar-SA"/>
    </w:rPr>
  </w:style>
  <w:style w:type="paragraph" w:styleId="ab">
    <w:name w:val="footer"/>
    <w:basedOn w:val="a"/>
    <w:rsid w:val="003763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76350"/>
  </w:style>
  <w:style w:type="paragraph" w:styleId="ad">
    <w:name w:val="Revision"/>
    <w:hidden/>
    <w:uiPriority w:val="99"/>
    <w:semiHidden/>
    <w:rsid w:val="00495441"/>
    <w:rPr>
      <w:rFonts w:eastAsia="Calibri"/>
      <w:sz w:val="24"/>
      <w:szCs w:val="24"/>
    </w:rPr>
  </w:style>
  <w:style w:type="table" w:styleId="ae">
    <w:name w:val="Table Grid"/>
    <w:basedOn w:val="a1"/>
    <w:uiPriority w:val="59"/>
    <w:rsid w:val="005C5B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B31160"/>
    <w:pPr>
      <w:spacing w:after="120"/>
    </w:pPr>
  </w:style>
  <w:style w:type="character" w:customStyle="1" w:styleId="af0">
    <w:name w:val="Основной текст Знак"/>
    <w:link w:val="af"/>
    <w:rsid w:val="00B31160"/>
    <w:rPr>
      <w:rFonts w:eastAsia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116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af1">
    <w:name w:val="Hyperlink"/>
    <w:rsid w:val="00FF2B71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FF2B71"/>
    <w:rPr>
      <w:color w:val="605E5C"/>
      <w:shd w:val="clear" w:color="auto" w:fill="E1DFDD"/>
    </w:rPr>
  </w:style>
  <w:style w:type="paragraph" w:styleId="af3">
    <w:name w:val="List Paragraph"/>
    <w:basedOn w:val="a"/>
    <w:link w:val="af4"/>
    <w:qFormat/>
    <w:rsid w:val="004733EC"/>
    <w:pPr>
      <w:ind w:left="708"/>
    </w:pPr>
  </w:style>
  <w:style w:type="paragraph" w:customStyle="1" w:styleId="21">
    <w:name w:val="Основной текст 21"/>
    <w:basedOn w:val="a"/>
    <w:rsid w:val="00810B2B"/>
    <w:pPr>
      <w:jc w:val="both"/>
    </w:pPr>
    <w:rPr>
      <w:rFonts w:eastAsia="Times New Roman"/>
      <w:color w:val="000000"/>
      <w:sz w:val="22"/>
      <w:szCs w:val="20"/>
    </w:rPr>
  </w:style>
  <w:style w:type="character" w:customStyle="1" w:styleId="af4">
    <w:name w:val="Абзац списка Знак"/>
    <w:link w:val="af3"/>
    <w:rsid w:val="00A7176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_____/_______</vt:lpstr>
    </vt:vector>
  </TitlesOfParts>
  <Company>Microsoft</Company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_____/_______</dc:title>
  <dc:subject/>
  <dc:creator>vdv</dc:creator>
  <cp:keywords/>
  <cp:lastModifiedBy>Надежда Демешкина</cp:lastModifiedBy>
  <cp:revision>2</cp:revision>
  <cp:lastPrinted>2025-11-10T05:05:00Z</cp:lastPrinted>
  <dcterms:created xsi:type="dcterms:W3CDTF">2026-05-27T08:08:00Z</dcterms:created>
  <dcterms:modified xsi:type="dcterms:W3CDTF">2026-05-27T08:08:00Z</dcterms:modified>
</cp:coreProperties>
</file>