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76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Договор на оказание услуг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почтовой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связи,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дополнительных и иных услуг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976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№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976"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ИК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lang w:eastAsia="ru-RU"/>
        </w:rPr>
        <w:t xml:space="preserve">З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highlight w:val="white"/>
        </w:rPr>
        <w:t xml:space="preserve">26 1 6439010461 643901001 0017 000 0000 244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76"/>
        <w:ind w:left="-120" w:right="-92"/>
        <w:spacing w:before="0"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ab/>
        <w:t xml:space="preserve">           г. Уфа                                                                                  «____» _____________ 2026г.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976"/>
        <w:ind w:left="-120" w:right="-92"/>
        <w:spacing w:before="0"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r>
    </w:p>
    <w:p>
      <w:pPr>
        <w:pStyle w:val="976"/>
        <w:ind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АО «____________», именуемое в дальнейшем «Поставщик», в лице _____________________________, действующей на основании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доверенности ________________, с одной стороны, и Волжское МТУ по надзору за ЯРБ Ростехнадзора, именуемое в дальнейшем Заказчик, в лице руководителя Миронова Евгения Алексеевича, действующего на основании положения с другой стороны, 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месте именуемые Стороны, руководствуясь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 заключили настоящий Договор о нижеследующем»: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1"/>
        </w:numPr>
        <w:ind w:left="1843" w:right="2097" w:hanging="283"/>
        <w:jc w:val="center"/>
        <w:spacing w:before="240" w:after="120" w:line="240" w:lineRule="auto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ОБЩИЕ ПОЛОЖЕНИЯ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ind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1.1.</w:t>
        <w:tab/>
        <w:t xml:space="preserve">В соответствии с Договором Стороны определили общие направления сотрудничества в области оказания услуг почтовой связи, дополнительных и иных услуг, оказываемых Исполнителем (далее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услуги почтовой связи, услуги).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pStyle w:val="976"/>
        <w:ind w:firstLine="70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1.2.</w:t>
        <w:tab/>
        <w:t xml:space="preserve">Настоящим Ст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ороны соглашаются, что существенными условиями Договора являются условия, определенные в Приложениях № 1 – 2 к Договору, а также Генеральные условия оказания услуг (далее – Генеральные условия), размещенные в сети Интернет на официальном сайте Исполнителя </w:t>
      </w:r>
      <w:hyperlink r:id="rId20" w:tooltip="http://www.pochta.ru/" w:history="1">
        <w:r>
          <w:rPr>
            <w:rFonts w:ascii="Times New Roman" w:hAnsi="Times New Roman" w:eastAsia="Times New Roman" w:cs="Times New Roman"/>
            <w:spacing w:val="-2"/>
            <w:sz w:val="24"/>
            <w:szCs w:val="24"/>
            <w:lang w:eastAsia="ru-RU"/>
          </w:rPr>
          <w:t xml:space="preserve">___________</w:t>
        </w:r>
      </w:hyperlink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(далее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Официальный сайт Исполнителя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).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pStyle w:val="976"/>
        <w:ind w:firstLine="708"/>
        <w:jc w:val="both"/>
        <w:spacing w:before="0" w:after="0" w:line="240" w:lineRule="auto"/>
        <w:tabs>
          <w:tab w:val="clear" w:pos="708" w:leader="none"/>
          <w:tab w:val="left" w:pos="1418" w:leader="none"/>
        </w:tabs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Генеральные условия содержат описание услуг почтовой связи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, включая описание видов и категорий почтовых отправлений, принимаемых Исполнителем к пересылке, условия сдачи и розыска почтовых отправлений, порядок и требования к оформлению сопроводительных документов, описание и порядок оказания дополнительных услуг.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pStyle w:val="976"/>
        <w:ind w:firstLine="70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1.3.</w:t>
        <w:tab/>
        <w:t xml:space="preserve">В случае заключения Договора, условия оказания услуг, изложенные в Генеральных условиях, подлежат безусловному применению Сторонами.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pStyle w:val="976"/>
        <w:ind w:firstLine="708"/>
        <w:jc w:val="both"/>
        <w:spacing w:before="0" w:after="0" w:line="240" w:lineRule="auto"/>
        <w:tabs>
          <w:tab w:val="clear" w:pos="708" w:leader="none"/>
          <w:tab w:val="left" w:pos="1418" w:leader="none"/>
        </w:tabs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1.4.</w:t>
        <w:tab/>
        <w:t xml:space="preserve">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почты.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pStyle w:val="976"/>
        <w:ind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1.5.</w:t>
        <w:tab/>
        <w:t xml:space="preserve">Исполнитель вправе изменять в одностороннем порядке содержание отдельных пунктов или всего содержания Генеральных условий.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Исполнитель размещает Генеральные условия в новой редакции не позднее 10 (десяти) рабочих дней до введения их в действие на Официальном сайте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Исполнителя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pStyle w:val="976"/>
        <w:ind w:firstLine="70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1.6.</w:t>
        <w:tab/>
        <w:t xml:space="preserve">Стороны определяют перечень оказываемых услуг и форму отчетного документа в соответствии с Приложением № 1 к Договору, а точки сдачи почтовых отправлений для каждого вида почтового отправления и точки возврата по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чтовых отправлений – в соответствии с Приложением № 2 к Договору. Исключение/добавление услуг, изменение адресов места сдачи/возврата почтовых отправлений осуществляется путем изменения приложений №№ 1 – 2 в соответствии с положениями пункта 8.2. Договора.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pStyle w:val="976"/>
        <w:ind w:firstLine="70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1.7.</w:t>
        <w:tab/>
        <w:t xml:space="preserve">Заказчик подтверждает, что услуги почтовой связи подлежат оказанию по адресам мест сдачи и мест возврата почтовых отправлений, определенным Сторонами в Приложении № 2 к Договору.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>
      <w:pPr>
        <w:pStyle w:val="976"/>
        <w:ind w:firstLine="70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</w:p>
    <w:p>
      <w:pPr>
        <w:ind w:firstLine="70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0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firstLine="0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1"/>
        </w:numPr>
        <w:ind w:left="3402" w:right="1388" w:hanging="1842"/>
        <w:jc w:val="center"/>
        <w:spacing w:before="240" w:after="0" w:line="240" w:lineRule="auto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ПРЕДМЕТ ДОГОВОРА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56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Заказчик поручает, а Исполнитель принимает на себя обязательства по оказанию Заказчику услуг почтовой связи, дополнительных и иных услуг, согласно действующему перечню услуг Исполнителя, указанному в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Генеральных условиях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Услуги оказываются Исполнителем в соответствии с перечнем на оказание услуг в соответствии с Приложением № 1 к Договору.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2.2.</w:t>
        <w:tab/>
        <w:t xml:space="preserve">Отдельные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виды почтовых отправлений с объявленной ценностью могут пересылаться с наложенным платежом. Условия осуществления почтового перевода наложенного платежа в пользу Заказчика определяются на основании отдельного договора, который заключается между Сторонами.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firstLine="720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2.3.</w:t>
        <w:tab/>
        <w:t xml:space="preserve">Услуги по приему, обработке, перевозке и доставке (вручению) письменной корреспонденции, пересылаемой в рамках универсальных услуг почто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вой связи (услуг общедоступной почтовой связи), тарифицируются в соответствии с действующими на момент оказания услуг тарифами на услуги почтовой связи, государственное регулирование которых осуществляет Федеральная антимонопольная служба РФ </w:t>
        <w:br/>
        <w:t xml:space="preserve">(ФАС России).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976"/>
        <w:ind w:firstLine="720"/>
        <w:jc w:val="both"/>
        <w:spacing w:before="0" w:after="0" w:line="240" w:lineRule="auto"/>
        <w:tabs>
          <w:tab w:val="clear" w:pos="708" w:leader="none"/>
          <w:tab w:val="left" w:pos="1418" w:leader="none"/>
        </w:tabs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Дополнительные услуги Исполнителя оказываются по тарифам, установленным распорядительными документами Исполнителя, и действующими на момент оказания услуги (дату приема почтовых отправлений в точке сдачи), в соответствии с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Правилами оказания услуг почтовой связи, утвержденными приказом Минкомсвязи России от 17.04.2023 № 382.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pStyle w:val="976"/>
        <w:ind w:firstLine="720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2.4.</w:t>
        <w:tab/>
        <w:t xml:space="preserve">Тарифы на все услуги, выбранные Заказчиком, доводятся до сведения Заказчика путем размещения на Официальном сайте </w:t>
      </w:r>
      <w:hyperlink r:id="rId21" w:tooltip="http://www.pochta.ru/" w:history="1">
        <w:r>
          <w:rPr>
            <w:rFonts w:ascii="Times New Roman" w:hAnsi="Times New Roman" w:eastAsia="Times New Roman" w:cs="Times New Roman"/>
            <w:spacing w:val="-2"/>
            <w:sz w:val="24"/>
            <w:szCs w:val="24"/>
            <w:lang w:eastAsia="ru-RU"/>
          </w:rPr>
          <w:t xml:space="preserve">Исполнителя</w:t>
        </w:r>
      </w:hyperlink>
      <w:r>
        <w:rPr>
          <w:rFonts w:ascii="Times New Roman" w:hAnsi="Times New Roman" w:eastAsia="Times New Roman" w:cs="Times New Roman"/>
          <w:sz w:val="24"/>
          <w:szCs w:val="28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Подписывая Договор, Заказчик подтверждает, что он ознакомлен и согласен с действующими тарифами.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firstLine="720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2.5.</w:t>
        <w:tab/>
        <w:t xml:space="preserve">Оказание услуг почто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вой связи осуществляется в соответствии с нормативно-правовыми актами и локальными нормативными актами Исполнителя, указанными в Генеральных условиях или размещенными на Официальном сайте Исполнителя (далее – Акты, регулирующие оказание услуг Исполнителя).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firstLine="720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2.6.</w:t>
        <w:tab/>
        <w:t xml:space="preserve">Сдача, прием и возврат почтовых отправлений в точках сдачи/возврата осуществляется по сопроводительным документам в соответствии с утвержденными формами Исполнителя и установленными в Генеральных условиях.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firstLine="70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2.7.</w:t>
        <w:tab/>
        <w:t xml:space="preserve">Отчетным периодом оказания услуг почтовой связи по Договору является календарный месяц.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1"/>
        </w:numPr>
        <w:ind w:left="357" w:right="963" w:firstLine="1203"/>
        <w:jc w:val="center"/>
        <w:spacing w:before="240" w:after="0" w:line="240" w:lineRule="auto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ПРАВА И ОБЯЗАННОСТИ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2000" w:right="8" w:hanging="1291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Обязанности Заказчика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Ознакомиться в дату заключения настоящего Договора с тарифами Исполнителя и Генеральными условиями, размещенными на Официальном сайте </w:t>
      </w:r>
      <w:hyperlink r:id="rId22" w:tooltip="http://www.pochta.ru/" w:history="1">
        <w:r>
          <w:rPr>
            <w:rFonts w:ascii="Times New Roman" w:hAnsi="Times New Roman" w:eastAsia="Times New Roman" w:cs="Times New Roman"/>
            <w:spacing w:val="-2"/>
            <w:sz w:val="24"/>
            <w:szCs w:val="24"/>
            <w:lang w:eastAsia="ru-RU"/>
          </w:rPr>
          <w:t xml:space="preserve">Исполнителя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Своевременно оплачивать предоставляемые Исполнителем услуги.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Оплачивать все расходы в случае возврата почтовых отправлений, отправленных Заказчиком от своего имени и/или от имени (но по поручению) другого отправителя, есл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эти расходы не оплачены отправителем, указанным на оболочке почтового отправления, по тарифам, действующим на дату осуществления возврата, независимо от места возврата таких отправлений. Основанием для оплаты невостребованных возвращенных почтовых отправ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лений является список ф. 104-о (Приложение к Генеральным условиям) со штриховыми почтовыми идентификаторами (далее – ШПИ), штриховыми идентификаторами (далее – ШИ) почтовых отправлений, входящих в диапазон ШПИ/ШИ, выделенный Заказчику для формирования РПО.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Обеспечивать соответствие упаковки и оформления почтовых отправлений и сопроводительных документов требованиям Актов, регулирующих оказание услуг Исполнителя.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Производить сдачу почтовых отправлений в объекты почтовой связи Исполнителя, а также осуществлять прием возвращенных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РПО по спискам ф. 104-о по адресам, определенным в Приложении № 2 к Договору.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Производить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сдачу почтовых отправлений в рамках оказания таких услуг, как Печать и постпечатная обработка, Комплексный сервис 3-в-1, Бокс-сервис по адресам, указанным в соответствующих приложениях, оформляемых Сторонами при заказе услуг согласно Генеральным условиям.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Соблюдать требования Актов, регулирующих оказание услуг Исполнителя.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Оформлять надлежащим образом доверенности своим представителям на получение и отправку почтовых отправлений, получение возвращенных почтовых отправлений, а также для оказания дополнительных услуг.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несогласия оплачивать услуги Исполнителя по Договору при повышении тарифов, письменно уведомить об этом Исполнителя в течение 2 (двух) календарных дней с момента получения информации об изменении тарифов в соответствии с п. 3.2.1 Договора.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Согласовывать Универсальный передаточный документ</w:t>
      </w:r>
      <w:r>
        <w:rPr>
          <w:rFonts w:ascii="Times New Roman" w:hAnsi="Times New Roman" w:eastAsia="Calibri" w:cs="Times New Roman"/>
          <w:bCs/>
          <w:iCs/>
          <w:color w:val="000000"/>
          <w:sz w:val="24"/>
          <w:szCs w:val="24"/>
        </w:rPr>
        <w:t xml:space="preserve"> по форме, приведенной в Генеральных условиях (далее – УПД) или акт об оказанных услугах (далее Акт)</w:t>
      </w:r>
      <w:r>
        <w:rPr>
          <w:rStyle w:val="1009"/>
          <w:rFonts w:ascii="Times New Roman" w:hAnsi="Times New Roman" w:eastAsia="Calibri" w:cs="Times New Roman"/>
          <w:bCs/>
          <w:iCs/>
          <w:color w:val="000000"/>
          <w:sz w:val="24"/>
          <w:szCs w:val="24"/>
        </w:rPr>
        <w:footnoteReference w:id="2"/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, полученный от Исполнителя, в соответствии с п. 3.2.3 Договора в отношении каждого вида услуг, оказанных Заказчику в отчетном периоде, в срок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до 10 (десятого) числа месяца, следующего з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а отчетным. Заказчик, имеющий возражения относительно объема, количества оказанных услуг почтовой связи, указанных в УПД или Акте, направляет Исполнителю свои предложения по корректировке УПД или Акта на адрес авторизированной электронной почты Исполнителя</w:t>
      </w:r>
      <w:r>
        <w:rPr>
          <w:rFonts w:ascii="Times New Roman" w:hAnsi="Times New Roman" w:eastAsia="Times New Roman" w:cs="Times New Roman"/>
          <w:spacing w:val="-2"/>
          <w:sz w:val="24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0"/>
          <w:lang w:eastAsia="ru-RU"/>
        </w:rPr>
        <w:t xml:space="preserve">Заказчик получает от Исполнителя (в соответствии с п. 3.2.3 Договора) два экземпляра УПД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или Акта</w:t>
      </w:r>
      <w:r>
        <w:rPr>
          <w:rFonts w:ascii="Times New Roman" w:hAnsi="Times New Roman" w:eastAsia="Times New Roman" w:cs="Times New Roman"/>
          <w:spacing w:val="-2"/>
          <w:sz w:val="24"/>
          <w:szCs w:val="20"/>
          <w:lang w:eastAsia="ru-RU"/>
        </w:rPr>
        <w:t xml:space="preserve"> и возвращает 1 (один) экземпляр, подписанный уполномоченным представителем Заказчика и заверенный печатью (при наличии), Исполнителю до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10 (десятого)</w:t>
      </w:r>
      <w:r>
        <w:rPr>
          <w:rFonts w:ascii="Times New Roman" w:hAnsi="Times New Roman" w:eastAsia="Times New Roman" w:cs="Times New Roman"/>
          <w:spacing w:val="-2"/>
          <w:sz w:val="24"/>
          <w:szCs w:val="20"/>
          <w:lang w:eastAsia="ru-RU"/>
        </w:rPr>
        <w:t xml:space="preserve"> числа месяца, следующего за отчетным.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0"/>
          <w:lang w:eastAsia="ru-RU"/>
        </w:rPr>
        <w:t xml:space="preserve">В случае если Заказчик не подпишет УПД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или Акт</w:t>
      </w:r>
      <w:r>
        <w:rPr>
          <w:rFonts w:ascii="Times New Roman" w:hAnsi="Times New Roman" w:eastAsia="Times New Roman" w:cs="Times New Roman"/>
          <w:spacing w:val="-2"/>
          <w:sz w:val="24"/>
          <w:szCs w:val="20"/>
          <w:lang w:eastAsia="ru-RU"/>
        </w:rPr>
        <w:t xml:space="preserve"> в указанный срок и не представит письменных возражений, УПД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или Акт</w:t>
      </w:r>
      <w:r>
        <w:rPr>
          <w:rFonts w:ascii="Times New Roman" w:hAnsi="Times New Roman" w:eastAsia="Times New Roman" w:cs="Times New Roman"/>
          <w:spacing w:val="-2"/>
          <w:sz w:val="24"/>
          <w:szCs w:val="20"/>
          <w:lang w:eastAsia="ru-RU"/>
        </w:rPr>
        <w:t xml:space="preserve"> считается согласованным Заказчиком, услуги считаются принятыми в полном объеме.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560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Направлять заявки (в т.ч. на выд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еление диапазона ШПИ/ШИ, на выставление счета для осуществления авансового платежа за услуги),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2000" w:right="8" w:hanging="1291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Обязанности Исполнителя: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Информировать Заказчика об изменении тарифов на услуги путем размещения соответ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ствующей информации на Официальном сайте Исполнителя. В случае изменения действующих тарифов Исполнитель размещает соответствующую информацию на Официальном сайте Исполнителя не позднее, чем за 10 (десять) календарных дней до даты введения новых тарифов.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Своевременно сообщать Заказчику об ограничениях по доставке почтовых отправлений путем публикации информации на Официальном сайте </w:t>
      </w:r>
      <w:hyperlink r:id="rId23" w:tooltip="http://www.pochta.ru/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Исполнителя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Ежемесячно до 10 (десятого) числа месяца, следующего за отчетным, направлять Заказчику 2 (два) экземпляра УПД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или Акта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услугам, оказ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анным Заказчику в отчетном месяце, подписанных уполномоченным представителем Исполнителя, для подписания Заказчику.  Если Заказчик в срок до 10 (десятого) числа месяца, следующего за отчетным, не заявит о необходимости корректировки содержания или сумм УПД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или Акта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, то УПД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или Акт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отчетный месяц, считается согласованным Заказчиком.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Выста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влять счет на оплату услуг, подлежащих оказанию в следующем отчетном периоде, на основании заявки Заказчика на выставление счета, направляемой Заказчиком на авторизованный адрес электронной почты Исполнителя для осуществления авансового платежа за услуги.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Осуществлять согласование заявок, указанн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ых в п. 3.1.12 Договора, согласование предварительно сформированных Заказчиком сопроводительных документов на сдачу почтовых отправлений, путем направления соответствующих сообщений/писем/уведомлений/ на авторизированный адрес электронной почты Заказчика.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2000" w:hanging="1291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Права Исполнителя: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left" w:pos="0" w:leader="none"/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одностороннем порядке изменять тарифы на услуги по Договору.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left" w:pos="0" w:leader="none"/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наличии экономически и/или технологически обоснованных причин в одностороннем порядке изменять перечень объектов почтовой связи, в которых Заказчиком производится сдача почтовых отправлений (изменять точки сдачи) в рамках Договора, предупредив об этом За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казчика письменно не менее, чем за 30 (тридцать) календарных дней до предполагаемой даты изменения перечня объектов почтовой связи (изменения точки сдачи). Изменение перечня объектов почтовой связи производится в границах одного муниципального образования.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left" w:pos="0" w:leader="none"/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одностороннем порядке изменять, дополнять, отменять Акты, регулирующие оказание услуг Исполнителя, без соответствующего уведомления Заказчика. В указанном случае документы, принятые в новой редакции, размещаются Исполнителем на Официальном сайте </w:t>
      </w:r>
      <w:hyperlink r:id="rId24" w:tooltip="http://www.pochta.ru/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Исполнителя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либо предоставляются Заказчику по его письменному запросу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left" w:pos="0" w:leader="none"/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В одностороннем порядке изменять виды и категории почтовых отправлений, а также перечень услуг, указанных в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Генеральных условиях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, или отменять их. В случае если по каким-либо причинам Исполнитель больше не имеет возможности оказать услуги Заказчику, в том числе в связи с изменени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ем технологического процесса оказания услуги, Исполнитель письменно уведомляет Заказчика за 10 (десять) календарных дней до внесения соответствующих изменений. Изменения вступают в силу после утверждения Генеральных условий, содержащих внесенные изменения.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left" w:pos="0" w:leader="none"/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Не уведомлять Заказчика об изменении а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виатарифов авиакомпаний, поскольку указанные тарифы устанавливаются авиакомпаниями самостоятельно и взимаются дополнительно к почтовому сбору на момент оказания услуги. Информация о тарифах авиаперевозчиков предоставляется Заказчику по письменному запросу.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left" w:pos="0" w:leader="none"/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Предоставлять скидки Заказчику на услуги. Порядок, размер и условия скидок определяются локальным нормативным актом Исполнителя, размещенным на Официальном сайте </w:t>
      </w:r>
      <w:hyperlink r:id="rId25" w:tooltip="http://www.pochta.ru/" w:history="1">
        <w:r>
          <w:rPr>
            <w:rFonts w:ascii="Times New Roman" w:hAnsi="Times New Roman" w:eastAsia="Times New Roman" w:cs="Times New Roman"/>
            <w:sz w:val="24"/>
            <w:szCs w:val="24"/>
            <w:lang w:eastAsia="ru-RU"/>
          </w:rPr>
          <w:t xml:space="preserve">Исполнителя</w:t>
        </w:r>
      </w:hyperlink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left" w:pos="0" w:leader="none"/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Приостановить оказани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е услуг по Договору при условии обязательного письменного предупреждения Заказчика в случаях невыполнения либо ненадлежащего выполнения Заказчиком требований, указанных в п. 3.1 настоящего Договора, а также требований, установленных в Генеральных условиях.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2"/>
          <w:numId w:val="1"/>
        </w:numPr>
        <w:ind w:left="0" w:right="8" w:firstLine="709"/>
        <w:jc w:val="both"/>
        <w:spacing w:before="0" w:after="0" w:line="240" w:lineRule="auto"/>
        <w:tabs>
          <w:tab w:val="left" w:pos="0" w:leader="none"/>
          <w:tab w:val="clear" w:pos="708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0"/>
          <w:lang w:eastAsia="ru-RU"/>
        </w:rPr>
        <w:t xml:space="preserve">При невнесении Заказчиком предоплаты на оказание услуг или полном исчерпании аванса до окончания отчетного периода, отказать Заказчику в оказании услуг до внесения предоплаты в полном размере или полного погашения задолженности по выставленным счетам.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1"/>
        </w:numPr>
        <w:ind w:left="357" w:right="1388" w:firstLine="1203"/>
        <w:jc w:val="center"/>
        <w:spacing w:before="240" w:after="0" w:line="240" w:lineRule="auto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ПОРЯДОК РАСЧЕТОВ, СТОИМОСТЬ УСЛУГ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1055"/>
        <w:numPr>
          <w:ilvl w:val="1"/>
          <w:numId w:val="1"/>
        </w:numPr>
        <w:ind w:left="0" w:firstLine="709"/>
        <w:jc w:val="both"/>
        <w:spacing w:before="0" w:after="0" w:line="240" w:lineRule="auto"/>
        <w:tabs>
          <w:tab w:val="clear" w:pos="708" w:leader="none"/>
          <w:tab w:val="left" w:pos="710" w:leader="none"/>
          <w:tab w:val="left" w:pos="1418" w:leader="none"/>
        </w:tabs>
        <w:rPr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Порядок оплаты за услуги – авансовый, путем внесения Заказ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чиком на расчетный счет Исполнителя до 1 (первого) числа каждого месяца предоплаты с разбивкой на услуги почтовой связи/дополнительные услуги/иные услуги, подлежащие оказанию в отчетном периоде по тарифам, действующим на дату сдачи почтовых отправлений. Пр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 оплате услуг Заказчиком в назначении платежа указываются номер и дата Договора. В случае оплаты услуги по пересылке письменной корреспонденции с использованием франкировальной машины, Заказчик в назначении платежа должен указать признак «франкирование».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случае использования для оплаты услуги по пересылке письменной корреспонденции знака онлайн оплаты (ЗОО), назначение платежа в платежном поручении должно соответствовать счету, сформированному в личном кабинете Заказчика на Официальном сайте Исполнителя.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оплаты услуги «Бокс-сервис», Заказчик в назначении платежа должен указать признак «бокс».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Денежные средства могут быть израсходованы исключительно в соответствии с назначением платежа, указанным Заказчиком. </w:t>
      </w:r>
      <w:r>
        <w:rPr>
          <w:szCs w:val="24"/>
        </w:rPr>
      </w:r>
      <w:r>
        <w:rPr>
          <w:szCs w:val="24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709" w:leader="none"/>
          <w:tab w:val="left" w:pos="1276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если сумма предоплаты превысит сумму оплаты, указанную в УПД или Акте за фактически оказанные в отчетном месяце услуги, разница зачисляется в счет предоплаты на следующий месяц.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709" w:leader="none"/>
          <w:tab w:val="left" w:pos="1276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если сумма предоплаты окажется меньше, чем сумма оплаты, указанная в УПД или Акте за фактически оказанные услуги в отчетном месяце, Заказчик перечисляет разницу на счет Исполнителя в течение 5 (пяти) рабочих дней с </w:t>
      </w:r>
      <w:r>
        <w:rPr>
          <w:rFonts w:ascii="Times New Roman" w:hAnsi="Times New Roman" w:eastAsia="Arial Unicode MS" w:cs="Times New Roman"/>
          <w:spacing w:val="-2"/>
          <w:sz w:val="24"/>
          <w:szCs w:val="20"/>
          <w:lang w:eastAsia="ru-RU"/>
        </w:rPr>
        <w:t xml:space="preserve">момента получения от Исполнителя счета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. ОПС Исполнителя вправе отказать Заказчику в оказании услуг, если на балансе Заказчика недостаточно денежных средств. Оказание услуг возобновляется при внесении Заказчиком достаточной для оказания услуг суммы денежных средств.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710" w:leader="none"/>
          <w:tab w:val="left" w:pos="1276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прекращения дейст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вия Договора, в том числе расторжения Договора по любой причине, Исполнитель обязан в течение 5 (пяти)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тоимости фактически оказанных услуг. В случае если сумма предоплаты окажется меньше, чем сумма фактически оказанных услуг, Заказчик обязан перечислить разницу на счет Исполнителя в течение 5 (пяти) рабочих дней со дня подписания акта сверки взаиморасчетов.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709" w:leader="none"/>
          <w:tab w:val="left" w:pos="1276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Общая стоимость услуг за весь срок действия Договора составляет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19500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(девятнадцать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тысяч пятьсот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  <w:t xml:space="preserve">) рублей 00 копеек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, включая НДС по ставке, определенной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709" w:leader="none"/>
          <w:tab w:val="left" w:pos="1276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Исполнитель выставляет Заказчику счет-фактуру в порядке и сроки, установленные законодательством Российской Федерации (при необходимости).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709" w:leader="none"/>
          <w:tab w:val="left" w:pos="1276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Датой оплаты следует считать дату зачисления денежных средств на расчетный счет Исполнителя.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709" w:leader="none"/>
          <w:tab w:val="left" w:pos="1276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За возвращение регистрируемых почтовых отправлений взимается плата по тарифу, действующему на день возврата почтовых отправлений.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709" w:leader="none"/>
          <w:tab w:val="left" w:pos="1276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Цена Договора является твердой, и определяется на весь срок исполнения Договора. Источник финансирования- федеральный бюджет.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2000" w:right="8" w:hanging="1290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70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Изменение существенных условий договора при его исполнении не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right="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200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допускается, за исключением их изменения по соглашению сторон, в случаях предусмотренных статьей 95 Федерального закона от 05.04.2013г №44-ФЗ «О контрактной системе в сфере закупок товаров, работ, услуг для обеспечения государственных и муниципальных нужд.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1"/>
        </w:numPr>
        <w:ind w:left="357" w:right="1388" w:firstLine="1486"/>
        <w:jc w:val="center"/>
        <w:spacing w:before="240" w:after="0" w:line="240" w:lineRule="auto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ОТВЕТСТВЕННОСТЬ СТОРОН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2127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нарушения условий Договора Стороны несут ответственность в соответствии с условиями Договора, Генеральными условиями и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2127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Порядок и размеры возмещения при утрате, повреждении почтовых отправлений, а также при нарушении контрольных сроков установлены в Генеральных условиях.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2127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случае просрочки своих обязательств одной из сторон договора другая сторона вправе потребовать уплату</w:t>
      </w:r>
      <w:r>
        <w:rPr>
          <w:rFonts w:ascii="Times New Roman" w:hAnsi="Times New Roman" w:cs="Times New Roman"/>
          <w:iCs/>
          <w:sz w:val="24"/>
          <w:szCs w:val="24"/>
        </w:rPr>
        <w:t xml:space="preserve"> неустойки в размере 1/300 ставки рефинансирования Центрального банка Российской Федерации от суммы неисполненного обязательства за каждый день просрочки, начиная со дня, следующего после дня истечения установленного договором срока исполнения обязательств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1"/>
        </w:numPr>
        <w:ind w:left="1843" w:right="1672" w:hanging="283"/>
        <w:jc w:val="center"/>
        <w:keepNext/>
        <w:spacing w:before="0" w:after="0" w:line="240" w:lineRule="auto"/>
        <w:tabs>
          <w:tab w:val="left" w:pos="0" w:leader="none"/>
          <w:tab w:val="clear" w:pos="708" w:leader="none"/>
          <w:tab w:val="left" w:pos="1560" w:leader="none"/>
          <w:tab w:val="left" w:pos="1843" w:leader="none"/>
          <w:tab w:val="left" w:pos="3544" w:leader="none"/>
          <w:tab w:val="left" w:pos="4395" w:leader="none"/>
          <w:tab w:val="left" w:pos="4536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ОБСТОЯТЕЛЬСТВА НЕПРЕОДОЛИМОЙ СИЛЫ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1048"/>
        <w:numPr>
          <w:ilvl w:val="1"/>
          <w:numId w:val="1"/>
        </w:numPr>
        <w:contextualSpacing/>
        <w:ind w:left="0" w:firstLine="710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843" w:leader="none"/>
        </w:tabs>
        <w:rPr>
          <w:rFonts w:ascii="Times New Roman" w:hAnsi="Times New Roman" w:eastAsia="Arial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  <w:t xml:space="preserve">Сторона освобождается от ответственности за неисполнение или ненадлежащее исполнение обязательств по Договору, </w:t>
      </w:r>
      <w:r>
        <w:rPr>
          <w:rFonts w:ascii="Times New Roman" w:hAnsi="Times New Roman" w:cs="Times New Roman"/>
          <w:sz w:val="24"/>
          <w:szCs w:val="24"/>
        </w:rPr>
        <w:t xml:space="preserve">если докажет, что неисполнение или ненадлежащее исполнение обязательства, предусмотренного Договором, произошло вследствие действия обстоятельств непреодолимой силы или по вине другой Стороны.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  <w:t xml:space="preserve"> Под обстоятельствами непреодолимой силы понимаются чрезвычайные и непредотвратимые при данных условиях обстоятельства, </w:t>
      </w:r>
      <w:r>
        <w:rPr>
          <w:rFonts w:ascii="Times New Roman" w:hAnsi="Times New Roman" w:cs="Times New Roman"/>
          <w:sz w:val="24"/>
          <w:szCs w:val="24"/>
        </w:rPr>
        <w:t xml:space="preserve">в том числе запретные действия властей, гражданские волнения, эпидемии, блокады, эмбарго, землетрясения, наводнения</w:t>
      </w:r>
      <w:r>
        <w:rPr>
          <w:rFonts w:ascii="Times New Roman" w:hAnsi="Times New Roman" w:cs="Times New Roman"/>
          <w:sz w:val="24"/>
          <w:szCs w:val="24"/>
        </w:rPr>
        <w:t xml:space="preserve">, пожары или другие стихийные бедствия, аварийные нарушения и сбои в электроснабжении, глобальные перебои в работе российских и международных сегментов сети «Интернет», сбои систем маршрутизации сети «Интернет», сбои в распределенной системе доменных имен.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</w:p>
    <w:p>
      <w:pPr>
        <w:pStyle w:val="1048"/>
        <w:numPr>
          <w:ilvl w:val="1"/>
          <w:numId w:val="1"/>
        </w:numPr>
        <w:contextualSpacing/>
        <w:ind w:left="0" w:firstLine="710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843" w:leader="none"/>
        </w:tabs>
        <w:rPr>
          <w:rFonts w:ascii="Times New Roman" w:hAnsi="Times New Roman" w:eastAsia="Arial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Сторона, для которой создалась невозможность исполнения обязательств </w:t>
        <w:br/>
        <w:t xml:space="preserve">по Договору вследствие действия обстоятельств непреодолимой силы, не позднее </w:t>
        <w:br/>
        <w:t xml:space="preserve">15 (пятнадцати) календарных дней с момента их наступления в письменной форме (эле</w:t>
      </w:r>
      <w:r>
        <w:rPr>
          <w:rFonts w:ascii="Times New Roman" w:hAnsi="Times New Roman" w:cs="Times New Roman"/>
          <w:sz w:val="24"/>
          <w:szCs w:val="24"/>
        </w:rPr>
        <w:t xml:space="preserve">ктронной почтой с последующим предоставлением оригинала документа) извещает другую Сторону с приложением документов, выданных уполномоченными органами или организациями, удостоверяющих факт наступления указанных обстоятельств. Неизвещение или несвоевременн</w:t>
      </w:r>
      <w:r>
        <w:rPr>
          <w:rFonts w:ascii="Times New Roman" w:hAnsi="Times New Roman" w:cs="Times New Roman"/>
          <w:sz w:val="24"/>
          <w:szCs w:val="24"/>
        </w:rPr>
        <w:t xml:space="preserve">ое извещение другой Стороны Стороной, для которой создалась невозможность исполнения обязательств по настоящему Договору вследствие наступления обстоятельств непреодолимой силы, влечет за собой утрату права для этой Стороны ссылаться на эти обстоятельства.</w:t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  <w:r>
        <w:rPr>
          <w:rFonts w:ascii="Times New Roman" w:hAnsi="Times New Roman" w:eastAsia="Arial" w:cs="Times New Roman"/>
          <w:sz w:val="24"/>
          <w:szCs w:val="24"/>
          <w:lang w:eastAsia="ar-SA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Сроки исполнения обязательств, в случае наступления обстоятельств непреодолимой силы, отодвигаются соразмерно времени, в течение которого действуют такие обстоятельства.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1"/>
        </w:numPr>
        <w:ind w:left="357" w:right="1105" w:firstLine="636"/>
        <w:jc w:val="center"/>
        <w:spacing w:before="0" w:after="0" w:line="240" w:lineRule="auto"/>
        <w:tabs>
          <w:tab w:val="left" w:pos="0" w:leader="none"/>
          <w:tab w:val="clear" w:pos="708" w:leader="none"/>
          <w:tab w:val="left" w:pos="141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ПОРЯДОК РАССМОТРЕНИЯ СПОРОВ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Претензионный порядок урегулирования споров для Сторон настоящего Договора обязателен. Рассмотрение претензий Заказчика осуществляется в соответствии со ст. 37 Федерального закона от 17.07.1999 № 176-ФЗ «О почтовой связи» и Генеральными условиями.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Порядок претензионной работы между Исполнителем и Заказчиком осуществляется в соответствии с пунктом 20.2. Генеральных условий. Претензии направляются в форме электронной копии на электронный адрес Исполнителя.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Споры, не урегулированные в досудебном претензионном порядке, передаются на рассмотрение Арбитражном судей Саратовской области</w:t>
      </w:r>
      <w:r>
        <w:rPr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8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76"/>
        <w:numPr>
          <w:ilvl w:val="0"/>
          <w:numId w:val="1"/>
        </w:numPr>
        <w:ind w:left="357" w:right="1955" w:firstLine="1203"/>
        <w:jc w:val="center"/>
        <w:spacing w:before="0" w:after="0" w:line="240" w:lineRule="auto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СРОК ДЕЙСТВИЯ ДОГОВОРА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астоящий договор</w:t>
      </w:r>
      <w:r>
        <w:rPr>
          <w:rFonts w:ascii="Times New Roman" w:hAnsi="Times New Roman" w:cs="Times New Roman"/>
          <w:sz w:val="24"/>
          <w:szCs w:val="24"/>
        </w:rPr>
        <w:t xml:space="preserve"> вст</w:t>
      </w:r>
      <w:r>
        <w:rPr>
          <w:rFonts w:ascii="Times New Roman" w:hAnsi="Times New Roman" w:cs="Times New Roman"/>
          <w:sz w:val="24"/>
          <w:szCs w:val="24"/>
        </w:rPr>
        <w:t xml:space="preserve">упает в силу с момента подписания и действует по </w:t>
      </w:r>
      <w:r>
        <w:rPr>
          <w:rFonts w:ascii="Times New Roman" w:hAnsi="Times New Roman" w:cs="Times New Roman"/>
          <w:sz w:val="24"/>
          <w:szCs w:val="24"/>
        </w:rPr>
        <w:t xml:space="preserve">31 августа </w:t>
      </w:r>
      <w:r>
        <w:rPr>
          <w:rFonts w:ascii="Times New Roman" w:hAnsi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 г., а в части опл</w:t>
      </w:r>
      <w:r>
        <w:rPr>
          <w:rFonts w:ascii="Times New Roman" w:hAnsi="Times New Roman" w:cs="Times New Roman"/>
          <w:sz w:val="24"/>
          <w:szCs w:val="24"/>
        </w:rPr>
        <w:t xml:space="preserve">аты Услуг до выполнения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обязательств. </w:t>
      </w:r>
      <w:r>
        <w:rPr>
          <w:rFonts w:ascii="Times New Roman" w:hAnsi="Times New Roman" w:cs="Times New Roman"/>
          <w:sz w:val="24"/>
          <w:szCs w:val="24"/>
        </w:rPr>
        <w:t xml:space="preserve">Условия настоящего договора распространяются на отношения Сторон, возникшие с </w:t>
      </w:r>
      <w:r>
        <w:rPr>
          <w:rFonts w:ascii="Times New Roman" w:hAnsi="Times New Roman" w:cs="Times New Roman"/>
          <w:sz w:val="24"/>
          <w:szCs w:val="24"/>
        </w:rPr>
        <w:t xml:space="preserve">01 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>
        <w:rPr>
          <w:rFonts w:ascii="Times New Roman" w:hAnsi="Times New Roman" w:cs="Times New Roman"/>
          <w:sz w:val="24"/>
          <w:szCs w:val="24"/>
        </w:rPr>
        <w:t xml:space="preserve">202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Любые изменения и дополнения к Договору действительны при условии, если они совершены в письменной форме и подписаны Сторонами.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Стороны вправе в одностороннем внесудебном порядке отказаться от исполнения Договора при усл</w:t>
      </w:r>
      <w:r>
        <w:rPr>
          <w:rFonts w:ascii="Times New Roman" w:hAnsi="Times New Roman" w:cs="Times New Roman"/>
          <w:sz w:val="24"/>
          <w:szCs w:val="24"/>
        </w:rPr>
        <w:t xml:space="preserve">овии, если такой отказ от исполнения Договора не будет противоречить нормам гражданского законодательства и законодательства в сфере оказания услуг почтовой связи. Сторона, принявшая решение отказаться от исполнения Договора, направляет письменное уведомле</w:t>
      </w:r>
      <w:r>
        <w:rPr>
          <w:rFonts w:ascii="Times New Roman" w:hAnsi="Times New Roman" w:cs="Times New Roman"/>
          <w:sz w:val="24"/>
          <w:szCs w:val="24"/>
        </w:rPr>
        <w:t xml:space="preserve">ние другой Стороне по почтовому адресу, указанному в разделе 12 Договора. В этом случае Договор будет считаться прекращенным по истечении 10 (десяти) календарных дней с даты получения Стороной от другой Стороны уведомления об отказе от исполнения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1418" w:leader="none"/>
          <w:tab w:val="left" w:pos="1843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Отказ от исполнения Договора не освобождает Стороны от обязательств по исполнению своих задолженностей по Договору, возникших до отказа от исполнения Договора.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1"/>
        </w:numPr>
        <w:ind w:left="357" w:right="1388" w:firstLine="1061"/>
        <w:jc w:val="center"/>
        <w:spacing w:before="0" w:after="0" w:line="240" w:lineRule="auto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ПЕРСОНАЛЬНЫЕ ДАННЫЕ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1048"/>
        <w:numPr>
          <w:ilvl w:val="1"/>
          <w:numId w:val="1"/>
        </w:numPr>
        <w:contextualSpacing/>
        <w:ind w:left="0" w:firstLine="710"/>
        <w:jc w:val="both"/>
        <w:spacing w:before="0" w:after="0" w:line="240" w:lineRule="auto"/>
        <w:tabs>
          <w:tab w:val="clear" w:pos="708" w:leader="none"/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Стороны обязуются соблюдать требования Федерального закона от 27.07.2006 № 152-ФЗ «О персональных данных»,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в случае, если для исполнения Договора у Сторон возникает обязательство по обработке персональных данных физических лиц (субъектов персональных данных),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при этом каждая из Сторон обязана обеспечить конфиденциальность указанных данных и безопасность при их обработке в соответствии с требованиями, установленными законодательством РФ.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pStyle w:val="1048"/>
        <w:numPr>
          <w:ilvl w:val="1"/>
          <w:numId w:val="1"/>
        </w:numPr>
        <w:contextualSpacing/>
        <w:ind w:left="0" w:firstLine="710"/>
        <w:jc w:val="both"/>
        <w:spacing w:before="0" w:after="0" w:line="240" w:lineRule="auto"/>
        <w:tabs>
          <w:tab w:val="clear" w:pos="708" w:leader="none"/>
          <w:tab w:val="left" w:pos="1276" w:leader="none"/>
          <w:tab w:val="left" w:pos="2425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При необходимости обработки персональных данных физических лиц (субъектов персональных данных)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 связи с исполнением Договора (за исключением случаев обработк</w:t>
      </w:r>
      <w:r>
        <w:rPr>
          <w:rFonts w:ascii="Times New Roman" w:hAnsi="Times New Roman" w:eastAsia="Calibri" w:cs="Times New Roman"/>
          <w:sz w:val="24"/>
          <w:szCs w:val="24"/>
        </w:rPr>
        <w:t xml:space="preserve">и персональных данных физических лиц и/или их представителей, необходимых для целей оказания услуг почтовой связи), Заказчик, передавая их Исполнителю, поручает Исполнителю их обработку в объемах и способами, определенными в поручении. Поручением Заказчика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 обработку персональных данных является приложение №</w:t>
      </w:r>
      <w:r>
        <w:rPr>
          <w:szCs w:val="24"/>
        </w:rPr>
        <w:t xml:space="preserve"> 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 к Договору</w:t>
      </w:r>
      <w:r>
        <w:rPr>
          <w:rFonts w:ascii="Times New Roman" w:hAnsi="Times New Roman" w:eastAsia="Calibri" w:cs="Times New Roman"/>
          <w:sz w:val="24"/>
          <w:szCs w:val="24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pStyle w:val="1048"/>
        <w:numPr>
          <w:ilvl w:val="1"/>
          <w:numId w:val="1"/>
        </w:numPr>
        <w:contextualSpacing/>
        <w:ind w:left="0" w:firstLine="710"/>
        <w:jc w:val="both"/>
        <w:spacing w:before="0" w:after="0" w:line="240" w:lineRule="auto"/>
        <w:tabs>
          <w:tab w:val="clear" w:pos="708" w:leader="none"/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Заказчик заверяет и гарантирует, что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им получено </w:t>
      </w:r>
      <w:r>
        <w:rPr>
          <w:rFonts w:ascii="Times New Roman" w:hAnsi="Times New Roman" w:eastAsia="Calibri" w:cs="Times New Roman"/>
          <w:sz w:val="24"/>
          <w:szCs w:val="24"/>
        </w:rPr>
        <w:t xml:space="preserve">предварительное согласие субъектов персональных данных на обработку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Исполнителем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 той мере, в какой оно необходимо в силу применимого законодательства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, форма и содержание такого согласия соответствует требованиям законодательства Российской Федерации, в том числе Федерального закона от 27.07.2006 № 152-ФЗ «О персональных данных». </w:t>
      </w:r>
      <w:r>
        <w:rPr>
          <w:rFonts w:ascii="Times New Roman" w:hAnsi="Times New Roman" w:eastAsia="Calibri" w:cs="Times New Roman"/>
          <w:sz w:val="24"/>
          <w:szCs w:val="24"/>
        </w:rPr>
        <w:t xml:space="preserve">Заказчик самостоятельно рассматривает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 разрешает обращения и требования соответствующих субъектов. Заказчик обязуется освободить Исполнителя от какой-либо ответственности, которую он может понести, правомерно обрабатывая персональные данные по поручению Заказчика в соответствии с Договором.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В случае предъявления физическими лицами любых претензий, связанных с нарушением установленного законодательством порядка сбора, хранения или использования персональных данных, Заказчик обязуется урегулировать такие претензии своими силами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и за свой счет. В случае если такие претензии приведут к убыткам Исполнителя, включая выплату административных штрафов, наложенных государственными органами, Заказчик обязуется компенсировать Исполнителю документально подтвержденные убытки в полном объеме.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pStyle w:val="1048"/>
        <w:numPr>
          <w:ilvl w:val="1"/>
          <w:numId w:val="1"/>
        </w:numPr>
        <w:contextualSpacing/>
        <w:ind w:left="0" w:firstLine="710"/>
        <w:jc w:val="both"/>
        <w:spacing w:before="0" w:after="0" w:line="240" w:lineRule="auto"/>
        <w:tabs>
          <w:tab w:val="clear" w:pos="708" w:leader="none"/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Исполнитель обязуется принимать технические, организационные и юридические меры, направленные на защиту персональных данных от их компрометации путем их несанкционированного раскрытия или распространения. Состав мер принимаемых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Исполнителем</w:t>
      </w:r>
      <w:r>
        <w:rPr>
          <w:rFonts w:ascii="Times New Roman" w:hAnsi="Times New Roman" w:eastAsia="Calibri" w:cs="Times New Roman"/>
          <w:sz w:val="24"/>
          <w:szCs w:val="24"/>
        </w:rPr>
        <w:t xml:space="preserve">, определяется внутренними политиками и процедурами Исполнителя.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pStyle w:val="1048"/>
        <w:numPr>
          <w:ilvl w:val="1"/>
          <w:numId w:val="1"/>
        </w:numPr>
        <w:contextualSpacing/>
        <w:ind w:left="0" w:firstLine="710"/>
        <w:jc w:val="both"/>
        <w:spacing w:before="0" w:after="0" w:line="240" w:lineRule="auto"/>
        <w:tabs>
          <w:tab w:val="clear" w:pos="708" w:leader="none"/>
          <w:tab w:val="left" w:pos="1276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Персональные данн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ые считаются переданными Заказчиком Исполнителю для целей выполнения его обязательств по Договору с момента их получения Исполнителем от Заказчика посредством используемой Сторонами ИС, системы электронного документооборота или в бумажной письменной форме.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pStyle w:val="1048"/>
        <w:numPr>
          <w:ilvl w:val="0"/>
          <w:numId w:val="1"/>
        </w:numPr>
        <w:contextualSpacing/>
        <w:ind w:left="2000" w:right="1388" w:hanging="440"/>
        <w:jc w:val="center"/>
        <w:spacing w:before="0" w:after="0" w:line="240" w:lineRule="auto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ПРОЧИЕ УСЛОВИЯ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Договор составлен в 2 (двух) экземплярах, имеющих равную юридическую силу, по одному экземпляру для каждой Стороны.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Договора конфиденциальной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информации о другой Стороне или ее деятельности. Для целей Договора под конфиденциальной понимается любая информация о Стороне или ее деятельности, которая не является по своему характеру общедоступной. В случае нарушения Сторонами условий конфиденциальнос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ти, в результате чего одной из Сторон будет причинен документально подтвержденный реальный ущерб, другая Сторона обязуется возместить такой ущерб. Не является конфиденциальной информация о наличии и характере указанных в Договоре отношений между Сторонами.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одна из Сторон изменит свои почтовые, контактные и/или платежные реквизиты или подвергнется процедуре реорганизации, ликвидации, прекращения деятельности она обязана письменно информировать об этом другую Сто</w:t>
      </w:r>
      <w:r>
        <w:rPr>
          <w:rFonts w:ascii="Times New Roman" w:hAnsi="Times New Roman" w:cs="Times New Roman"/>
          <w:sz w:val="24"/>
          <w:szCs w:val="24"/>
        </w:rPr>
        <w:t xml:space="preserve">рону в течение 1 (одного) рабочего дня с даты принятия соответствующего решения. Убытки одной </w:t>
        <w:br/>
        <w:t xml:space="preserve">из Сторон, связанные с неисполнением другой Стороной обязанности, предусмотренной настоящим пунктом, обязана компенсировать Сторона, допустившая такое нарушение.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1"/>
          <w:numId w:val="1"/>
        </w:numPr>
        <w:ind w:left="0" w:right="8" w:firstLine="709"/>
        <w:jc w:val="both"/>
        <w:spacing w:before="0" w:after="0" w:line="240" w:lineRule="auto"/>
        <w:tabs>
          <w:tab w:val="clear" w:pos="708" w:leader="none"/>
          <w:tab w:val="left" w:pos="1418" w:leader="none"/>
          <w:tab w:val="left" w:pos="226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Стороны определили следующий порядок обмена документами или юридически значимыми сообщениями: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2"/>
        </w:numPr>
        <w:ind w:left="0" w:firstLine="709"/>
        <w:jc w:val="both"/>
        <w:spacing w:before="0" w:after="0" w:line="240" w:lineRule="auto"/>
        <w:tabs>
          <w:tab w:val="clear" w:pos="708" w:leader="none"/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нарочно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2"/>
        </w:numPr>
        <w:ind w:left="0" w:firstLine="709"/>
        <w:jc w:val="both"/>
        <w:spacing w:before="0" w:after="0" w:line="240" w:lineRule="auto"/>
        <w:tabs>
          <w:tab w:val="clear" w:pos="708" w:leader="none"/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письмом с объявленной ценностью;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2"/>
        </w:numPr>
        <w:ind w:left="0" w:firstLine="709"/>
        <w:jc w:val="both"/>
        <w:spacing w:before="0" w:after="0" w:line="240" w:lineRule="auto"/>
        <w:tabs>
          <w:tab w:val="clear" w:pos="708" w:leader="none"/>
          <w:tab w:val="left" w:pos="85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электронной почтой, с последующим направлением сообщения письмом с объявленной ценностью;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2"/>
        </w:numPr>
        <w:ind w:left="0" w:firstLine="709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электронном виде с использованием телекоммуникационных каналов связи, при наличии взаимного согласия Сторон и совместных технических средств и возможностей для приемки и обработки.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1060"/>
        <w:ind w:firstLine="709"/>
        <w:jc w:val="both"/>
        <w:spacing w:before="0" w:beforeAutospacing="0" w:after="0" w:afterAutospacing="0"/>
      </w:pPr>
      <w:r>
        <w:t xml:space="preserve">Авторизированные адреса электронной почты Сторон указаны в приложении № 2 к Договору.</w:t>
      </w:r>
      <w:r/>
    </w:p>
    <w:p>
      <w:pPr>
        <w:pStyle w:val="1048"/>
        <w:numPr>
          <w:ilvl w:val="1"/>
          <w:numId w:val="1"/>
        </w:numPr>
        <w:contextualSpacing/>
        <w:ind w:left="0" w:firstLine="710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иное не предусмотрено законом, все юридически значимые сообщения </w:t>
        <w:br/>
        <w:t xml:space="preserve">по Договору влекут для получающей их Стороны наступление гражданско-правовых последствий с даты доставки со</w:t>
      </w:r>
      <w:r>
        <w:rPr>
          <w:rFonts w:ascii="Times New Roman" w:hAnsi="Times New Roman" w:cs="Times New Roman"/>
          <w:sz w:val="24"/>
          <w:szCs w:val="24"/>
        </w:rPr>
        <w:t xml:space="preserve">ответствующего сообщения ей или её представителю. 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1048"/>
        <w:numPr>
          <w:ilvl w:val="1"/>
          <w:numId w:val="1"/>
        </w:numPr>
        <w:contextualSpacing/>
        <w:ind w:left="0" w:firstLine="710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подписания Сторонами Договора все предварительные переговоры по нему, переписка, иные соглашения считаются утратившими юридическую силу.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1048"/>
        <w:contextualSpacing/>
        <w:ind w:left="0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1048"/>
        <w:contextualSpacing/>
        <w:ind w:left="0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1048"/>
        <w:contextualSpacing/>
        <w:ind w:left="0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1048"/>
        <w:contextualSpacing/>
        <w:ind w:left="0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1048"/>
        <w:contextualSpacing/>
        <w:ind w:left="0"/>
        <w:jc w:val="both"/>
        <w:spacing w:before="0" w:after="0" w:line="240" w:lineRule="auto"/>
        <w:tabs>
          <w:tab w:val="clear" w:pos="708" w:leader="none"/>
          <w:tab w:val="left" w:pos="851" w:leader="none"/>
          <w:tab w:val="left" w:pos="141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numPr>
          <w:ilvl w:val="0"/>
          <w:numId w:val="1"/>
        </w:numPr>
        <w:ind w:left="357" w:firstLine="1203"/>
        <w:jc w:val="center"/>
        <w:spacing w:before="240" w:after="120" w:line="240" w:lineRule="auto"/>
        <w:tabs>
          <w:tab w:val="left" w:pos="0" w:leader="none"/>
          <w:tab w:val="clear" w:pos="708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АДРЕСА И БАНКОВСКИЕ РЕКВИЗИТЫ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1000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787"/>
        <w:gridCol w:w="5220"/>
      </w:tblGrid>
      <w:tr>
        <w:tblPrEx/>
        <w:trPr>
          <w:trHeight w:val="90"/>
        </w:trPr>
        <w:tc>
          <w:tcPr>
            <w:tcW w:w="4787" w:type="dxa"/>
            <w:textDirection w:val="lrTb"/>
            <w:noWrap w:val="false"/>
          </w:tcPr>
          <w:p>
            <w:pPr>
              <w:pStyle w:val="976"/>
              <w:spacing w:before="0" w:after="0" w:line="252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5220" w:type="dxa"/>
            <w:textDirection w:val="lrTb"/>
            <w:noWrap w:val="false"/>
          </w:tcPr>
          <w:p>
            <w:pPr>
              <w:pStyle w:val="976"/>
              <w:spacing w:before="0" w:after="0" w:line="252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4787" w:type="dxa"/>
            <w:textDirection w:val="lrTb"/>
            <w:noWrap w:val="false"/>
          </w:tcPr>
          <w:p>
            <w:pPr>
              <w:pStyle w:val="976"/>
              <w:spacing w:before="0" w:after="0" w:line="252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20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Волжское МТУ по надзору за ЯРБ Ростехнадзора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6439010461/643901001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адрес: 413864, г. Балаково, Саратовской обл. ул. 30 лет Победы , 57 А.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Почтовый адрес: 413864, г. Балаково-24, а/я 19.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ОГРН 1026401399782, ОКПО 36160601 ОКТМО 63607101001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Получатель: УФК по Саратовской области (Волжское МТУ по надзору за ЯРБ Ростехнадзора л.сч. 03601078870)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Номер казначейского счета: 03211643000000013247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Банка: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ОКЦ №1 ВВГУ Банка России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//УФК по Нижегородской области, г.Нижний Новгород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976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Единый казначейский счет: 40102810745370000024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БИК: 012202102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Эл. почта: vmtufo@vol-nrs.gosnadzor.gov.ru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vol-nrs@gosnadzor.ru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widowControl w:val="off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 (8453) 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05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-98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0" w:line="252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976"/>
        <w:ind w:right="1275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Style w:val="976"/>
        <w:numPr>
          <w:ilvl w:val="0"/>
          <w:numId w:val="1"/>
        </w:numPr>
        <w:ind w:left="357" w:right="1275" w:firstLine="494"/>
        <w:jc w:val="center"/>
        <w:spacing w:before="240" w:after="120" w:line="240" w:lineRule="auto"/>
        <w:tabs>
          <w:tab w:val="left" w:pos="0" w:leader="none"/>
          <w:tab w:val="clear" w:pos="708" w:leader="none"/>
          <w:tab w:val="left" w:pos="2694" w:leader="none"/>
        </w:tabs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ПРИЛОЖЕНИЯ К ДОГОВОРУ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W w:w="9592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544"/>
        <w:gridCol w:w="2977"/>
        <w:gridCol w:w="6071"/>
      </w:tblGrid>
      <w:tr>
        <w:tblPrEx/>
        <w:trPr>
          <w:trHeight w:val="76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4" w:type="dxa"/>
            <w:vAlign w:val="center"/>
            <w:textDirection w:val="lrTb"/>
            <w:noWrap w:val="false"/>
          </w:tcPr>
          <w:p>
            <w:pPr>
              <w:pStyle w:val="976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pStyle w:val="976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Номер приложения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1" w:type="dxa"/>
            <w:vAlign w:val="center"/>
            <w:textDirection w:val="lrTb"/>
            <w:noWrap w:val="false"/>
          </w:tcPr>
          <w:p>
            <w:pPr>
              <w:pStyle w:val="976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 приложения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4" w:type="dxa"/>
            <w:textDirection w:val="lrTb"/>
            <w:noWrap w:val="false"/>
          </w:tcPr>
          <w:p>
            <w:pPr>
              <w:pStyle w:val="976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976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Приложение № 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1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Условия оказания услуг;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4" w:type="dxa"/>
            <w:textDirection w:val="lrTb"/>
            <w:noWrap w:val="false"/>
          </w:tcPr>
          <w:p>
            <w:pPr>
              <w:pStyle w:val="976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976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Приложение № 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1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Адреса мест сдачи и мест возврата почтовых отправлений;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4" w:type="dxa"/>
            <w:textDirection w:val="lrTb"/>
            <w:noWrap w:val="false"/>
          </w:tcPr>
          <w:p>
            <w:pPr>
              <w:pStyle w:val="976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pStyle w:val="976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Приложение № 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71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Поручение на обработку персональных данных.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976"/>
        <w:ind w:right="-58"/>
        <w:jc w:val="both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8505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176"/>
        <w:gridCol w:w="4328"/>
      </w:tblGrid>
      <w:tr>
        <w:tblPrEx/>
        <w:trPr>
          <w:trHeight w:val="310"/>
        </w:trPr>
        <w:tc>
          <w:tcPr>
            <w:tcW w:w="4176" w:type="dxa"/>
            <w:textDirection w:val="lrTb"/>
            <w:noWrap w:val="false"/>
          </w:tcPr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328" w:type="dxa"/>
            <w:textDirection w:val="lrTb"/>
            <w:noWrap w:val="false"/>
          </w:tcPr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Руководитель Волжского МТУ по надзору за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ЯРБ Ростехнадзора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626"/>
        </w:trPr>
        <w:tc>
          <w:tcPr>
            <w:tcW w:w="4176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__________________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328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widowControl w:val="off"/>
              <w:tabs>
                <w:tab w:val="clear" w:pos="708" w:leader="none"/>
                <w:tab w:val="left" w:pos="1334" w:leader="none"/>
              </w:tabs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0" w:line="240" w:lineRule="auto"/>
              <w:widowControl w:val="off"/>
              <w:tabs>
                <w:tab w:val="clear" w:pos="708" w:leader="none"/>
                <w:tab w:val="left" w:pos="1334" w:leader="none"/>
              </w:tabs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Е.А. Миронов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305"/>
        </w:trPr>
        <w:tc>
          <w:tcPr>
            <w:tcW w:w="4176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«___» ______________ 2026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328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«___» ______________ 2026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976"/>
        <w:ind w:left="6237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headerReference w:type="default" r:id="rId9"/>
          <w:footerReference w:type="default" r:id="rId14"/>
          <w:footnotePr>
            <w:numFmt w:val="decimal"/>
          </w:footnotePr>
          <w:endnotePr/>
          <w:type w:val="nextPage"/>
          <w:pgSz w:w="11906" w:h="16838" w:orient="portrait"/>
          <w:pgMar w:top="765" w:right="850" w:bottom="993" w:left="1701" w:header="708" w:footer="708" w:gutter="0"/>
          <w:cols w:num="1" w:sep="0" w:space="1701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left="5387" w:right="849"/>
        <w:spacing w:before="0" w:after="0" w:line="240" w:lineRule="auto"/>
        <w:tabs>
          <w:tab w:val="clear" w:pos="708" w:leader="none"/>
          <w:tab w:val="left" w:pos="8931" w:leader="none"/>
        </w:tabs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№ 1 к Договору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 оказание услуг почтовой связи, дополнительных и иных услуг 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pStyle w:val="976"/>
        <w:ind w:right="991"/>
        <w:jc w:val="center"/>
        <w:spacing w:before="0" w:after="0" w:line="240" w:lineRule="auto"/>
        <w:tabs>
          <w:tab w:val="clear" w:pos="708" w:leader="none"/>
          <w:tab w:val="left" w:pos="6096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«__» ________ 2026г.   №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ind w:left="36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УСЛОВИЯ ОКАЗАНИЯ УСЛУГ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pStyle w:val="976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к договору от _________________________ № ______________ (далее – Договор)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ind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sz w:val="12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12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2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12"/>
          <w:szCs w:val="24"/>
          <w:lang w:eastAsia="ru-RU"/>
        </w:rPr>
      </w:r>
    </w:p>
    <w:tbl>
      <w:tblPr>
        <w:tblW w:w="10755" w:type="dxa"/>
        <w:tblInd w:w="-45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10755"/>
      </w:tblGrid>
      <w:tr>
        <w:tblPrEx/>
        <w:trPr>
          <w:trHeight w:val="259"/>
        </w:trPr>
        <w:tc>
          <w:tcPr>
            <w:tcW w:w="10755" w:type="dxa"/>
            <w:textDirection w:val="lrTb"/>
            <w:noWrap w:val="false"/>
          </w:tcPr>
          <w:p>
            <w:pPr>
              <w:pStyle w:val="976"/>
              <w:ind w:firstLine="743"/>
              <w:jc w:val="both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Стороны договорились о применении следующих существенных условий для оказания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 почтовой связи, дополнительных и иных услуг.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76"/>
              <w:ind w:firstLine="743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Отчетным документом в рамках оказания услуг по настоящему Договору является ______________.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Перечень услуг, оказываемых Исполнителем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tbl>
            <w:tblPr>
              <w:tblW w:w="9521" w:type="dxa"/>
              <w:tblInd w:w="0" w:type="dxa"/>
              <w:tblLayout w:type="fixed"/>
              <w:tblCellMar>
                <w:left w:w="57" w:type="dxa"/>
                <w:top w:w="0" w:type="dxa"/>
                <w:right w:w="57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568"/>
              <w:gridCol w:w="2857"/>
              <w:gridCol w:w="4821"/>
              <w:gridCol w:w="1274"/>
            </w:tblGrid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  <w:t xml:space="preserve">№ </w:t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  <w:t xml:space="preserve">п/п</w:t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  <w:t xml:space="preserve">Номер услуги согласно ЕКУ</w:t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  <w:t xml:space="preserve">Перечень оказываемых услуг</w:t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ind w:left="33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  <w:t xml:space="preserve">Отметка об оказании услуги</w:t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  <w:t xml:space="preserve">1</w:t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  <w:t xml:space="preserve">2</w:t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  <w:t xml:space="preserve">3</w:t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  <w:t xml:space="preserve">УСЛУГИ ПОЧТОВОЙ СВЯЗИ</w:t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16"/>
                      <w:szCs w:val="16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1010101 - Бандероль заказная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1010103 - Бандероль простая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1010102 - Бандероль с объявленной ценностью внутренняя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1010701 - Письма заказные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1010703 - Письма простые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1010702 - Письмо с объявленной ценностью внутреннее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1010301</w:t>
                    <w:tab/>
                    <w:t xml:space="preserve"> - Карточка простая внутренняя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1010302 - Карточка заказная внутренняя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прием, обработка, перевозка и доставка внутренней письменной корреспонденции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val="en-US" w:eastAsia="ru-RU"/>
                    </w:rPr>
                    <w:t xml:space="preserve">V</w:t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val="en-US"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val="en-US"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2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1010201 - Бандероль 1 класса заказная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1010202 - Бандероль 1 класса с объявленной ценностью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1010802 - Письмо 1 класса заказное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1010803 - Письмо 1 класса с объявленной ценностью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1010804 - Внутригородское почтовое отправление 1-го класса простое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1010806 - Внутригородское почтовое отправление 1-го класса заказное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прием, обработка, перевозка и доставка внутренних почтовых отправлений «Отправления 1-го класса»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  <w:t xml:space="preserve">V</w:t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3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1010303 - Трек-открытка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1010706 - Трек-письмо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прием, обработка, перевозка и доставка внутренних почтовых отправлений «Трек-открытка» и «Трек-письмо»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1020101</w:t>
                    <w:tab/>
                    <w:t xml:space="preserve"> - Бандероль заказная международная (исходящая)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1020103 - Бандероль простая международная (исходящая)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1020201 - Карточка простая международная (исходящая)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1020203</w:t>
                    <w:tab/>
                    <w:t xml:space="preserve"> - Карточка заказная международная (исходящая)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1020601</w:t>
                    <w:tab/>
                    <w:t xml:space="preserve"> - Письмо простое международное (исходящее)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1020603 -Письмо заказное международное (исходящее)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прием, обработка, перевозка и доставка международной письменной корреспонденции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  <w:t xml:space="preserve">V</w:t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5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1010104</w:t>
                    <w:tab/>
                    <w:t xml:space="preserve"> - Бандероль-комплект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прием, обработка, перевозка и доставка внутренних почтовых отправлений «Бандероль-комплект»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6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1010401</w:t>
                    <w:tab/>
                    <w:t xml:space="preserve"> - Карточка ОВПО простая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1010402 - Карточка ОВПО заказная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1010901</w:t>
                    <w:tab/>
                    <w:t xml:space="preserve"> - Письмо ОВПО простое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1010902 - Письмо ОВПО заказное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организация изготовления и доставка, прием, обработка, пересылка, доставка и вручение ответных внутренних почтовых отправлений (ОВПО)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  <w:t xml:space="preserve">ДОПОЛНИТЕЛЬНЫЕ УСЛУГИ</w:t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1090201</w:t>
                    <w:tab/>
                    <w:t xml:space="preserve"> - Простое уведомление о вручении внутреннего РПО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1090202 - Заказное уведомление о вручении внутреннего  РПО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пересылка уведомления о вручении внутреннего регистрируемого почтового отправления (простые, заказные)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  <w:t xml:space="preserve">V</w:t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2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1090203</w:t>
                    <w:tab/>
                    <w:t xml:space="preserve"> - Простое уведомление о получении международного почтового отправления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пересылка уведомления о получении международного регистрируемого почтового отправления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  <w:t xml:space="preserve">V</w:t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3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1090401</w:t>
                    <w:tab/>
                    <w:t xml:space="preserve"> - Проверка соответствия вложения почтового отправления описи вложения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проверка соответствия вложения почтового отправления описи вложения (за 1 почтовое отправление)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  <w:t xml:space="preserve">V</w:t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1090207</w:t>
                    <w:tab/>
                    <w:t xml:space="preserve"> - Электронное уведомление о вручении внутреннего РПО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электронное уведомление о вручении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5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1090403</w:t>
                    <w:tab/>
                    <w:t xml:space="preserve"> - Нанесение адреса (для внутреннего почтового отправления)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1090404 - Нанесение адреса (для международного почтового отправления)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нанесение адреса на письменной корреспонденции при приеме партионной почты оператором ОПС (за 1 почтовое отправление)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6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1090406 - Составление списка ф. 103 на партионные почтовые отправления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составление списка ф. 103 на партионные почтовые отправления за 1 почтовое отправление (строку)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7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1090502</w:t>
                    <w:tab/>
                    <w:t xml:space="preserve"> - Прием на хранение долгосрочных доверенностей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прием на хранение долгосрочных доверенностей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1090709 - Наклеивание ярлыков и стикеров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наклейка стикера адресного или с оттиском ГЗПО при приеме партионной почты на 1 почтовое отправление (кроме посылок)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9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1090704 - Нанесение оттиска франкировальной машины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франкирование письменной корреспонденции с нанесением оттиска ГЗПО на 1 почтовое отправление или стикер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  <w:t xml:space="preserve">V</w:t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1011401</w:t>
                    <w:tab/>
                    <w:t xml:space="preserve"> - Директ-мейл Стандарт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предоставление отчета о недоставленных отправлениях Директ-Мейл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11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1011402 - Директ-мейл Региональный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формирование упаковок с отправлениями «Директ-мейл Региональный»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12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1090806</w:t>
                    <w:tab/>
                    <w:t xml:space="preserve"> - Прием и ответственное хранение досрочного привоза почтовых отправлений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ответственное хранение досрочного привоза письменной корреспонденции в ОПС для корпоративных клиентов (за 1 паллету в сутки)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13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1090204 - SMS-уведомление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SMS-уведомление о поступлении внутреннего регистрируемого почтового отправления в ОПС / о вручении внутреннего регистрируемого почтового отправления адресату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>
                <w:trHeight w:val="417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14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1090405 - Оформление бланков к почтовым отправлениям и иным почтовым услугам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оформление бланков к письменной корреспонденции, включая бланки уведомлений о вручении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15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1090705</w:t>
                    <w:tab/>
                    <w:t xml:space="preserve"> - Конвертование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конвертование письменной корреспонденции при партионном  приеме (без стоимости конверта)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  <w:t xml:space="preserve">1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6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1090702 - Упаковка вложения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упаковка письменной корреспонденции при приеме партионной почты оператором ОПС (за 1 почтовое отправление без стоимости упаковочного материала)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17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1090904</w:t>
                    <w:tab/>
                    <w:t xml:space="preserve"> - Хранение РПО в ОПС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хранение и получение в ОПС почтовых отправлений и ППИ (в соответствии с заявлением /распоряжением)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18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1090102 - Переадресация почтовых отправлений по заявлению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оформление переадресации письменной корреспонденции по-другому адресу и другому лицу/по тому же адресу и другому лицу (по заявлению/ распоряжению)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19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1090902 - Возврат РПО (кроме посылок)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выдача невостребованного почтового отправления по заявлению (распоряжению)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20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1090902 - Возврат РПО (кроме посылок)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Возврат, отправка по новому адресу регистрируемой письменной корреспонденции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21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1090701 - Наклеивание марок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Наклеивание марок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22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1090924  Продление срока хранения почтовых отправлений по заявлению (письменная корреспонденция)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Продление срока хранения почтовых отправлений по заявлению (письменная корреспонденция) сверх установленного нормативной документацией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23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1090102 Переадресация почтовых отправлений по заявлению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Направление почтовых отправлений по другому адресу по заявлению – распоряжению отправителя или получателя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val="en-US" w:eastAsia="ru-RU"/>
                    </w:rPr>
                    <w:t xml:space="preserve">2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Заполнение и печать электронной таможенной декларации оператором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  <w:t xml:space="preserve">ИНЫЕ УСЛУГИ И ОПЦИИ</w:t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1090105 - Забор, выдача почты от клиента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1090704 - Нанесение оттиска франкировальной машины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1090406 - Составление списка ф. 103 на партионные почтовые отправления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Комплексный сервис 3-в-1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2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3040200 - Распространение рекламно-информационных материалов почтальонами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распространение рекламно-информационных материалов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3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3040100 - Размещение рекламно-информационных материалов в ОПС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размещение рекламно-информационных материалов в отделениях почтовой связи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4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1011401</w:t>
                    <w:tab/>
                    <w:t xml:space="preserve"> - Директ-мейл Стандарт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Директ-мейл Стандарт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5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3090500 - Услуга по идентификации клиента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вручение  регистрируемой  письменной корреспонденции с контролируемым ответом оператором  ОПС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6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1090105 - Забор, выдача почты от клиента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Бокс-сервис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7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1011401 - Директ-мейл Стандарт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предпочтовая подготовка для отправлений Директ-Мейл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8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1090705 - Конвертование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1090706 - Фальцовка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1090707 - Расфальцовка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1090708 - Мэйлирование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3090301 - Оказание услуг по изготовлению полиграфической продукции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печать и постпечатная обработка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9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1011402 -Директ-мейл Региональный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Директ-мейл Региональный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10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1011401 - Директ-мейл Стандарт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Директ-мейл Плюс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11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1011401 - Директ-мейл Стандарт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Директ-мейл В2В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/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8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12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85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82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  <w:t xml:space="preserve">опция для регистрируемых почтовых отправлений «возврату не подлежит»</w:t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274" w:type="dxa"/>
                  <w:textDirection w:val="lrTb"/>
                  <w:noWrap w:val="false"/>
                </w:tcPr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976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tbl>
            <w:tblPr>
              <w:tblW w:w="8505" w:type="dxa"/>
              <w:tblInd w:w="0" w:type="dxa"/>
              <w:tblLayout w:type="fixed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000" w:firstRow="0" w:lastRow="0" w:firstColumn="0" w:lastColumn="0" w:noHBand="0" w:noVBand="0"/>
            </w:tblPr>
            <w:tblGrid>
              <w:gridCol w:w="4176"/>
              <w:gridCol w:w="4328"/>
            </w:tblGrid>
            <w:tr>
              <w:tblPrEx/>
              <w:trPr>
                <w:trHeight w:val="310"/>
              </w:trPr>
              <w:tc>
                <w:tcPr>
                  <w:tcW w:w="4176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35" w:lineRule="auto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Исполнитель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328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35" w:lineRule="auto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Заказчик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Руководитель Волжского МТУ по надзору за </w:t>
                  </w:r>
                  <w:r>
                    <w:rPr>
                      <w:rFonts w:ascii="Times New Roman" w:hAnsi="Times New Roman" w:eastAsia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ЯРБ Ростехнадзора</w:t>
                  </w:r>
                  <w:r>
                    <w:rPr>
                      <w:rFonts w:ascii="Times New Roman" w:hAnsi="Times New Roman" w:eastAsia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spacing w:before="0" w:after="0" w:line="235" w:lineRule="auto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>
                <w:trHeight w:val="626"/>
              </w:trPr>
              <w:tc>
                <w:tcPr>
                  <w:tcW w:w="4176" w:type="dxa"/>
                  <w:textDirection w:val="lrTb"/>
                  <w:noWrap w:val="false"/>
                </w:tcPr>
                <w:p>
                  <w:pPr>
                    <w:pStyle w:val="976"/>
                    <w:jc w:val="both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both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__________________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328" w:type="dxa"/>
                  <w:textDirection w:val="lrTb"/>
                  <w:noWrap w:val="false"/>
                </w:tcPr>
                <w:p>
                  <w:pPr>
                    <w:pStyle w:val="976"/>
                    <w:jc w:val="both"/>
                    <w:spacing w:before="0" w:after="0" w:line="240" w:lineRule="auto"/>
                    <w:widowControl w:val="off"/>
                    <w:tabs>
                      <w:tab w:val="clear" w:pos="708" w:leader="none"/>
                      <w:tab w:val="left" w:pos="1334" w:leader="none"/>
                    </w:tabs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both"/>
                    <w:spacing w:before="0" w:after="0" w:line="240" w:lineRule="auto"/>
                    <w:widowControl w:val="off"/>
                    <w:tabs>
                      <w:tab w:val="clear" w:pos="708" w:leader="none"/>
                      <w:tab w:val="left" w:pos="1334" w:leader="none"/>
                    </w:tabs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__________________ </w:t>
                  </w:r>
                  <w:r>
                    <w:rPr>
                      <w:rFonts w:ascii="Times New Roman" w:hAnsi="Times New Roman" w:eastAsia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Е.А. Миронов</w:t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Cs/>
                      <w:sz w:val="24"/>
                      <w:szCs w:val="24"/>
                      <w:lang w:eastAsia="ru-RU"/>
                    </w:rPr>
                  </w:r>
                </w:p>
              </w:tc>
            </w:tr>
            <w:tr>
              <w:tblPrEx/>
              <w:trPr>
                <w:trHeight w:val="305"/>
              </w:trPr>
              <w:tc>
                <w:tcPr>
                  <w:tcW w:w="4176" w:type="dxa"/>
                  <w:textDirection w:val="lrTb"/>
                  <w:noWrap w:val="false"/>
                </w:tcPr>
                <w:p>
                  <w:pPr>
                    <w:pStyle w:val="976"/>
                    <w:jc w:val="both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both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«___» ______________ 2026 г.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</w:p>
              </w:tc>
              <w:tc>
                <w:tcPr>
                  <w:tcW w:w="4328" w:type="dxa"/>
                  <w:textDirection w:val="lrTb"/>
                  <w:noWrap w:val="false"/>
                </w:tcPr>
                <w:p>
                  <w:pPr>
                    <w:pStyle w:val="976"/>
                    <w:jc w:val="both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</w:p>
                <w:p>
                  <w:pPr>
                    <w:pStyle w:val="976"/>
                    <w:jc w:val="both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«___» ______________ 2026 г.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4"/>
                      <w:szCs w:val="24"/>
                      <w:lang w:eastAsia="ru-RU"/>
                    </w:rPr>
                  </w:r>
                </w:p>
              </w:tc>
            </w:tr>
          </w:tbl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Приложение № 2 к Договору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на оказание услуг почтовой связи, дополнительных и иных услуг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от «__» _______2026г.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5387" w:right="849"/>
              <w:spacing w:before="0" w:after="0" w:line="240" w:lineRule="auto"/>
              <w:tabs>
                <w:tab w:val="clear" w:pos="708" w:leader="none"/>
                <w:tab w:val="left" w:pos="8931" w:leader="none"/>
              </w:tabs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ind w:right="991"/>
              <w:spacing w:before="0" w:after="0" w:line="240" w:lineRule="auto"/>
              <w:tabs>
                <w:tab w:val="clear" w:pos="708" w:leader="none"/>
                <w:tab w:val="left" w:pos="5282" w:leader="none"/>
              </w:tabs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976"/>
              <w:ind w:right="991"/>
              <w:jc w:val="center"/>
              <w:spacing w:before="0" w:after="0" w:line="240" w:lineRule="auto"/>
              <w:tabs>
                <w:tab w:val="clear" w:pos="708" w:leader="none"/>
                <w:tab w:val="left" w:pos="5282" w:leader="none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2"/>
                <w:sz w:val="24"/>
                <w:szCs w:val="24"/>
                <w:lang w:eastAsia="ru-RU"/>
              </w:rPr>
              <w:t xml:space="preserve">Адреса мест сдачи и мест возврата почтовых отправлений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tbl>
            <w:tblPr>
              <w:tblW w:w="9498" w:type="dxa"/>
              <w:tblInd w:w="0" w:type="dxa"/>
              <w:tblLayout w:type="fixed"/>
              <w:tblCellMar>
                <w:left w:w="57" w:type="dxa"/>
                <w:top w:w="0" w:type="dxa"/>
                <w:right w:w="57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2693"/>
              <w:gridCol w:w="2694"/>
              <w:gridCol w:w="1701"/>
              <w:gridCol w:w="1843"/>
            </w:tblGrid>
            <w:tr>
              <w:tblPrEx/>
              <w:trPr>
                <w:trHeight w:val="1262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7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№ 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п/п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93" w:type="dxa"/>
                  <w:textDirection w:val="lrTb"/>
                  <w:noWrap w:val="false"/>
                </w:tcPr>
                <w:p>
                  <w:pPr>
                    <w:pStyle w:val="976"/>
                    <w:ind w:left="33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Адрес места сдачи почтовых отправлений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94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Cs w:val="20"/>
                      <w:lang w:eastAsia="ru-RU"/>
                    </w:rPr>
                    <w:t xml:space="preserve">Адрес места возврата почтовых отправлений</w:t>
                  </w:r>
                  <w:r>
                    <w:rPr>
                      <w:rFonts w:ascii="Times New Roman" w:hAnsi="Times New Roman" w:eastAsia="Times New Roman" w:cs="Times New Roman"/>
                      <w:b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Авторизованные эл. адреса Заказчика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pStyle w:val="976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Авторизованные эл. адреса Исполнителя</w:t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sz w:val="20"/>
                      <w:szCs w:val="20"/>
                      <w:lang w:eastAsia="ru-RU"/>
                    </w:rPr>
                  </w:r>
                </w:p>
              </w:tc>
            </w:tr>
            <w:tr>
              <w:tblPrEx/>
              <w:trPr>
                <w:trHeight w:val="229"/>
              </w:trPr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567" w:type="dxa"/>
                  <w:textDirection w:val="lrTb"/>
                  <w:noWrap w:val="false"/>
                </w:tcPr>
                <w:p>
                  <w:pPr>
                    <w:pStyle w:val="976"/>
                    <w:jc w:val="both"/>
                    <w:spacing w:before="0" w:after="0" w:line="240" w:lineRule="auto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  <w:t xml:space="preserve">1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93" w:type="dxa"/>
                  <w:textDirection w:val="lrTb"/>
                  <w:noWrap w:val="false"/>
                </w:tcPr>
                <w:p>
                  <w:pPr>
                    <w:jc w:val="both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highlight w:val="none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 xml:space="preserve">450064, Республика Башкортостан, г.Уфа, ул.Кольцевая, д.6</w:t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highlight w:val="none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2694" w:type="dxa"/>
                  <w:textDirection w:val="lrTb"/>
                  <w:noWrap w:val="false"/>
                </w:tcPr>
                <w:p>
                  <w:pPr>
                    <w:pStyle w:val="976"/>
                    <w:jc w:val="both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sz w:val="22"/>
                      <w:szCs w:val="22"/>
                      <w:highlight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highlight w:val="none"/>
                    </w:rPr>
                    <w:t xml:space="preserve">4</w:t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  <w:t xml:space="preserve">50064, Республика Башкортостан, г.Уфа, ул.Кольцевая, д.6</w:t>
                  </w:r>
                  <w:r/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highlight w:val="none"/>
                    </w:rPr>
                  </w:r>
                </w:p>
                <w:p>
                  <w:pPr>
                    <w:pStyle w:val="976"/>
                    <w:jc w:val="center"/>
                    <w:spacing w:before="0"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  <w:p>
                  <w:pPr>
                    <w:pStyle w:val="976"/>
                    <w:jc w:val="both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701" w:type="dxa"/>
                  <w:textDirection w:val="lrTb"/>
                  <w:noWrap w:val="false"/>
                </w:tcPr>
                <w:p>
                  <w:pPr>
                    <w:pStyle w:val="976"/>
                    <w:jc w:val="both"/>
                    <w:spacing w:before="0" w:after="0" w:line="240" w:lineRule="auto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  <w:t xml:space="preserve">vmtufo@vol-nrs.gosnadzor.gov.ru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shd w:val="clear" w:color="auto" w:fill="auto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1843" w:type="dxa"/>
                  <w:textDirection w:val="lrTb"/>
                  <w:noWrap w:val="false"/>
                </w:tcPr>
                <w:p>
                  <w:pPr>
                    <w:pStyle w:val="976"/>
                    <w:jc w:val="both"/>
                    <w:spacing w:before="0" w:after="0" w:line="240" w:lineRule="auto"/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</w:r>
                  <w:r>
                    <w:rPr>
                      <w:rFonts w:ascii="Times New Roman" w:hAnsi="Times New Roman" w:eastAsia="Times New Roman" w:cs="Times New Roman"/>
                      <w:sz w:val="22"/>
                      <w:szCs w:val="22"/>
                      <w:lang w:eastAsia="ru-RU"/>
                    </w:rPr>
                  </w:r>
                </w:p>
              </w:tc>
            </w:tr>
          </w:tbl>
          <w:p>
            <w:pPr>
              <w:pStyle w:val="976"/>
              <w:ind w:left="709" w:hanging="709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1048"/>
              <w:ind w:left="709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</w:pPr>
            <w:r/>
            <w:r/>
          </w:p>
          <w:p>
            <w:pPr>
              <w:pStyle w:val="976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976"/>
        <w:spacing w:before="0"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Style w:val="976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pPr w:horzAnchor="text" w:tblpX="548" w:vertAnchor="text" w:tblpY="1007" w:leftFromText="180" w:topFromText="0" w:rightFromText="180" w:bottomFromText="0"/>
        <w:tblW w:w="8574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337"/>
        <w:gridCol w:w="4236"/>
      </w:tblGrid>
      <w:tr>
        <w:tblPrEx/>
        <w:trPr>
          <w:trHeight w:val="112"/>
        </w:trPr>
        <w:tc>
          <w:tcPr>
            <w:tcW w:w="4337" w:type="dxa"/>
            <w:textDirection w:val="lrTb"/>
            <w:noWrap w:val="false"/>
          </w:tcPr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236" w:type="dxa"/>
            <w:textDirection w:val="lrTb"/>
            <w:noWrap w:val="false"/>
          </w:tcPr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Руководитель Волжского МТУ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надзору за ЯРБ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35"/>
        </w:trPr>
        <w:tc>
          <w:tcPr>
            <w:tcW w:w="4337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__________________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236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0" w:line="240" w:lineRule="auto"/>
              <w:widowControl w:val="off"/>
              <w:tabs>
                <w:tab w:val="clear" w:pos="708" w:leader="none"/>
                <w:tab w:val="left" w:pos="1334" w:leader="none"/>
              </w:tabs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__________________ Е.А. Миронов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110"/>
        </w:trPr>
        <w:tc>
          <w:tcPr>
            <w:tcW w:w="4337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«___» ______________ 2026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236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«___» ______________ 2026 г.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976"/>
        <w:rPr>
          <w:rFonts w:ascii="Times New Roman" w:hAnsi="Times New Roman" w:eastAsia="Times New Roman" w:cs="Times New Roman"/>
          <w:sz w:val="24"/>
          <w:szCs w:val="24"/>
          <w:lang w:eastAsia="ru-RU"/>
        </w:rPr>
        <w:sectPr>
          <w:headerReference w:type="default" r:id="rId10"/>
          <w:headerReference w:type="first" r:id="rId11"/>
          <w:footerReference w:type="default" r:id="rId15"/>
          <w:footerReference w:type="first" r:id="rId16"/>
          <w:footnotePr>
            <w:numFmt w:val="decimal"/>
          </w:footnotePr>
          <w:endnotePr/>
          <w:type w:val="nextPage"/>
          <w:pgSz w:w="11906" w:h="16838" w:orient="portrait"/>
          <w:pgMar w:top="765" w:right="0" w:bottom="1134" w:left="1701" w:header="708" w:footer="708" w:gutter="0"/>
          <w:cols w:num="1" w:sep="0" w:space="1701" w:equalWidth="1"/>
          <w:docGrid w:linePitch="360"/>
        </w:sect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left="4962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Приложение № 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left="4962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 Договору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на оказание услуг почтовой связи, дополнительных и иных услуг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от </w:t>
      </w:r>
      <w:bookmarkStart w:id="0" w:name="_GoBack"/>
      <w:r/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«__» ______ 2026г. №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Поручение на обработку персональных данных (далее – Поручение)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Оператором обработки персональных данных является </w:t>
      </w:r>
      <w:r>
        <w:rPr>
          <w:rFonts w:ascii="Times New Roman" w:hAnsi="Times New Roman" w:eastAsia="Calibri" w:cs="Times New Roman"/>
        </w:rPr>
        <w:t xml:space="preserve">Заказчик </w:t>
      </w:r>
      <w:r>
        <w:rPr>
          <w:rFonts w:ascii="Times New Roman" w:hAnsi="Times New Roman" w:eastAsia="Calibri" w:cs="Times New Roman"/>
          <w:sz w:val="24"/>
          <w:szCs w:val="24"/>
        </w:rPr>
        <w:t xml:space="preserve">(далее – 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Оператор</w:t>
      </w:r>
      <w:r>
        <w:rPr>
          <w:rFonts w:ascii="Times New Roman" w:hAnsi="Times New Roman" w:eastAsia="Calibri" w:cs="Times New Roman"/>
          <w:sz w:val="24"/>
          <w:szCs w:val="24"/>
        </w:rPr>
        <w:t xml:space="preserve">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Оператор поручает Исполнителю (далее – Обработчик) осуществить обработку персональных данных в срок до окончания срока действия Договора.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целях</w:t>
      </w:r>
      <w:r>
        <w:rPr>
          <w:rFonts w:ascii="Times New Roman" w:hAnsi="Times New Roman" w:eastAsia="Calibri" w:cs="Times New Roman"/>
          <w:sz w:val="24"/>
          <w:szCs w:val="24"/>
        </w:rPr>
        <w:t xml:space="preserve"> исполнения Договора по Поручению осуществляется обработка следующих персональных данных физических лиц (субъектов персональных данных): фамилия, имя, отчество (при наличии), адресные данные, номер телефона, электронная почта (далее – Персональные данные).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Перечень действий (операций) с Персональными данными, которые осуществляются Обработчиком по Поручению: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– </w:t>
      </w:r>
      <w:r>
        <w:rPr>
          <w:rFonts w:ascii="Times New Roman" w:hAnsi="Times New Roman" w:eastAsia="Calibri" w:cs="Times New Roman"/>
          <w:sz w:val="24"/>
          <w:szCs w:val="24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(предоставление, доступ) третьим лицам, перечень которых размещен в сети Интернет по адресу: </w:t>
      </w:r>
      <w:hyperlink r:id="rId26" w:tooltip="https://pochta.ru/legal-partners" w:history="1">
        <w:r>
          <w:rPr>
            <w:rFonts w:ascii="Times New Roman" w:hAnsi="Times New Roman" w:eastAsia="Calibri" w:cs="Times New Roman"/>
            <w:sz w:val="24"/>
            <w:szCs w:val="24"/>
          </w:rPr>
          <w:t xml:space="preserve">https://pochta.ru/legal-partners</w:t>
        </w:r>
      </w:hyperlink>
      <w:r>
        <w:rPr>
          <w:rFonts w:ascii="Times New Roman" w:hAnsi="Times New Roman" w:eastAsia="Calibri" w:cs="Times New Roman"/>
          <w:sz w:val="24"/>
          <w:szCs w:val="24"/>
        </w:rPr>
        <w:t xml:space="preserve">, обезличивание, блокирование, удаление, уничтожение Персональных данных (далее – обработка Персональных данных).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Обработка Персональных данных может осуществляться Обработчиком как с использованием средств автоматизации, так и без использования таких средств.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Оператор передает Персональные данные Обработчику посредством используемого Сторонами сервиса Обработчика (личного кабинета Заказчика на сайте Обработчика), системы электронного документооборота или в бумажной письменной форме.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contextualSpacing/>
        <w:ind w:firstLine="708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Обработчик обязуется: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1048"/>
        <w:numPr>
          <w:ilvl w:val="3"/>
          <w:numId w:val="4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соблюдать конфиденциальность Персональных данных;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8"/>
        <w:numPr>
          <w:ilvl w:val="3"/>
          <w:numId w:val="4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запросу Оператора в течение сро</w:t>
      </w:r>
      <w:r>
        <w:rPr>
          <w:rFonts w:ascii="Times New Roman" w:hAnsi="Times New Roman" w:cs="Times New Roman"/>
          <w:sz w:val="24"/>
          <w:szCs w:val="24"/>
        </w:rPr>
        <w:t xml:space="preserve">ка действия поручения Оператора, в том числе до обработки персональных данных, предоставлять документы и иную информацию, подтверждающие принятие мер и соблюдение в целях исполнения поручения Оператора требований, установленных в соответствии со статьей 6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Федерального закона от 27.07.2006 г. №152-ФЗ «О персональных данных» (далее – Закон о персональных данных);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8"/>
        <w:numPr>
          <w:ilvl w:val="3"/>
          <w:numId w:val="4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обеспечивать безопасность Персональных данных при обработке Персональных данных;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8"/>
        <w:numPr>
          <w:ilvl w:val="3"/>
          <w:numId w:val="4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 обработке Персональных данных принимать в соответствии со статьей 19 Закона о персональных данных необходимые правовые, организационные и технические меры или обеспечивать их принятие для защиты Персональных данных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от неправомерного или случайного доступа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 ним, </w:t>
      </w:r>
      <w:r>
        <w:rPr>
          <w:rFonts w:ascii="Times New Roman" w:hAnsi="Times New Roman" w:eastAsia="Calibri" w:cs="Times New Roman"/>
          <w:sz w:val="24"/>
          <w:szCs w:val="24"/>
        </w:rPr>
        <w:t xml:space="preserve">уничтожения, изменения, блокирования, копирования,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предоставления, распространения Персональных данных, а также от иных неправомерных действий в отношении Персональных данных, в том числе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путем: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8"/>
        <w:numPr>
          <w:ilvl w:val="0"/>
          <w:numId w:val="5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определения угроз безопасности Персональных данных при их обработке в информационных системах Персональных данных;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48"/>
        <w:numPr>
          <w:ilvl w:val="0"/>
          <w:numId w:val="5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применения организационных и технических мер по обесп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ечению безопасности Персональных данных, необходимых для выполнения требований к защите персональных данных в соответствии с установленным уровнем защищенности персональных данных, при их обработке в информационных системах персональных данных Обработчика;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48"/>
        <w:numPr>
          <w:ilvl w:val="0"/>
          <w:numId w:val="5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применения средств защиты информации, прошедших в установленном порядке процедуру оценки соответствия;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48"/>
        <w:numPr>
          <w:ilvl w:val="0"/>
          <w:numId w:val="5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данных;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48"/>
        <w:numPr>
          <w:ilvl w:val="0"/>
          <w:numId w:val="5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учета машинных носителей Персональных данных;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48"/>
        <w:numPr>
          <w:ilvl w:val="0"/>
          <w:numId w:val="5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обнаружения фактов несанкционированного доступа к Персональным данным и принятия соответствующих мер;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48"/>
        <w:numPr>
          <w:ilvl w:val="0"/>
          <w:numId w:val="5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восстановления Персональных данных, модифицированных или уничтоженных вследствие несанкционированного доступа к ним;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48"/>
        <w:numPr>
          <w:ilvl w:val="0"/>
          <w:numId w:val="5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установления правил доступа к Персональным данным, обрабатываемым в информационной системе Персональных данных, а также обеспечения регистрации и учета всех действий, совершаемых с Персональными данными в информационной системе Персональных данных; 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48"/>
        <w:numPr>
          <w:ilvl w:val="0"/>
          <w:numId w:val="5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контроля за принимаемыми мерами по обеспечению безопасности Персональных данных и уровня защищенности информационных систем Персональных данных;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48"/>
        <w:numPr>
          <w:ilvl w:val="3"/>
          <w:numId w:val="4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соблюдать требования, предусмотренные частью 5 статьи 18 и статьей 18.1 Закона о персональных данных;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1048"/>
        <w:numPr>
          <w:ilvl w:val="3"/>
          <w:numId w:val="4"/>
        </w:numPr>
        <w:contextualSpacing/>
        <w:ind w:lef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установления факта неправомерной или случайной передачи (предоставления, распространения, доступа) Персональных данных, обработка которых осуществляется Обработчиком по поручению Оператора, Обработчик </w:t>
      </w:r>
      <w:r>
        <w:rPr>
          <w:rFonts w:ascii="Times New Roman" w:hAnsi="Times New Roman" w:cs="Times New Roman"/>
          <w:sz w:val="24"/>
          <w:szCs w:val="24"/>
        </w:rPr>
        <w:t xml:space="preserve">в разумный срок с учётом требований к Оператору, предусмотренных частью 3 статьи 21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Закона о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момента выявления такого инцидента обязуется уведомить Оператора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произошедшем инциденте; предполагаемых причинах, повлекших нарушение прав субъектов Персональных данных; предполагаемом вреде, нанесенном правам субъектов Персональных данных; о принятых мерах по устранению последствий соответствующего инцидента. Также в </w:t>
      </w:r>
      <w:r>
        <w:rPr>
          <w:rFonts w:ascii="Times New Roman" w:hAnsi="Times New Roman" w:cs="Times New Roman"/>
          <w:sz w:val="24"/>
          <w:szCs w:val="24"/>
        </w:rPr>
        <w:t xml:space="preserve">разумный срок с учётом требований к Оператору, предусмотренных частью 3 статьи 21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Закона о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после 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лицах, действия которых стали причиной выявленного инцидента (при наличии такой информации).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976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Оператор гарантирует Обработчику, что: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numPr>
          <w:ilvl w:val="0"/>
          <w:numId w:val="7"/>
        </w:numPr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Персональные данные получены законными способами, в том числе имеется согласие субъекта (-ов) Персональных данных на их обработку;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numPr>
          <w:ilvl w:val="0"/>
          <w:numId w:val="3"/>
        </w:numPr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цели сбора Персональных данных соответствуют целям обработки Персональных данных;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numPr>
          <w:ilvl w:val="0"/>
          <w:numId w:val="3"/>
        </w:numPr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до Обработчика будет своевременно доведена информация в случае отзыва субъектом (-ами) Персональных данных согласия на обработку Персональных данных.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Оператор несет ответственность перед субъектом (-ами) Персональных данных за действия Обработчика. Обработчик несет ответственность перед Оператором за обработку Персональных данных в соответствии с настоящим Поручением.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976"/>
        <w:ind w:firstLine="709"/>
        <w:jc w:val="both"/>
        <w:spacing w:before="0" w:after="0" w:line="240" w:lineRule="auto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tbl>
      <w:tblPr>
        <w:tblW w:w="9301" w:type="dxa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4567"/>
        <w:gridCol w:w="4733"/>
      </w:tblGrid>
      <w:tr>
        <w:tblPrEx/>
        <w:trPr>
          <w:trHeight w:val="245"/>
        </w:trPr>
        <w:tc>
          <w:tcPr>
            <w:tcW w:w="4567" w:type="dxa"/>
            <w:textDirection w:val="lrTb"/>
            <w:noWrap w:val="false"/>
          </w:tcPr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733" w:type="dxa"/>
            <w:textDirection w:val="lrTb"/>
            <w:noWrap w:val="false"/>
          </w:tcPr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0" w:line="235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Руководитель Волжского МТУ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по надзору за ЯРБ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419"/>
        </w:trPr>
        <w:tc>
          <w:tcPr>
            <w:tcW w:w="4567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16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__________________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r>
          </w:p>
        </w:tc>
        <w:tc>
          <w:tcPr>
            <w:tcW w:w="4733" w:type="dxa"/>
            <w:textDirection w:val="lrTb"/>
            <w:noWrap w:val="false"/>
          </w:tcPr>
          <w:p>
            <w:pPr>
              <w:pStyle w:val="976"/>
              <w:jc w:val="both"/>
              <w:spacing w:before="0"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Style w:val="976"/>
              <w:jc w:val="both"/>
              <w:spacing w:before="0" w:after="160"/>
              <w:widowControl w:val="off"/>
              <w:tabs>
                <w:tab w:val="clear" w:pos="708" w:leader="none"/>
                <w:tab w:val="left" w:pos="1334" w:leader="none"/>
              </w:tabs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__________________ Е.А. Миронов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976"/>
        <w:spacing w:before="0" w:after="160"/>
      </w:pPr>
      <w:r/>
      <w:r/>
    </w:p>
    <w:sectPr>
      <w:headerReference w:type="default" r:id="rId12"/>
      <w:headerReference w:type="first" r:id="rId13"/>
      <w:footerReference w:type="default" r:id="rId17"/>
      <w:footerReference w:type="first" r:id="rId18"/>
      <w:footnotePr>
        <w:numFmt w:val="decimal"/>
      </w:footnotePr>
      <w:endnotePr/>
      <w:type w:val="nextPage"/>
      <w:pgSz w:w="11906" w:h="16838" w:orient="portrait"/>
      <w:pgMar w:top="1134" w:right="850" w:bottom="993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Open Sans">
    <w:panose1 w:val="020B0606030504020204"/>
  </w:font>
  <w:font w:name="Times New Roman">
    <w:panose1 w:val="02020603050405020304"/>
  </w:font>
  <w:font w:name="Segoe UI">
    <w:panose1 w:val="020B05030202040202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1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 xml:space="preserve">1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105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1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 xml:space="preserve">16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105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1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hAnsi="Times New Roman" w:cs="Times New Roman"/>
        <w:sz w:val="20"/>
        <w:szCs w:val="20"/>
      </w:rPr>
      <w:fldChar w:fldCharType="separate"/>
    </w:r>
    <w:r>
      <w:rPr>
        <w:rFonts w:ascii="Times New Roman" w:hAnsi="Times New Roman" w:cs="Times New Roman"/>
        <w:sz w:val="20"/>
        <w:szCs w:val="20"/>
      </w:rPr>
      <w:t xml:space="preserve">18</w:t>
    </w:r>
    <w:r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1051"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1047"/>
        <w:jc w:val="both"/>
        <w:rPr>
          <w:rFonts w:ascii="Times New Roman" w:hAnsi="Times New Roman" w:cs="Times New Roman"/>
        </w:rPr>
      </w:pPr>
      <w:r>
        <w:rPr>
          <w:rStyle w:val="1008"/>
        </w:rPr>
        <w:footnoteRef/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0"/>
      <w:jc w:val="center"/>
      <w:rPr>
        <w:rFonts w:ascii="Times New Roman" w:hAnsi="Times New Roman" w:cs="Times New Roman"/>
      </w:rPr>
    </w:pPr>
    <w:r>
      <w:t xml:space="preserve"> </w:t>
    </w:r>
    <w:r>
      <w:tab/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105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105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0"/>
      <w:jc w:val="center"/>
      <w:rPr>
        <w:rFonts w:ascii="Times New Roman" w:hAnsi="Times New Roman" w:cs="Times New Roman"/>
      </w:rPr>
    </w:pPr>
    <w:r>
      <w:t xml:space="preserve"> </w:t>
    </w:r>
    <w:r>
      <w:tab/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105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  <w:r>
      <w:rPr>
        <w:rFonts w:ascii="Times New Roman" w:hAnsi="Times New Roman" w:cs="Times New Roman"/>
      </w:rPr>
    </w:r>
  </w:p>
  <w:p>
    <w:pPr>
      <w:pStyle w:val="105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50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 xml:space="preserve">18</w:t>
    </w:r>
    <w:r>
      <w:rPr>
        <w:rFonts w:ascii="Times New Roman" w:hAnsi="Times New Roman" w:cs="Times New Roman"/>
      </w:rPr>
      <w:fldChar w:fldCharType="end"/>
    </w:r>
    <w:r/>
  </w:p>
  <w:p>
    <w:pPr>
      <w:pStyle w:val="1050"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00" w:hanging="1290"/>
        <w:tabs>
          <w:tab w:val="num" w:pos="200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000" w:hanging="1290"/>
        <w:tabs>
          <w:tab w:val="num" w:pos="2000" w:leader="none"/>
        </w:tabs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9654" w:hanging="1290"/>
        <w:tabs>
          <w:tab w:val="num" w:pos="9654" w:leader="none"/>
        </w:tabs>
      </w:pPr>
      <w:rPr>
        <w:b w:val="0"/>
        <w:strike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00" w:hanging="1290"/>
        <w:tabs>
          <w:tab w:val="num" w:pos="20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70" w:hanging="1290"/>
        <w:tabs>
          <w:tab w:val="num" w:pos="417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  <w:tabs>
          <w:tab w:val="num" w:pos="0" w:leader="none"/>
        </w:tabs>
      </w:pPr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"/>
      <w:lvlJc w:val="left"/>
      <w:pPr>
        <w:ind w:left="720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00" w:hanging="1290"/>
        <w:tabs>
          <w:tab w:val="num" w:pos="200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000" w:hanging="1290"/>
        <w:tabs>
          <w:tab w:val="num" w:pos="2000" w:leader="none"/>
        </w:tabs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9654" w:hanging="1290"/>
        <w:tabs>
          <w:tab w:val="num" w:pos="9654" w:leader="none"/>
        </w:tabs>
      </w:pPr>
      <w:rPr>
        <w:b w:val="0"/>
        <w:strike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00" w:hanging="1290"/>
        <w:tabs>
          <w:tab w:val="num" w:pos="20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70" w:hanging="1290"/>
        <w:tabs>
          <w:tab w:val="num" w:pos="417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00" w:hanging="1290"/>
        <w:tabs>
          <w:tab w:val="num" w:pos="200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000" w:hanging="1290"/>
        <w:tabs>
          <w:tab w:val="num" w:pos="2000" w:leader="none"/>
        </w:tabs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9654" w:hanging="1290"/>
        <w:tabs>
          <w:tab w:val="num" w:pos="9654" w:leader="none"/>
        </w:tabs>
      </w:pPr>
      <w:rPr>
        <w:b w:val="0"/>
        <w:strike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000" w:hanging="1290"/>
        <w:tabs>
          <w:tab w:val="num" w:pos="200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70" w:hanging="1290"/>
        <w:tabs>
          <w:tab w:val="num" w:pos="417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"/>
    <w:lvlOverride w:ilvl="0">
      <w:startOverride w:val="1"/>
    </w:lvlOverride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50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1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2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3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54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55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57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79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0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1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2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83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84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85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8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8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8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2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9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9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9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9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99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6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14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15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16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17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18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19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0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1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3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3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1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4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4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4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4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4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48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4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5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5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5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5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5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5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5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5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5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5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6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6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6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6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6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6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6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6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69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0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1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2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73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74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75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76" w:default="1">
    <w:name w:val="Normal"/>
    <w:qFormat/>
    <w:pPr>
      <w:jc w:val="left"/>
      <w:spacing w:before="0" w:beforeAutospacing="0" w:after="160" w:afterAutospacing="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977">
    <w:name w:val="Heading 1"/>
    <w:basedOn w:val="97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978">
    <w:name w:val="Heading 2"/>
    <w:basedOn w:val="9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979">
    <w:name w:val="Heading 3"/>
    <w:basedOn w:val="97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980">
    <w:name w:val="Heading 4"/>
    <w:basedOn w:val="97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81">
    <w:name w:val="Heading 5"/>
    <w:basedOn w:val="97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982">
    <w:name w:val="Heading 6"/>
    <w:basedOn w:val="97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83">
    <w:name w:val="Heading 7"/>
    <w:basedOn w:val="9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84">
    <w:name w:val="Heading 8"/>
    <w:basedOn w:val="97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85">
    <w:name w:val="Heading 9"/>
    <w:basedOn w:val="9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86">
    <w:name w:val="Heading 1 Char"/>
    <w:basedOn w:val="1006"/>
    <w:uiPriority w:val="9"/>
    <w:qFormat/>
    <w:rPr>
      <w:rFonts w:ascii="Arial" w:hAnsi="Arial" w:eastAsia="Arial" w:cs="Arial"/>
      <w:sz w:val="40"/>
      <w:szCs w:val="40"/>
    </w:rPr>
  </w:style>
  <w:style w:type="character" w:styleId="987">
    <w:name w:val="Heading 2 Char"/>
    <w:basedOn w:val="1006"/>
    <w:uiPriority w:val="9"/>
    <w:qFormat/>
    <w:rPr>
      <w:rFonts w:ascii="Arial" w:hAnsi="Arial" w:eastAsia="Arial" w:cs="Arial"/>
      <w:sz w:val="34"/>
    </w:rPr>
  </w:style>
  <w:style w:type="character" w:styleId="988">
    <w:name w:val="Heading 3 Char"/>
    <w:basedOn w:val="1006"/>
    <w:uiPriority w:val="9"/>
    <w:qFormat/>
    <w:rPr>
      <w:rFonts w:ascii="Arial" w:hAnsi="Arial" w:eastAsia="Arial" w:cs="Arial"/>
      <w:sz w:val="30"/>
      <w:szCs w:val="30"/>
    </w:rPr>
  </w:style>
  <w:style w:type="character" w:styleId="989">
    <w:name w:val="Heading 4 Char"/>
    <w:basedOn w:val="1006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990">
    <w:name w:val="Heading 5 Char"/>
    <w:basedOn w:val="1006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991">
    <w:name w:val="Heading 6 Char"/>
    <w:basedOn w:val="1006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992">
    <w:name w:val="Heading 7 Char"/>
    <w:basedOn w:val="1006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993">
    <w:name w:val="Heading 8 Char"/>
    <w:basedOn w:val="1006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94">
    <w:name w:val="Heading 9 Char"/>
    <w:basedOn w:val="1006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995">
    <w:name w:val="Title Char"/>
    <w:basedOn w:val="1006"/>
    <w:uiPriority w:val="10"/>
    <w:qFormat/>
    <w:rPr>
      <w:sz w:val="48"/>
      <w:szCs w:val="48"/>
    </w:rPr>
  </w:style>
  <w:style w:type="character" w:styleId="996">
    <w:name w:val="Subtitle Char"/>
    <w:basedOn w:val="1006"/>
    <w:uiPriority w:val="11"/>
    <w:qFormat/>
    <w:rPr>
      <w:sz w:val="24"/>
      <w:szCs w:val="24"/>
    </w:rPr>
  </w:style>
  <w:style w:type="character" w:styleId="997">
    <w:name w:val="Quote Char"/>
    <w:uiPriority w:val="29"/>
    <w:qFormat/>
    <w:rPr>
      <w:i/>
    </w:rPr>
  </w:style>
  <w:style w:type="character" w:styleId="998">
    <w:name w:val="Intense Quote Char"/>
    <w:uiPriority w:val="30"/>
    <w:qFormat/>
    <w:rPr>
      <w:i/>
    </w:rPr>
  </w:style>
  <w:style w:type="character" w:styleId="999">
    <w:name w:val="Header Char"/>
    <w:basedOn w:val="1006"/>
    <w:uiPriority w:val="99"/>
    <w:qFormat/>
  </w:style>
  <w:style w:type="character" w:styleId="1000">
    <w:name w:val="Footer Char"/>
    <w:basedOn w:val="1006"/>
    <w:uiPriority w:val="99"/>
    <w:qFormat/>
  </w:style>
  <w:style w:type="character" w:styleId="1001">
    <w:name w:val="Caption Char"/>
    <w:uiPriority w:val="99"/>
    <w:qFormat/>
  </w:style>
  <w:style w:type="character" w:styleId="1002">
    <w:name w:val="Footnote Text Char"/>
    <w:uiPriority w:val="99"/>
    <w:qFormat/>
    <w:rPr>
      <w:sz w:val="18"/>
    </w:rPr>
  </w:style>
  <w:style w:type="character" w:styleId="1003">
    <w:name w:val="Endnote Text Char"/>
    <w:uiPriority w:val="99"/>
    <w:qFormat/>
    <w:rPr>
      <w:sz w:val="20"/>
    </w:rPr>
  </w:style>
  <w:style w:type="character" w:styleId="100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1005">
    <w:name w:val="endnote reference"/>
    <w:rPr>
      <w:vertAlign w:val="superscript"/>
    </w:rPr>
  </w:style>
  <w:style w:type="character" w:styleId="1006" w:default="1">
    <w:name w:val="Default Paragraph Font"/>
    <w:uiPriority w:val="1"/>
    <w:semiHidden/>
    <w:unhideWhenUsed/>
    <w:qFormat/>
  </w:style>
  <w:style w:type="character" w:styleId="1007" w:customStyle="1">
    <w:name w:val="Текст сноски Знак"/>
    <w:basedOn w:val="1006"/>
    <w:uiPriority w:val="99"/>
    <w:qFormat/>
    <w:rPr>
      <w:sz w:val="20"/>
      <w:szCs w:val="20"/>
    </w:rPr>
  </w:style>
  <w:style w:type="character" w:styleId="1008">
    <w:name w:val="Символ сноски"/>
    <w:uiPriority w:val="99"/>
    <w:unhideWhenUsed/>
    <w:qFormat/>
    <w:rPr>
      <w:vertAlign w:val="superscript"/>
    </w:rPr>
  </w:style>
  <w:style w:type="character" w:styleId="1009">
    <w:name w:val="footnote reference"/>
    <w:rPr>
      <w:vertAlign w:val="superscript"/>
    </w:rPr>
  </w:style>
  <w:style w:type="character" w:styleId="1010" w:customStyle="1">
    <w:name w:val="Верхний колонтитул Знак"/>
    <w:basedOn w:val="1006"/>
    <w:uiPriority w:val="99"/>
    <w:qFormat/>
  </w:style>
  <w:style w:type="character" w:styleId="1011" w:customStyle="1">
    <w:name w:val="Нижний колонтитул Знак"/>
    <w:basedOn w:val="1006"/>
    <w:uiPriority w:val="99"/>
    <w:qFormat/>
  </w:style>
  <w:style w:type="character" w:styleId="1012" w:customStyle="1">
    <w:name w:val="Текст выноски Знак"/>
    <w:basedOn w:val="1006"/>
    <w:uiPriority w:val="99"/>
    <w:semiHidden/>
    <w:qFormat/>
    <w:rPr>
      <w:rFonts w:ascii="Segoe UI" w:hAnsi="Segoe UI" w:cs="Segoe UI"/>
      <w:sz w:val="18"/>
      <w:szCs w:val="18"/>
    </w:rPr>
  </w:style>
  <w:style w:type="character" w:styleId="1013" w:customStyle="1">
    <w:name w:val="Основной текст с отступом 2 Знак"/>
    <w:basedOn w:val="1006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4" w:customStyle="1">
    <w:name w:val="Основной текст 3 Знак"/>
    <w:basedOn w:val="1006"/>
    <w:uiPriority w:val="99"/>
    <w:semiHidden/>
    <w:qFormat/>
    <w:rPr>
      <w:sz w:val="16"/>
      <w:szCs w:val="16"/>
    </w:rPr>
  </w:style>
  <w:style w:type="character" w:styleId="1015" w:customStyle="1">
    <w:name w:val="Основной текст с отступом Знак"/>
    <w:basedOn w:val="1006"/>
    <w:uiPriority w:val="99"/>
    <w:qFormat/>
  </w:style>
  <w:style w:type="character" w:styleId="1016" w:customStyle="1">
    <w:name w:val="Основной текст Знак"/>
    <w:basedOn w:val="1006"/>
    <w:uiPriority w:val="99"/>
    <w:semiHidden/>
    <w:qFormat/>
  </w:style>
  <w:style w:type="character" w:styleId="1017" w:customStyle="1">
    <w:name w:val="Без интервала Знак"/>
    <w:basedOn w:val="1006"/>
    <w:uiPriority w:val="1"/>
    <w:qFormat/>
    <w:rPr>
      <w:rFonts w:eastAsia="Arial" w:eastAsiaTheme="minorEastAsia"/>
      <w:lang w:eastAsia="ru-RU"/>
    </w:rPr>
  </w:style>
  <w:style w:type="character" w:styleId="1018">
    <w:name w:val="annotation reference"/>
    <w:basedOn w:val="1006"/>
    <w:uiPriority w:val="99"/>
    <w:unhideWhenUsed/>
    <w:qFormat/>
    <w:rPr>
      <w:sz w:val="16"/>
      <w:szCs w:val="16"/>
    </w:rPr>
  </w:style>
  <w:style w:type="character" w:styleId="1019" w:customStyle="1">
    <w:name w:val="Текст примечания Знак"/>
    <w:basedOn w:val="1006"/>
    <w:uiPriority w:val="99"/>
    <w:qFormat/>
    <w:rPr>
      <w:sz w:val="20"/>
      <w:szCs w:val="20"/>
    </w:rPr>
  </w:style>
  <w:style w:type="character" w:styleId="1020" w:customStyle="1">
    <w:name w:val="Тема примечания Знак"/>
    <w:basedOn w:val="1019"/>
    <w:uiPriority w:val="99"/>
    <w:semiHidden/>
    <w:qFormat/>
    <w:rPr>
      <w:b/>
      <w:bCs/>
      <w:sz w:val="20"/>
      <w:szCs w:val="20"/>
    </w:rPr>
  </w:style>
  <w:style w:type="character" w:styleId="1021" w:customStyle="1">
    <w:name w:val="Текст примечания Знак1"/>
    <w:uiPriority w:val="99"/>
    <w:semiHidden/>
    <w:qFormat/>
    <w:rPr>
      <w:lang w:eastAsia="ar-SA"/>
    </w:rPr>
  </w:style>
  <w:style w:type="character" w:styleId="1022" w:customStyle="1">
    <w:name w:val="Абзац списка Знак"/>
    <w:uiPriority w:val="34"/>
    <w:qFormat/>
  </w:style>
  <w:style w:type="character" w:styleId="1023">
    <w:name w:val="Hyperlink"/>
    <w:uiPriority w:val="99"/>
    <w:rPr>
      <w:color w:val="0000ff"/>
      <w:u w:val="single"/>
    </w:rPr>
  </w:style>
  <w:style w:type="character" w:styleId="1024" w:customStyle="1">
    <w:name w:val="ConsPlusNormal Знак"/>
    <w:uiPriority w:val="99"/>
    <w:qFormat/>
    <w:rPr>
      <w:rFonts w:ascii="Arial" w:hAnsi="Arial" w:eastAsia="Calibri" w:cs="Arial"/>
      <w:sz w:val="20"/>
      <w:szCs w:val="20"/>
      <w:lang w:eastAsia="ar-SA"/>
    </w:rPr>
  </w:style>
  <w:style w:type="paragraph" w:styleId="1025">
    <w:name w:val="Заголовок"/>
    <w:basedOn w:val="976"/>
    <w:next w:val="1026"/>
    <w:qFormat/>
    <w:pPr>
      <w:keepNext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1026">
    <w:name w:val="Body Text"/>
    <w:basedOn w:val="976"/>
    <w:uiPriority w:val="99"/>
    <w:semiHidden/>
    <w:unhideWhenUsed/>
    <w:pPr>
      <w:spacing w:before="0" w:after="120"/>
    </w:pPr>
  </w:style>
  <w:style w:type="paragraph" w:styleId="1027">
    <w:name w:val="List"/>
    <w:basedOn w:val="976"/>
    <w:uiPriority w:val="99"/>
    <w:semiHidden/>
    <w:unhideWhenUsed/>
    <w:pPr>
      <w:contextualSpacing/>
      <w:ind w:left="283" w:hanging="283"/>
      <w:spacing w:before="0" w:after="160"/>
    </w:pPr>
  </w:style>
  <w:style w:type="paragraph" w:styleId="1028">
    <w:name w:val="Caption"/>
    <w:basedOn w:val="9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029">
    <w:name w:val="Указатель"/>
    <w:basedOn w:val="976"/>
    <w:qFormat/>
    <w:pPr>
      <w:suppressLineNumbers/>
    </w:pPr>
    <w:rPr>
      <w:rFonts w:cs="Lohit Devanagari"/>
    </w:rPr>
  </w:style>
  <w:style w:type="paragraph" w:styleId="1030">
    <w:name w:val="Title"/>
    <w:basedOn w:val="976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1031">
    <w:name w:val="Subtitle"/>
    <w:basedOn w:val="976"/>
    <w:uiPriority w:val="11"/>
    <w:qFormat/>
    <w:pPr>
      <w:spacing w:before="200" w:after="200"/>
    </w:pPr>
    <w:rPr>
      <w:sz w:val="24"/>
      <w:szCs w:val="24"/>
    </w:rPr>
  </w:style>
  <w:style w:type="paragraph" w:styleId="1032">
    <w:name w:val="Quote"/>
    <w:basedOn w:val="976"/>
    <w:uiPriority w:val="29"/>
    <w:qFormat/>
    <w:pPr>
      <w:ind w:left="720" w:right="720"/>
    </w:pPr>
    <w:rPr>
      <w:i/>
    </w:rPr>
  </w:style>
  <w:style w:type="paragraph" w:styleId="1033">
    <w:name w:val="Intense Quote"/>
    <w:basedOn w:val="976"/>
    <w:uiPriority w:val="30"/>
    <w:qFormat/>
    <w:pPr>
      <w:ind w:left="720" w:right="720"/>
      <w:spacing w:before="0" w:after="16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1034">
    <w:name w:val="endnote text"/>
    <w:basedOn w:val="976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1035">
    <w:name w:val="toc 1"/>
    <w:basedOn w:val="976"/>
    <w:uiPriority w:val="39"/>
    <w:unhideWhenUsed/>
    <w:pPr>
      <w:ind w:left="0" w:right="0" w:firstLine="0"/>
      <w:spacing w:before="0" w:after="57"/>
    </w:pPr>
  </w:style>
  <w:style w:type="paragraph" w:styleId="1036">
    <w:name w:val="toc 2"/>
    <w:basedOn w:val="976"/>
    <w:uiPriority w:val="39"/>
    <w:unhideWhenUsed/>
    <w:pPr>
      <w:ind w:left="283" w:right="0" w:firstLine="0"/>
      <w:spacing w:before="0" w:after="57"/>
    </w:pPr>
  </w:style>
  <w:style w:type="paragraph" w:styleId="1037">
    <w:name w:val="toc 3"/>
    <w:basedOn w:val="976"/>
    <w:uiPriority w:val="39"/>
    <w:unhideWhenUsed/>
    <w:pPr>
      <w:ind w:left="567" w:right="0" w:firstLine="0"/>
      <w:spacing w:before="0" w:after="57"/>
    </w:pPr>
  </w:style>
  <w:style w:type="paragraph" w:styleId="1038">
    <w:name w:val="toc 4"/>
    <w:basedOn w:val="976"/>
    <w:uiPriority w:val="39"/>
    <w:unhideWhenUsed/>
    <w:pPr>
      <w:ind w:left="850" w:right="0" w:firstLine="0"/>
      <w:spacing w:before="0" w:after="57"/>
    </w:pPr>
  </w:style>
  <w:style w:type="paragraph" w:styleId="1039">
    <w:name w:val="toc 5"/>
    <w:basedOn w:val="976"/>
    <w:uiPriority w:val="39"/>
    <w:unhideWhenUsed/>
    <w:pPr>
      <w:ind w:left="1134" w:right="0" w:firstLine="0"/>
      <w:spacing w:before="0" w:after="57"/>
    </w:pPr>
  </w:style>
  <w:style w:type="paragraph" w:styleId="1040">
    <w:name w:val="toc 6"/>
    <w:basedOn w:val="976"/>
    <w:uiPriority w:val="39"/>
    <w:unhideWhenUsed/>
    <w:pPr>
      <w:ind w:left="1417" w:right="0" w:firstLine="0"/>
      <w:spacing w:before="0" w:after="57"/>
    </w:pPr>
  </w:style>
  <w:style w:type="paragraph" w:styleId="1041">
    <w:name w:val="toc 7"/>
    <w:basedOn w:val="976"/>
    <w:uiPriority w:val="39"/>
    <w:unhideWhenUsed/>
    <w:pPr>
      <w:ind w:left="1701" w:right="0" w:firstLine="0"/>
      <w:spacing w:before="0" w:after="57"/>
    </w:pPr>
  </w:style>
  <w:style w:type="paragraph" w:styleId="1042">
    <w:name w:val="toc 8"/>
    <w:basedOn w:val="976"/>
    <w:uiPriority w:val="39"/>
    <w:unhideWhenUsed/>
    <w:pPr>
      <w:ind w:left="1984" w:right="0" w:firstLine="0"/>
      <w:spacing w:before="0" w:after="57"/>
    </w:pPr>
  </w:style>
  <w:style w:type="paragraph" w:styleId="1043">
    <w:name w:val="toc 9"/>
    <w:basedOn w:val="976"/>
    <w:uiPriority w:val="39"/>
    <w:unhideWhenUsed/>
    <w:pPr>
      <w:ind w:left="2268" w:right="0" w:firstLine="0"/>
      <w:spacing w:before="0" w:after="57"/>
    </w:pPr>
  </w:style>
  <w:style w:type="paragraph" w:styleId="1044">
    <w:name w:val="Index Heading"/>
    <w:basedOn w:val="1025"/>
  </w:style>
  <w:style w:type="paragraph" w:styleId="1045">
    <w:name w:val="TOC Heading"/>
    <w:uiPriority w:val="39"/>
    <w:unhideWhenUsed/>
    <w:qFormat/>
    <w:pPr>
      <w:jc w:val="left"/>
      <w:spacing w:before="0" w:beforeAutospacing="0" w:after="160" w:afterAutospacing="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1046">
    <w:name w:val="table of figures"/>
    <w:basedOn w:val="976"/>
    <w:uiPriority w:val="99"/>
    <w:unhideWhenUsed/>
    <w:pPr>
      <w:spacing w:before="0" w:after="0" w:afterAutospacing="0"/>
    </w:pPr>
  </w:style>
  <w:style w:type="paragraph" w:styleId="1047">
    <w:name w:val="footnote text"/>
    <w:basedOn w:val="976"/>
    <w:uiPriority w:val="99"/>
    <w:unhideWhenUsed/>
    <w:pPr>
      <w:spacing w:before="0" w:after="0" w:line="240" w:lineRule="auto"/>
    </w:pPr>
    <w:rPr>
      <w:sz w:val="20"/>
      <w:szCs w:val="20"/>
    </w:rPr>
  </w:style>
  <w:style w:type="paragraph" w:styleId="1048">
    <w:name w:val="List Paragraph"/>
    <w:basedOn w:val="976"/>
    <w:uiPriority w:val="34"/>
    <w:qFormat/>
    <w:pPr>
      <w:contextualSpacing/>
      <w:ind w:left="720"/>
      <w:spacing w:before="0" w:after="160"/>
    </w:pPr>
  </w:style>
  <w:style w:type="paragraph" w:styleId="1049">
    <w:name w:val="Колонтитул"/>
    <w:basedOn w:val="976"/>
    <w:qFormat/>
  </w:style>
  <w:style w:type="paragraph" w:styleId="1050">
    <w:name w:val="Header"/>
    <w:basedOn w:val="976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1051">
    <w:name w:val="Footer"/>
    <w:basedOn w:val="976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1052">
    <w:name w:val="Balloon Text"/>
    <w:basedOn w:val="976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1053">
    <w:name w:val="Body Text Indent 2"/>
    <w:basedOn w:val="976"/>
    <w:qFormat/>
    <w:pPr>
      <w:ind w:firstLine="567"/>
      <w:jc w:val="both"/>
      <w:spacing w:before="0"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54">
    <w:name w:val="Body Text 3"/>
    <w:basedOn w:val="976"/>
    <w:uiPriority w:val="99"/>
    <w:semiHidden/>
    <w:unhideWhenUsed/>
    <w:qFormat/>
    <w:pPr>
      <w:spacing w:before="0" w:after="120"/>
    </w:pPr>
    <w:rPr>
      <w:sz w:val="16"/>
      <w:szCs w:val="16"/>
    </w:rPr>
  </w:style>
  <w:style w:type="paragraph" w:styleId="1055">
    <w:name w:val="Body Text Indent"/>
    <w:basedOn w:val="976"/>
    <w:uiPriority w:val="99"/>
    <w:unhideWhenUsed/>
    <w:pPr>
      <w:ind w:left="283"/>
      <w:spacing w:before="0" w:after="120"/>
    </w:pPr>
  </w:style>
  <w:style w:type="paragraph" w:styleId="1056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Arial" w:cs="Arial" w:eastAsiaTheme="minorEastAsia"/>
      <w:color w:val="auto"/>
      <w:sz w:val="22"/>
      <w:szCs w:val="22"/>
      <w:lang w:val="ru-RU" w:eastAsia="ru-RU" w:bidi="ar-SA"/>
    </w:rPr>
  </w:style>
  <w:style w:type="paragraph" w:styleId="1057">
    <w:name w:val="annotation text"/>
    <w:basedOn w:val="976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1058">
    <w:name w:val="annotation subject"/>
    <w:basedOn w:val="1057"/>
    <w:uiPriority w:val="99"/>
    <w:semiHidden/>
    <w:unhideWhenUsed/>
    <w:qFormat/>
    <w:rPr>
      <w:b/>
      <w:bCs/>
    </w:rPr>
  </w:style>
  <w:style w:type="paragraph" w:styleId="1059" w:customStyle="1">
    <w:name w:val="Normal1"/>
    <w:qFormat/>
    <w:pPr>
      <w:jc w:val="left"/>
      <w:spacing w:before="0" w:beforeAutospacing="0" w:after="0" w:afterAutospacing="0" w:line="240" w:lineRule="auto"/>
      <w:widowControl w:val="off"/>
    </w:pPr>
    <w:rPr>
      <w:rFonts w:ascii="Arial" w:hAnsi="Arial" w:eastAsia="Times New Roman" w:cs="Arial" w:cstheme="minorBidi"/>
      <w:color w:val="auto"/>
      <w:sz w:val="24"/>
      <w:szCs w:val="20"/>
      <w:lang w:val="ru-RU" w:eastAsia="ar-SA" w:bidi="ar-SA"/>
    </w:rPr>
  </w:style>
  <w:style w:type="paragraph" w:styleId="1060" w:customStyle="1">
    <w:name w:val="text"/>
    <w:basedOn w:val="976"/>
    <w:qFormat/>
    <w:pPr>
      <w:spacing w:beforeAutospacing="1" w:afterAutospacing="1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1061" w:customStyle="1">
    <w:name w:val="ConsPlusNormal"/>
    <w:uiPriority w:val="99"/>
    <w:qFormat/>
    <w:pPr>
      <w:ind w:firstLine="720"/>
      <w:jc w:val="left"/>
      <w:spacing w:before="0" w:beforeAutospacing="0" w:after="0" w:afterAutospacing="0" w:line="240" w:lineRule="auto"/>
      <w:widowControl w:val="off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ar-SA" w:bidi="ar-SA"/>
    </w:rPr>
  </w:style>
  <w:style w:type="paragraph" w:styleId="1062">
    <w:name w:val="Содержимое врезки"/>
    <w:basedOn w:val="976"/>
    <w:qFormat/>
  </w:style>
  <w:style w:type="paragraph" w:styleId="1063">
    <w:name w:val="Содержимое таблицы"/>
    <w:basedOn w:val="976"/>
    <w:qFormat/>
    <w:pPr>
      <w:widowControl w:val="off"/>
      <w:suppressLineNumbers/>
    </w:pPr>
  </w:style>
  <w:style w:type="paragraph" w:styleId="1064">
    <w:name w:val="Заголовок таблицы"/>
    <w:basedOn w:val="1063"/>
    <w:qFormat/>
    <w:pPr>
      <w:jc w:val="center"/>
      <w:suppressLineNumbers/>
    </w:pPr>
    <w:rPr>
      <w:b/>
      <w:bCs/>
    </w:rPr>
  </w:style>
  <w:style w:type="numbering" w:styleId="1065" w:default="1">
    <w:name w:val="No List"/>
    <w:uiPriority w:val="99"/>
    <w:semiHidden/>
    <w:unhideWhenUsed/>
    <w:qFormat/>
  </w:style>
  <w:style w:type="table" w:styleId="106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customXml" Target="../customXml/item1.xml" /><Relationship Id="rId20" Type="http://schemas.openxmlformats.org/officeDocument/2006/relationships/hyperlink" Target="http://www.pochta.ru/" TargetMode="External"/><Relationship Id="rId21" Type="http://schemas.openxmlformats.org/officeDocument/2006/relationships/hyperlink" Target="http://www.pochta.ru/" TargetMode="External"/><Relationship Id="rId22" Type="http://schemas.openxmlformats.org/officeDocument/2006/relationships/hyperlink" Target="http://www.pochta.ru/" TargetMode="External"/><Relationship Id="rId23" Type="http://schemas.openxmlformats.org/officeDocument/2006/relationships/hyperlink" Target="http://www.pochta.ru/" TargetMode="External"/><Relationship Id="rId24" Type="http://schemas.openxmlformats.org/officeDocument/2006/relationships/hyperlink" Target="http://www.pochta.ru/" TargetMode="External"/><Relationship Id="rId25" Type="http://schemas.openxmlformats.org/officeDocument/2006/relationships/hyperlink" Target="http://www.pochta.ru/" TargetMode="External"/><Relationship Id="rId26" Type="http://schemas.openxmlformats.org/officeDocument/2006/relationships/hyperlink" Target="https://pochta.ru/legal-partners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9586A-194A-42AB-B47A-ABEC107F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Ксения Андреевна</dc:creator>
  <dc:description/>
  <dc:language>ru-RU</dc:language>
  <cp:lastModifiedBy>e.gorbunova</cp:lastModifiedBy>
  <cp:revision>78</cp:revision>
  <dcterms:created xsi:type="dcterms:W3CDTF">2021-05-26T13:29:00Z</dcterms:created>
  <dcterms:modified xsi:type="dcterms:W3CDTF">2026-07-16T09:41:03Z</dcterms:modified>
</cp:coreProperties>
</file>