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57" w:line="283" w:lineRule="atLeast"/>
        <w:rPr>
          <w:b/>
          <w:caps/>
          <w:color w:val="000000" w:themeColor="text1"/>
        </w:rPr>
      </w:pPr>
      <w:r>
        <w:rPr>
          <w:b/>
          <w:caps/>
          <w:color w:val="000000" w:themeColor="text1"/>
          <w:lang w:eastAsia="ar-SA"/>
        </w:rPr>
        <w:t xml:space="preserve">обоснование начальной (максимальной) цены</w:t>
      </w:r>
      <w:r>
        <w:rPr>
          <w:b/>
          <w:caps/>
          <w:color w:val="000000" w:themeColor="text1"/>
        </w:rPr>
      </w:r>
      <w:r>
        <w:rPr>
          <w:b/>
          <w:caps/>
          <w:color w:val="000000" w:themeColor="text1"/>
        </w:rPr>
      </w:r>
    </w:p>
    <w:p>
      <w:pPr>
        <w:spacing w:after="57" w:line="283" w:lineRule="atLeast"/>
        <w:rPr>
          <w:b w:val="0"/>
          <w:bCs w:val="0"/>
          <w:caps/>
          <w:color w:val="000000" w:themeColor="text1"/>
        </w:rPr>
      </w:pPr>
      <w:r>
        <w:rPr>
          <w:b/>
          <w:caps/>
          <w:color w:val="000000" w:themeColor="text1"/>
          <w:lang w:eastAsia="ar-SA"/>
        </w:rPr>
      </w:r>
      <w:r>
        <w:rPr>
          <w:b w:val="0"/>
          <w:bCs w:val="0"/>
          <w:caps/>
          <w:color w:val="000000" w:themeColor="text1"/>
        </w:rPr>
      </w:r>
      <w:r>
        <w:rPr>
          <w:b w:val="0"/>
          <w:bCs w:val="0"/>
          <w:caps/>
          <w:color w:val="000000" w:themeColor="text1"/>
        </w:rPr>
      </w:r>
    </w:p>
    <w:p>
      <w:pPr>
        <w:ind w:firstLine="708"/>
        <w:jc w:val="both"/>
        <w:spacing w:after="57" w:line="283" w:lineRule="atLeast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Сведения о валюте: </w:t>
      </w:r>
      <w:r>
        <w:rPr>
          <w:color w:val="000000" w:themeColor="text1"/>
        </w:rPr>
        <w:t xml:space="preserve">Цена указывается в рублях Российской Федерации</w:t>
      </w:r>
      <w:r>
        <w:rPr>
          <w:b/>
          <w:color w:val="000000" w:themeColor="text1"/>
        </w:rPr>
      </w:r>
      <w:r>
        <w:rPr>
          <w:b/>
          <w:color w:val="000000" w:themeColor="text1"/>
        </w:rPr>
      </w:r>
    </w:p>
    <w:p>
      <w:pPr>
        <w:ind w:firstLine="708"/>
        <w:jc w:val="both"/>
        <w:spacing w:after="57" w:line="283" w:lineRule="atLeast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Порядок применения официального курса иностранных валют: </w:t>
      </w:r>
      <w:r>
        <w:rPr>
          <w:color w:val="000000" w:themeColor="text1"/>
        </w:rPr>
        <w:t xml:space="preserve">Порядок применения официального курса иностранной валюты к рублю Российской Федерации не устанавливается, поскольку для формирования цены контракта и расчетов с Поставщиком (Подрядчиком/ Исполнителем</w:t>
      </w:r>
      <w:r>
        <w:rPr>
          <w:color w:val="000000" w:themeColor="text1"/>
        </w:rPr>
        <w:t xml:space="preserve">) Заказчиком используется валюта Российской Федерации.</w:t>
      </w:r>
      <w:r>
        <w:rPr>
          <w:b/>
          <w:color w:val="000000" w:themeColor="text1"/>
        </w:rPr>
      </w:r>
      <w:r>
        <w:rPr>
          <w:b/>
          <w:color w:val="000000" w:themeColor="text1"/>
        </w:rPr>
      </w:r>
    </w:p>
    <w:p>
      <w:pPr>
        <w:ind w:firstLine="708"/>
        <w:jc w:val="both"/>
        <w:spacing w:after="57" w:line="283" w:lineRule="atLeast"/>
        <w:rPr>
          <w:color w:val="000000" w:themeColor="text1"/>
        </w:rPr>
      </w:pPr>
      <w:r>
        <w:rPr>
          <w:color w:val="000000" w:themeColor="text1"/>
        </w:rPr>
        <w:t xml:space="preserve">В соответствии с п.1 ч.1 статьи 22 Федерального закона от 5 апреля 2013г. № 44-ФЗ «О контрактной системе в сфере закупок товаров, работ, услуг для обеспечения государственных и муниципальных нужд» для</w:t>
      </w:r>
      <w:r>
        <w:rPr>
          <w:color w:val="000000" w:themeColor="text1"/>
        </w:rPr>
        <w:t xml:space="preserve"> обоснования начальной (максимальной) цены контракта был применен метод сопоставимых рыночных цен (анализ рынка):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8"/>
        <w:jc w:val="both"/>
        <w:spacing w:after="57" w:line="283" w:lineRule="atLeast"/>
        <w:rPr>
          <w:color w:val="000000" w:themeColor="text1"/>
        </w:rPr>
      </w:pPr>
      <w:r>
        <w:rPr>
          <w:color w:val="000000" w:themeColor="text1"/>
        </w:rPr>
        <w:t xml:space="preserve">Начальная (максимальная) цена контракта была определена по формуле: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center"/>
        <w:spacing w:after="57" w:line="283" w:lineRule="atLeast"/>
        <w:rPr>
          <w:color w:val="000000" w:themeColor="text1"/>
        </w:rPr>
      </w:pPr>
      <w:r>
        <w:rPr>
          <w:color w:val="000000" w:themeColor="text1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28775" cy="39052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6287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28.25pt;height:30.75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0" w:right="0" w:firstLine="709"/>
        <w:spacing w:after="57" w:line="283" w:lineRule="atLeast"/>
        <w:rPr>
          <w:color w:val="000000" w:themeColor="text1"/>
        </w:rPr>
      </w:pPr>
      <w:r>
        <w:rPr>
          <w:color w:val="000000" w:themeColor="text1"/>
        </w:rPr>
        <w:t xml:space="preserve">где: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0" w:right="0" w:firstLine="709"/>
        <w:spacing w:after="57" w:line="283" w:lineRule="atLeast"/>
        <w:rPr>
          <w:color w:val="000000" w:themeColor="text1"/>
        </w:rPr>
      </w:pPr>
      <w:r>
        <w:rPr>
          <w:color w:val="000000" w:themeColor="text1"/>
        </w:rPr>
        <w:t xml:space="preserve">- НМЦК, определяемая методом сопоставимых рыночных цен (анализа рын</w:t>
      </w:r>
      <w:r>
        <w:rPr>
          <w:color w:val="000000" w:themeColor="text1"/>
        </w:rPr>
        <w:t xml:space="preserve">ка);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0" w:right="0" w:firstLine="709"/>
        <w:spacing w:after="57" w:line="283" w:lineRule="atLeast"/>
        <w:rPr>
          <w:color w:val="000000" w:themeColor="text1"/>
        </w:rPr>
      </w:pPr>
      <w:r>
        <w:rPr>
          <w:color w:val="000000" w:themeColor="text1"/>
        </w:rPr>
        <w:t xml:space="preserve">v – количество (объем) закупаемого товара (работы, услуги);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0" w:right="0" w:firstLine="709"/>
        <w:spacing w:after="57" w:line="283" w:lineRule="atLeast"/>
        <w:rPr>
          <w:color w:val="000000" w:themeColor="text1"/>
        </w:rPr>
      </w:pPr>
      <w:r>
        <w:rPr>
          <w:color w:val="000000" w:themeColor="text1"/>
        </w:rPr>
        <w:t xml:space="preserve">n – количество значений, используемых в расчете;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0" w:right="0" w:firstLine="709"/>
        <w:spacing w:after="57" w:line="283" w:lineRule="atLeast"/>
        <w:rPr>
          <w:color w:val="000000" w:themeColor="text1"/>
        </w:rPr>
      </w:pPr>
      <w:r>
        <w:rPr>
          <w:color w:val="000000" w:themeColor="text1"/>
        </w:rPr>
        <w:t xml:space="preserve">i – номер источника ценовой информации;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0" w:right="0" w:firstLine="709"/>
        <w:jc w:val="both"/>
        <w:spacing w:after="57" w:line="283" w:lineRule="atLeast"/>
        <w:rPr>
          <w:color w:val="000000" w:themeColor="text1"/>
        </w:rPr>
      </w:pPr>
      <w:r>
        <w:rPr>
          <w:color w:val="000000" w:themeColor="text1"/>
        </w:rPr>
        <w:t xml:space="preserve">ц</w:t>
      </w:r>
      <w:r>
        <w:rPr>
          <w:color w:val="000000" w:themeColor="text1"/>
          <w:vertAlign w:val="subscript"/>
        </w:rPr>
        <w:t xml:space="preserve">i</w:t>
      </w:r>
      <w:r>
        <w:rPr>
          <w:color w:val="000000" w:themeColor="text1"/>
          <w:vertAlign w:val="subscript"/>
        </w:rPr>
        <w:t xml:space="preserve"> </w:t>
      </w:r>
      <w:r>
        <w:rPr>
          <w:i/>
          <w:color w:val="000000" w:themeColor="text1"/>
          <w:vertAlign w:val="subscript"/>
        </w:rPr>
        <w:t xml:space="preserve"> </w:t>
      </w:r>
      <w:r>
        <w:rPr>
          <w:color w:val="000000" w:themeColor="text1"/>
        </w:rPr>
        <w:t xml:space="preserve">-</w:t>
      </w:r>
      <w:r>
        <w:rPr>
          <w:color w:val="000000" w:themeColor="text1"/>
        </w:rPr>
        <w:t xml:space="preserve"> цена единицы товара, работы, услуги, представленная в источнике с номером i, скорректированная с</w:t>
      </w:r>
      <w:r>
        <w:rPr>
          <w:color w:val="000000" w:themeColor="text1"/>
        </w:rPr>
        <w:t xml:space="preserve">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both"/>
        <w:spacing w:after="57" w:line="283" w:lineRule="atLeast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center"/>
        <w:spacing w:after="57" w:line="283" w:lineRule="atLeast"/>
        <w:rPr>
          <w:b/>
          <w:bCs/>
          <w:color w:val="000000" w:themeColor="text1"/>
          <w:highlight w:val="none"/>
        </w:rPr>
      </w:pPr>
      <w:r>
        <w:rPr>
          <w:b/>
          <w:color w:val="000000" w:themeColor="text1"/>
        </w:rPr>
        <w:t xml:space="preserve">Расчет начальной (максимальной) </w:t>
      </w:r>
      <w:r>
        <w:rPr>
          <w:b/>
          <w:color w:val="000000" w:themeColor="text1"/>
        </w:rPr>
        <w:t xml:space="preserve">цены контракта:</w:t>
      </w:r>
      <w:r>
        <w:rPr>
          <w:b/>
          <w:bCs/>
          <w:color w:val="000000" w:themeColor="text1"/>
          <w:highlight w:val="none"/>
        </w:rPr>
      </w:r>
      <w:r>
        <w:rPr>
          <w:b/>
          <w:bCs/>
          <w:color w:val="000000" w:themeColor="text1"/>
          <w:highlight w:val="none"/>
        </w:rPr>
      </w:r>
    </w:p>
    <w:p>
      <w:pPr>
        <w:jc w:val="left"/>
        <w:spacing w:after="57" w:line="283" w:lineRule="atLeast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  <w:highlight w:val="none"/>
        </w:rPr>
      </w:r>
      <w:r>
        <w:rPr>
          <w:b w:val="0"/>
          <w:bCs w:val="0"/>
          <w:color w:val="000000" w:themeColor="text1"/>
        </w:rPr>
      </w:r>
      <w:r>
        <w:rPr>
          <w:b w:val="0"/>
          <w:bCs w:val="0"/>
          <w:color w:val="000000" w:themeColor="text1"/>
        </w:rPr>
      </w:r>
    </w:p>
    <w:tbl>
      <w:tblPr>
        <w:tblpPr w:horzAnchor="margin" w:tblpX="-68" w:vertAnchor="text" w:tblpY="122" w:leftFromText="180" w:topFromText="0" w:rightFromText="180" w:bottomFromText="0"/>
        <w:tblW w:w="103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25"/>
        <w:gridCol w:w="1417"/>
        <w:gridCol w:w="1418"/>
        <w:gridCol w:w="1420"/>
        <w:gridCol w:w="1134"/>
        <w:gridCol w:w="854"/>
        <w:gridCol w:w="854"/>
        <w:gridCol w:w="1416"/>
      </w:tblGrid>
      <w:tr>
        <w:tblPrEx/>
        <w:trPr>
          <w:trHeight w:val="468"/>
        </w:trPr>
        <w:tc>
          <w:tcPr>
            <w:tcW w:w="5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№ п/п</w: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212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zh-CN"/>
              </w:rPr>
              <w:t xml:space="preserve">Наименование работ</w: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gridSpan w:val="3"/>
            <w:tcW w:w="4255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Коммерческое предложение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Средняя цена </w:t>
            </w: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за 1 </w:t>
            </w: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единицу измерения</w:t>
            </w: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(руб.)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Кол-во единиц измерения</w: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78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Единица измерения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1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Сумма, (руб.)</w: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</w:r>
          </w:p>
        </w:tc>
      </w:tr>
      <w:tr>
        <w:tblPrEx/>
        <w:trPr>
          <w:trHeight w:val="1027"/>
        </w:trPr>
        <w:tc>
          <w:tcPr>
            <w:tcW w:w="5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2125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КП </w:t>
            </w: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№ 1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ind w:right="-109"/>
              <w:jc w:val="center"/>
              <w:spacing w:after="0" w:afterAutospacing="0" w:line="240" w:lineRule="auto"/>
              <w:rPr>
                <w:b/>
                <w:bCs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Вх</w:t>
            </w: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. </w:t>
            </w: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№ </w:t>
            </w: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35615</w:t>
            </w:r>
            <w:r>
              <w:rPr>
                <w:b/>
                <w:bCs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bCs/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ind w:right="-109"/>
              <w:jc w:val="center"/>
              <w:spacing w:after="0" w:afterAutospacing="0" w:line="240" w:lineRule="auto"/>
              <w:rPr>
                <w:b/>
                <w:bCs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от</w:t>
            </w: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04.08.2026</w:t>
            </w:r>
            <w:r>
              <w:rPr>
                <w:b/>
                <w:bCs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bCs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КП № 2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ind w:right="-109"/>
              <w:jc w:val="center"/>
              <w:spacing w:after="0" w:afterAutospacing="0" w:line="240" w:lineRule="auto"/>
              <w:rPr>
                <w:b/>
                <w:bCs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Вх</w:t>
            </w: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. </w:t>
            </w: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№ </w:t>
            </w: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35614</w:t>
            </w:r>
            <w:r>
              <w:rPr>
                <w:b/>
                <w:bCs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bCs/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ind w:right="-109"/>
              <w:jc w:val="center"/>
              <w:spacing w:after="0" w:afterAutospacing="0" w:line="240" w:lineRule="auto"/>
              <w:rPr>
                <w:b/>
                <w:bCs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от</w:t>
            </w: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04.08.2026</w:t>
            </w:r>
            <w:r>
              <w:rPr>
                <w:b/>
                <w:bCs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bCs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42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КП № 3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ind w:right="-109"/>
              <w:jc w:val="center"/>
              <w:spacing w:after="0" w:afterAutospacing="0" w:line="240" w:lineRule="auto"/>
              <w:rPr>
                <w:b/>
                <w:bCs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Вх</w:t>
            </w: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. </w:t>
            </w: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№ </w:t>
            </w:r>
            <w:r>
              <w:rPr>
                <w:b/>
                <w:color w:val="000000" w:themeColor="text1"/>
                <w:sz w:val="20"/>
                <w:szCs w:val="20"/>
                <w:highlight w:val="none"/>
              </w:rPr>
              <w:t xml:space="preserve">35612</w:t>
            </w:r>
            <w:r>
              <w:rPr>
                <w:b/>
                <w:bCs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bCs/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ind w:right="-109"/>
              <w:jc w:val="center"/>
              <w:spacing w:after="0" w:afterAutospacing="0" w:line="240" w:lineRule="auto"/>
              <w:rPr>
                <w:b/>
                <w:bCs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от</w:t>
            </w: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04.08.2026</w:t>
            </w:r>
            <w:r>
              <w:rPr>
                <w:b/>
                <w:bCs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bCs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85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854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trHeight w:val="461"/>
        </w:trPr>
        <w:tc>
          <w:tcPr>
            <w:tcW w:w="5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2125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3"/>
            <w:tcW w:w="4255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Цена за 1 </w:t>
            </w: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единицу измерения</w:t>
            </w: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(руб.)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85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854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trHeight w:val="580"/>
        </w:trPr>
        <w:tc>
          <w:tcPr>
            <w:tcW w:w="5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2125" w:type="dxa"/>
            <w:vAlign w:val="center"/>
            <w:vMerge w:val="restart"/>
            <w:textDirection w:val="lrTb"/>
            <w:noWrap w:val="false"/>
          </w:tcPr>
          <w:p>
            <w:pPr>
              <w:pStyle w:val="861"/>
              <w:jc w:val="left"/>
              <w:spacing w:after="0" w:afterAutospacing="0" w:line="240" w:lineRule="auto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Механическая прочистка 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до 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d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110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 мм</w:t>
            </w:r>
            <w:r>
              <w:rPr>
                <w:rFonts w:eastAsia="Arial Unicode MS" w:cs="Times New Roman"/>
              </w:rPr>
            </w:r>
            <w:r>
              <w:rPr>
                <w:rFonts w:eastAsia="Arial Unicode MS" w:cs="Times New Roman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249,00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262,00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42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260,00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  <w:t xml:space="preserve">257,00</w:t>
            </w:r>
            <w:r>
              <w:rPr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color w:val="000000" w:themeColor="text1"/>
                <w:sz w:val="22"/>
                <w:szCs w:val="22"/>
                <w14:ligatures w14:val="none"/>
              </w:rPr>
            </w:r>
          </w:p>
        </w:tc>
        <w:tc>
          <w:tcPr>
            <w:tcW w:w="8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пог.</w:t>
            </w:r>
            <w:r>
              <w:rPr>
                <w:sz w:val="22"/>
                <w:szCs w:val="22"/>
                <w:highlight w:val="none"/>
                <w:lang w:val="ru-RU" w:eastAsia="en-US"/>
              </w:rPr>
              <w:t xml:space="preserve">м.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41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  <w:t xml:space="preserve">257,00</w:t>
            </w:r>
            <w:r>
              <w:rPr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color w:val="000000" w:themeColor="text1"/>
                <w:sz w:val="22"/>
                <w:szCs w:val="22"/>
                <w14:ligatures w14:val="none"/>
              </w:rPr>
            </w:r>
          </w:p>
        </w:tc>
      </w:tr>
      <w:tr>
        <w:tblPrEx/>
        <w:trPr>
          <w:trHeight w:val="580"/>
        </w:trPr>
        <w:tc>
          <w:tcPr>
            <w:tcW w:w="5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2125" w:type="dxa"/>
            <w:vAlign w:val="center"/>
            <w:vMerge w:val="restart"/>
            <w:textDirection w:val="lrTb"/>
            <w:noWrap w:val="false"/>
          </w:tcPr>
          <w:p>
            <w:pPr>
              <w:pStyle w:val="861"/>
              <w:jc w:val="left"/>
              <w:spacing w:after="0" w:afterAutospacing="0" w:line="240" w:lineRule="auto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Механическая прочистка 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до 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d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00 мм</w:t>
            </w:r>
            <w:r>
              <w:rPr>
                <w:rFonts w:eastAsia="Arial Unicode MS" w:cs="Times New Roman"/>
              </w:rPr>
            </w:r>
            <w:r>
              <w:rPr>
                <w:rFonts w:eastAsia="Arial Unicode MS" w:cs="Times New Roman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270,00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283,00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42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285,00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  <w:t xml:space="preserve">279,33</w:t>
            </w:r>
            <w:r>
              <w:rPr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color w:val="000000" w:themeColor="text1"/>
                <w:sz w:val="22"/>
                <w:szCs w:val="22"/>
                <w14:ligatures w14:val="none"/>
              </w:rPr>
            </w:r>
          </w:p>
        </w:tc>
        <w:tc>
          <w:tcPr>
            <w:tcW w:w="8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пог.</w:t>
            </w:r>
            <w:r>
              <w:rPr>
                <w:sz w:val="22"/>
                <w:szCs w:val="22"/>
                <w:highlight w:val="none"/>
                <w:lang w:val="ru-RU" w:eastAsia="en-US"/>
              </w:rPr>
              <w:t xml:space="preserve">м.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41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  <w:t xml:space="preserve">279,33</w:t>
            </w:r>
            <w:r>
              <w:rPr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color w:val="000000" w:themeColor="text1"/>
                <w:sz w:val="22"/>
                <w:szCs w:val="22"/>
                <w14:ligatures w14:val="none"/>
              </w:rPr>
            </w:r>
          </w:p>
        </w:tc>
      </w:tr>
      <w:tr>
        <w:tblPrEx/>
        <w:trPr>
          <w:trHeight w:val="580"/>
        </w:trPr>
        <w:tc>
          <w:tcPr>
            <w:tcW w:w="5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2125" w:type="dxa"/>
            <w:vAlign w:val="center"/>
            <w:vMerge w:val="restart"/>
            <w:textDirection w:val="lrTb"/>
            <w:noWrap w:val="false"/>
          </w:tcPr>
          <w:p>
            <w:pPr>
              <w:pStyle w:val="861"/>
              <w:jc w:val="left"/>
              <w:spacing w:after="0" w:afterAutospacing="0" w:line="240" w:lineRule="auto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Гидродинамическая 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промывка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системы канализации 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до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d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110 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мм</w:t>
            </w:r>
            <w:r>
              <w:rPr>
                <w:rFonts w:eastAsia="Arial Unicode MS" w:cs="Times New Roman"/>
              </w:rPr>
            </w:r>
            <w:r>
              <w:rPr>
                <w:rFonts w:eastAsia="Arial Unicode MS" w:cs="Times New Roman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345,00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363,00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42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360,00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  <w:t xml:space="preserve">356,00</w:t>
            </w:r>
            <w:r>
              <w:rPr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color w:val="000000" w:themeColor="text1"/>
                <w:sz w:val="22"/>
                <w:szCs w:val="22"/>
                <w14:ligatures w14:val="none"/>
              </w:rPr>
            </w:r>
          </w:p>
        </w:tc>
        <w:tc>
          <w:tcPr>
            <w:tcW w:w="8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пог.</w:t>
            </w:r>
            <w:r>
              <w:rPr>
                <w:sz w:val="22"/>
                <w:szCs w:val="22"/>
                <w:highlight w:val="none"/>
                <w:lang w:val="ru-RU" w:eastAsia="en-US"/>
              </w:rPr>
              <w:t xml:space="preserve">м.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41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  <w:t xml:space="preserve">356,00</w:t>
            </w:r>
            <w:r>
              <w:rPr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color w:val="000000" w:themeColor="text1"/>
                <w:sz w:val="22"/>
                <w:szCs w:val="22"/>
                <w14:ligatures w14:val="none"/>
              </w:rPr>
            </w:r>
          </w:p>
        </w:tc>
      </w:tr>
      <w:tr>
        <w:tblPrEx/>
        <w:trPr>
          <w:trHeight w:val="580"/>
        </w:trPr>
        <w:tc>
          <w:tcPr>
            <w:tcW w:w="5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4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2125" w:type="dxa"/>
            <w:vAlign w:val="center"/>
            <w:vMerge w:val="restart"/>
            <w:textDirection w:val="lrTb"/>
            <w:noWrap w:val="false"/>
          </w:tcPr>
          <w:p>
            <w:pPr>
              <w:pStyle w:val="861"/>
              <w:jc w:val="left"/>
              <w:spacing w:after="0" w:afterAutospacing="0" w:line="240" w:lineRule="auto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Гидродинамическая 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промывка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 системы канализации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до 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d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200 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мм</w:t>
            </w:r>
            <w:r>
              <w:rPr>
                <w:rFonts w:eastAsia="Arial Unicode MS" w:cs="Times New Roman"/>
              </w:rPr>
            </w:r>
            <w:r>
              <w:rPr>
                <w:rFonts w:eastAsia="Arial Unicode MS" w:cs="Times New Roman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350,00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367,00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42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365,00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  <w:t xml:space="preserve">357,67</w:t>
            </w:r>
            <w:r>
              <w:rPr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color w:val="000000" w:themeColor="text1"/>
                <w:sz w:val="22"/>
                <w:szCs w:val="22"/>
                <w14:ligatures w14:val="none"/>
              </w:rPr>
            </w:r>
          </w:p>
        </w:tc>
        <w:tc>
          <w:tcPr>
            <w:tcW w:w="8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пог.</w:t>
            </w:r>
            <w:r>
              <w:rPr>
                <w:sz w:val="22"/>
                <w:szCs w:val="22"/>
                <w:highlight w:val="none"/>
                <w:lang w:val="ru-RU" w:eastAsia="en-US"/>
              </w:rPr>
              <w:t xml:space="preserve">м.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41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  <w:t xml:space="preserve">357,67</w:t>
            </w:r>
            <w:r>
              <w:rPr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color w:val="000000" w:themeColor="text1"/>
                <w:sz w:val="22"/>
                <w:szCs w:val="22"/>
                <w14:ligatures w14:val="none"/>
              </w:rPr>
            </w:r>
          </w:p>
        </w:tc>
      </w:tr>
      <w:tr>
        <w:tblPrEx/>
        <w:trPr>
          <w:trHeight w:val="580"/>
        </w:trPr>
        <w:tc>
          <w:tcPr>
            <w:tcW w:w="5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2125" w:type="dxa"/>
            <w:vAlign w:val="center"/>
            <w:vMerge w:val="restart"/>
            <w:textDirection w:val="lrTb"/>
            <w:noWrap w:val="false"/>
          </w:tcPr>
          <w:p>
            <w:pPr>
              <w:pStyle w:val="861"/>
              <w:jc w:val="left"/>
              <w:spacing w:after="0" w:afterAutospacing="0" w:line="240" w:lineRule="auto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Видеоисследование 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системы канализации 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до 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d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200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мм</w:t>
            </w:r>
            <w:r>
              <w:rPr>
                <w:rFonts w:eastAsia="Arial Unicode MS" w:cs="Times New Roman"/>
              </w:rPr>
            </w:r>
            <w:r>
              <w:rPr>
                <w:rFonts w:eastAsia="Arial Unicode MS" w:cs="Times New Roman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530,00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555,00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42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550,00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545,00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пог.</w:t>
            </w:r>
            <w:r>
              <w:rPr>
                <w:sz w:val="22"/>
                <w:szCs w:val="22"/>
                <w:highlight w:val="none"/>
                <w:lang w:val="ru-RU" w:eastAsia="en-US"/>
              </w:rPr>
              <w:t xml:space="preserve">м.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41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545,00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580"/>
        </w:trPr>
        <w:tc>
          <w:tcPr>
            <w:tcW w:w="5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2125" w:type="dxa"/>
            <w:vAlign w:val="center"/>
            <w:vMerge w:val="restart"/>
            <w:textDirection w:val="lrTb"/>
            <w:noWrap w:val="false"/>
          </w:tcPr>
          <w:p>
            <w:pPr>
              <w:pStyle w:val="861"/>
              <w:jc w:val="left"/>
              <w:spacing w:after="0" w:afterAutospacing="0" w:line="240" w:lineRule="auto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Ручная очистка колодца (одного колодца)</w:t>
            </w:r>
            <w:r>
              <w:rPr>
                <w:rFonts w:eastAsia="Arial Unicode MS" w:cs="Times New Roman"/>
              </w:rPr>
            </w:r>
            <w:r>
              <w:rPr>
                <w:rFonts w:eastAsia="Arial Unicode MS" w:cs="Times New Roman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4000,00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4200,00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42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4500,00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4233,33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tcW w:w="8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highlight w:val="none"/>
                <w:lang w:val="ru-RU" w:eastAsia="en-US"/>
              </w:rPr>
              <w:t xml:space="preserve">шт.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41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4233,33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</w:tr>
      <w:tr>
        <w:tblPrEx/>
        <w:trPr>
          <w:trHeight w:val="580"/>
        </w:trPr>
        <w:tc>
          <w:tcPr>
            <w:tcW w:w="5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2125" w:type="dxa"/>
            <w:vAlign w:val="center"/>
            <w:vMerge w:val="restart"/>
            <w:textDirection w:val="lrTb"/>
            <w:noWrap w:val="false"/>
          </w:tcPr>
          <w:p>
            <w:pPr>
              <w:pStyle w:val="861"/>
              <w:jc w:val="left"/>
              <w:spacing w:after="0" w:afterAutospacing="0" w:line="240" w:lineRule="auto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  <w:sz w:val="22"/>
                <w:szCs w:val="22"/>
                <w:lang w:val="ru-RU"/>
              </w:rPr>
              <w:t xml:space="preserve">Откачка и вывоз воды и хозяйственно-бытовых стоков (илосос)</w:t>
            </w:r>
            <w:r>
              <w:rPr>
                <w:rFonts w:eastAsia="Arial Unicode MS" w:cs="Times New Roman"/>
              </w:rPr>
            </w:r>
            <w:r>
              <w:rPr>
                <w:rFonts w:eastAsia="Arial Unicode MS" w:cs="Times New Roman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1500,00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1600,00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42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1550,00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1550,00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tcW w:w="8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highlight w:val="none"/>
                <w:lang w:val="ru-RU" w:eastAsia="en-US"/>
              </w:rPr>
              <w:t xml:space="preserve">м</w:t>
            </w:r>
            <w:r>
              <w:rPr>
                <w:sz w:val="22"/>
                <w:szCs w:val="22"/>
                <w:highlight w:val="none"/>
                <w:vertAlign w:val="superscript"/>
                <w:lang w:val="ru-RU" w:eastAsia="en-US"/>
              </w:rPr>
              <w:t xml:space="preserve">3</w:t>
            </w:r>
            <w:r>
              <w:rPr>
                <w:sz w:val="22"/>
                <w:szCs w:val="22"/>
                <w:highlight w:val="none"/>
                <w:lang w:val="ru-RU" w:eastAsia="en-US"/>
              </w:rPr>
              <w:t xml:space="preserve">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41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1550,00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</w:tr>
      <w:tr>
        <w:tblPrEx/>
        <w:trPr>
          <w:trHeight w:val="484"/>
        </w:trPr>
        <w:tc>
          <w:tcPr>
            <w:gridSpan w:val="8"/>
            <w:tcW w:w="9011" w:type="dxa"/>
            <w:vAlign w:val="center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Итого, руб. </w: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1416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7578,33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</w:tr>
    </w:tbl>
    <w:p>
      <w:pPr>
        <w:ind w:firstLine="0"/>
        <w:jc w:val="both"/>
        <w:spacing w:after="0" w:afterAutospacing="0" w:line="240" w:lineRule="auto"/>
        <w:rPr>
          <w:color w:val="000000" w:themeColor="text1"/>
          <w:highlight w:val="white"/>
          <w14:ligatures w14:val="none"/>
        </w:rPr>
      </w:pPr>
      <w:r>
        <w:rPr>
          <w:color w:val="000000" w:themeColor="text1"/>
          <w:highlight w:val="none"/>
        </w:rPr>
      </w:r>
      <w:r>
        <w:rPr>
          <w:color w:val="000000" w:themeColor="text1"/>
          <w:highlight w:val="white"/>
          <w14:ligatures w14:val="none"/>
        </w:rPr>
      </w:r>
      <w:r>
        <w:rPr>
          <w:color w:val="000000" w:themeColor="text1"/>
          <w:highlight w:val="white"/>
          <w14:ligatures w14:val="none"/>
        </w:rPr>
      </w:r>
    </w:p>
    <w:p>
      <w:pPr>
        <w:ind w:firstLine="708"/>
        <w:jc w:val="both"/>
        <w:spacing w:after="0" w:afterAutospacing="0" w:line="240" w:lineRule="auto"/>
        <w:rPr>
          <w:b/>
          <w:bCs/>
          <w:color w:val="000000" w:themeColor="text1"/>
          <w:sz w:val="22"/>
          <w:szCs w:val="22"/>
          <w:highlight w:val="none"/>
          <w14:ligatures w14:val="none"/>
        </w:rPr>
      </w:pPr>
      <w:r>
        <w:rPr>
          <w:color w:val="000000" w:themeColor="text1"/>
          <w:highlight w:val="white"/>
        </w:rPr>
        <w:t xml:space="preserve">На основании вышеизложенного, в результате анализа </w:t>
      </w:r>
      <w:r>
        <w:rPr>
          <w:color w:val="000000" w:themeColor="text1"/>
          <w:sz w:val="24"/>
          <w:szCs w:val="24"/>
          <w:highlight w:val="white"/>
        </w:rPr>
        <w:t xml:space="preserve">коммерческих </w:t>
      </w:r>
      <w:r>
        <w:rPr>
          <w:color w:val="000000" w:themeColor="text1"/>
          <w:sz w:val="24"/>
          <w:szCs w:val="24"/>
          <w:highlight w:val="white"/>
        </w:rPr>
        <w:t xml:space="preserve">предложений принято решение установить общую начальную (максимальную) цену в р</w:t>
      </w:r>
      <w:r>
        <w:rPr>
          <w:color w:val="000000" w:themeColor="text1"/>
          <w:highlight w:val="white"/>
        </w:rPr>
        <w:t xml:space="preserve">азмере – </w:t>
      </w:r>
      <w:r>
        <w:rPr>
          <w:color w:val="000000" w:themeColor="text1"/>
          <w:highlight w:val="white"/>
        </w:rPr>
        <w:t xml:space="preserve">7578,33 </w:t>
      </w:r>
      <w:r>
        <w:rPr>
          <w:color w:val="000000" w:themeColor="text1"/>
          <w:highlight w:val="white"/>
        </w:rPr>
        <w:t xml:space="preserve">рублей.</w:t>
      </w:r>
      <w:r>
        <w:rPr>
          <w:b/>
          <w:bCs/>
          <w:color w:val="000000" w:themeColor="text1"/>
          <w:sz w:val="22"/>
          <w:szCs w:val="22"/>
          <w:highlight w:val="none"/>
          <w14:ligatures w14:val="none"/>
        </w:rPr>
      </w:r>
      <w:r>
        <w:rPr>
          <w:b/>
          <w:bCs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firstLine="708"/>
        <w:jc w:val="both"/>
        <w:spacing w:after="0" w:afterAutospacing="0" w:line="240" w:lineRule="auto"/>
        <w:rPr>
          <w:b/>
          <w:bCs/>
          <w:color w:val="000000" w:themeColor="text1"/>
          <w:sz w:val="22"/>
          <w:szCs w:val="22"/>
          <w:highlight w:val="none"/>
          <w14:ligatures w14:val="none"/>
        </w:rPr>
      </w:pPr>
      <w:r>
        <w:rPr>
          <w:b/>
          <w:bCs/>
          <w:color w:val="000000" w:themeColor="text1"/>
          <w:sz w:val="22"/>
          <w:szCs w:val="22"/>
          <w:highlight w:val="none"/>
          <w14:ligatures w14:val="none"/>
        </w:rPr>
      </w:r>
      <w:r>
        <w:rPr>
          <w:b/>
          <w:bCs/>
          <w:color w:val="000000" w:themeColor="text1"/>
          <w:sz w:val="22"/>
          <w:szCs w:val="22"/>
          <w:highlight w:val="none"/>
          <w14:ligatures w14:val="none"/>
        </w:rPr>
      </w:r>
    </w:p>
    <w:p>
      <w:pPr>
        <w:pStyle w:val="853"/>
        <w:ind w:left="0" w:firstLine="708"/>
        <w:jc w:val="both"/>
        <w:spacing w:after="57" w:line="283" w:lineRule="atLeast"/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Times New Roman"/>
          <w:color w:val="000000"/>
          <w:sz w:val="24"/>
          <w:szCs w:val="24"/>
          <w:highlight w:val="white"/>
          <w:lang w:val="ru-RU" w:eastAsia="ru-RU"/>
        </w:rPr>
        <w:t xml:space="preserve">По итогам проведения </w:t>
      </w:r>
      <w:r>
        <w:rPr>
          <w:rFonts w:ascii="Times New Roman" w:hAnsi="Times New Roman" w:eastAsia="Times New Roman"/>
          <w:color w:val="000000"/>
          <w:sz w:val="24"/>
          <w:szCs w:val="24"/>
          <w:highlight w:val="white"/>
          <w:lang w:val="ru-RU" w:eastAsia="ru-RU"/>
        </w:rPr>
        <w:t xml:space="preserve">закупки</w:t>
      </w:r>
      <w:r>
        <w:rPr>
          <w:rFonts w:ascii="Times New Roman" w:hAnsi="Times New Roman" w:eastAsia="Times New Roman"/>
          <w:color w:val="000000"/>
          <w:sz w:val="24"/>
          <w:szCs w:val="24"/>
          <w:highlight w:val="white"/>
          <w:lang w:val="ru-RU" w:eastAsia="ru-RU"/>
        </w:rPr>
        <w:t xml:space="preserve"> цена единицы работы будет рассчитываться путем применения понижающего коэфф</w:t>
      </w:r>
      <w:r>
        <w:rPr>
          <w:rFonts w:ascii="Times New Roman" w:hAnsi="Times New Roman" w:eastAsia="Times New Roman"/>
          <w:color w:val="000000"/>
          <w:sz w:val="24"/>
          <w:szCs w:val="24"/>
          <w:highlight w:val="white"/>
          <w:lang w:val="ru-RU" w:eastAsia="ru-RU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  <w:szCs w:val="24"/>
          <w:highlight w:val="white"/>
          <w:lang w:val="ru-RU" w:eastAsia="ru-RU"/>
        </w:rPr>
        <w:t xml:space="preserve">циента к каждой позиции</w:t>
      </w:r>
      <w:r>
        <w:rPr>
          <w:rFonts w:ascii="Times New Roman" w:hAnsi="Times New Roman" w:eastAsia="Times New Roman"/>
          <w:color w:val="000000"/>
          <w:sz w:val="24"/>
          <w:szCs w:val="24"/>
          <w:highlight w:val="white"/>
          <w:lang w:val="ru-RU" w:eastAsia="ru-RU"/>
        </w:rPr>
        <w:t xml:space="preserve">.</w:t>
      </w:r>
      <w:r>
        <w:rPr>
          <w:color w:val="000000" w:themeColor="text1"/>
          <w:sz w:val="24"/>
          <w:szCs w:val="24"/>
          <w:highlight w:val="white"/>
        </w:rPr>
      </w:r>
      <w:r>
        <w:rPr>
          <w:color w:val="000000" w:themeColor="text1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/>
          <w:color w:val="000000"/>
          <w:sz w:val="24"/>
          <w:szCs w:val="24"/>
          <w:highlight w:val="white"/>
          <w:lang w:val="ru-RU" w:eastAsia="ru-RU"/>
        </w:rPr>
      </w:r>
      <w:r>
        <w:rPr>
          <w:rFonts w:ascii="Times New Roman" w:hAnsi="Times New Roman"/>
          <w:bCs/>
          <w:sz w:val="24"/>
          <w:szCs w:val="24"/>
          <w:highlight w:val="white"/>
          <w:shd w:val="clear" w:color="auto" w:fill="fdfcfb"/>
          <w:lang w:val="ru-RU"/>
        </w:rPr>
        <w:t xml:space="preserve">Максимальное значение цены контракта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 xml:space="preserve">: 100 000,00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 xml:space="preserve">рублей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 xml:space="preserve">.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jc w:val="both"/>
        <w:shd w:val="nil" w:color="auto"/>
        <w:rPr>
          <w:b/>
          <w:color w:val="000000" w:themeColor="text1"/>
          <w:sz w:val="28"/>
          <w:szCs w:val="28"/>
          <w14:ligatures w14:val="none"/>
        </w:rPr>
      </w:pPr>
      <w:r>
        <w:rPr>
          <w:lang w:eastAsia="ru-RU"/>
        </w:rPr>
      </w:r>
      <w:r>
        <w:rPr>
          <w:b/>
          <w:color w:val="000000" w:themeColor="text1"/>
          <w:sz w:val="28"/>
          <w:szCs w:val="28"/>
          <w14:ligatures w14:val="none"/>
        </w:rPr>
      </w:r>
      <w:r>
        <w:rPr>
          <w:b/>
          <w:color w:val="000000" w:themeColor="text1"/>
          <w:sz w:val="28"/>
          <w:szCs w:val="28"/>
          <w14:ligatures w14:val="none"/>
        </w:rPr>
      </w:r>
    </w:p>
    <w:p>
      <w:pPr>
        <w:ind w:firstLine="708"/>
        <w:jc w:val="both"/>
        <w:shd w:val="nil" w:color="auto"/>
        <w:rPr>
          <w:b/>
          <w:bCs/>
          <w:sz w:val="28"/>
          <w:szCs w:val="28"/>
          <w:highlight w:val="none"/>
          <w:lang w:eastAsia="ru-RU"/>
          <w14:ligatures w14:val="none"/>
        </w:rPr>
      </w:pPr>
      <w:r>
        <w:rPr>
          <w:lang w:eastAsia="ru-RU"/>
        </w:rPr>
        <w:t xml:space="preserve">Нормативы на прочистку труб системы канализации</w:t>
      </w:r>
      <w:r>
        <w:rPr>
          <w:lang w:eastAsia="ru-RU"/>
        </w:rPr>
        <w:t xml:space="preserve"> </w:t>
      </w:r>
      <w:r>
        <w:rPr>
          <w:b/>
          <w:bCs/>
          <w:u w:val="single"/>
          <w:lang w:eastAsia="ru-RU"/>
        </w:rPr>
        <w:t xml:space="preserve">гидродинамическим</w:t>
      </w:r>
      <w:r>
        <w:rPr>
          <w:b w:val="0"/>
          <w:bCs w:val="0"/>
          <w:u w:val="none"/>
          <w:lang w:eastAsia="ru-RU"/>
        </w:rPr>
        <w:t xml:space="preserve"> </w:t>
      </w:r>
      <w:r>
        <w:rPr>
          <w:lang w:eastAsia="ru-RU"/>
        </w:rPr>
        <w:t xml:space="preserve">способом</w:t>
      </w:r>
      <w:r>
        <w:rPr>
          <w:b/>
          <w:sz w:val="28"/>
          <w:szCs w:val="36"/>
          <w:lang w:eastAsia="ru-RU"/>
          <w14:ligatures w14:val="none"/>
        </w:rPr>
        <w:t xml:space="preserve">:</w:t>
      </w:r>
      <w:r>
        <w:rPr>
          <w:b/>
          <w:bCs/>
          <w:sz w:val="28"/>
          <w:szCs w:val="28"/>
          <w:highlight w:val="none"/>
          <w:lang w:eastAsia="ru-RU"/>
          <w14:ligatures w14:val="none"/>
        </w:rPr>
      </w:r>
      <w:r>
        <w:rPr>
          <w:b/>
          <w:bCs/>
          <w:sz w:val="28"/>
          <w:szCs w:val="28"/>
          <w:highlight w:val="none"/>
          <w:lang w:eastAsia="ru-RU"/>
          <w14:ligatures w14:val="none"/>
        </w:rPr>
      </w:r>
    </w:p>
    <w:p>
      <w:pPr>
        <w:jc w:val="both"/>
        <w:shd w:val="nil" w:color="000000"/>
        <w:rPr>
          <w:b/>
          <w:bCs/>
          <w:sz w:val="28"/>
          <w:szCs w:val="28"/>
          <w:lang w:eastAsia="ru-RU"/>
          <w14:ligatures w14:val="none"/>
        </w:rPr>
      </w:pPr>
      <w:r>
        <w:rPr>
          <w:b/>
          <w:sz w:val="28"/>
          <w:szCs w:val="36"/>
          <w:highlight w:val="none"/>
          <w:lang w:eastAsia="ru-RU"/>
          <w14:ligatures w14:val="none"/>
        </w:rPr>
      </w:r>
      <w:r>
        <w:rPr>
          <w:b/>
          <w:bCs/>
          <w:sz w:val="28"/>
          <w:szCs w:val="28"/>
          <w:lang w:eastAsia="ru-RU"/>
          <w14:ligatures w14:val="none"/>
        </w:rPr>
      </w:r>
      <w:r>
        <w:rPr>
          <w:b/>
          <w:bCs/>
          <w:sz w:val="28"/>
          <w:szCs w:val="28"/>
          <w:lang w:eastAsia="ru-RU"/>
          <w14:ligatures w14:val="none"/>
        </w:rPr>
      </w:r>
    </w:p>
    <w:tbl>
      <w:tblPr>
        <w:tblStyle w:val="862"/>
        <w:tblW w:w="6804" w:type="dxa"/>
        <w:tblLayout w:type="fixed"/>
        <w:tblLook w:val="04A0" w:firstRow="1" w:lastRow="0" w:firstColumn="1" w:lastColumn="0" w:noHBand="0" w:noVBand="1"/>
      </w:tblPr>
      <w:tblGrid>
        <w:gridCol w:w="2835"/>
        <w:gridCol w:w="3969"/>
      </w:tblGrid>
      <w:tr>
        <w:tblPrEx/>
        <w:trPr>
          <w:trHeight w:val="0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Диаметр трубы системы канализации, мм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Цена прочистки трубы канализации,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рублей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за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погонный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метр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0"/>
        </w:trPr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line="288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50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jc w:val="center"/>
              <w:spacing w:line="288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0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line="288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110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center"/>
              <w:spacing w:line="288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0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line="288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center"/>
              <w:spacing w:line="288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left"/>
        <w:rPr>
          <w:lang w:val="ru-RU"/>
        </w:rPr>
      </w:pPr>
      <w:r>
        <w:rPr>
          <w:color w:val="000000" w:themeColor="text1"/>
          <w:highlight w:val="none"/>
        </w:rPr>
      </w:r>
      <w:r>
        <w:rPr>
          <w:lang w:val="ru-RU"/>
        </w:rPr>
      </w:r>
      <w:r>
        <w:rPr>
          <w:lang w:val="ru-RU"/>
        </w:rPr>
      </w:r>
    </w:p>
    <w:p>
      <w:pPr>
        <w:ind w:firstLine="708"/>
        <w:jc w:val="left"/>
        <w:rPr>
          <w:color w:val="000000" w:themeColor="text1"/>
          <w:highlight w:val="none"/>
        </w:rPr>
      </w:pPr>
      <w:r>
        <w:rPr>
          <w:color w:val="000000" w:themeColor="text1"/>
        </w:rPr>
        <w:t xml:space="preserve">Цена прочистки 1 </w:t>
      </w:r>
      <w:r>
        <w:rPr>
          <w:highlight w:val="none"/>
          <w:lang w:val="ru-RU" w:eastAsia="en-US"/>
        </w:rPr>
        <w:t xml:space="preserve">м</w:t>
      </w:r>
      <w:r>
        <w:rPr>
          <w:highlight w:val="none"/>
          <w:vertAlign w:val="superscript"/>
          <w:lang w:val="ru-RU" w:eastAsia="en-US"/>
        </w:rPr>
        <w:t xml:space="preserve">3</w:t>
      </w:r>
      <w:r>
        <w:rPr>
          <w:color w:val="000000" w:themeColor="text1"/>
        </w:rPr>
        <w:t xml:space="preserve"> колодца - не более</w:t>
      </w:r>
      <w:r>
        <w:rPr>
          <w:color w:val="000000" w:themeColor="text1"/>
        </w:rPr>
        <w:t xml:space="preserve"> 2,2 тыс. рублей.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sectPr>
      <w:footnotePr/>
      <w:endnotePr/>
      <w:type w:val="nextPage"/>
      <w:pgSz w:w="11906" w:h="16838" w:orient="portrait"/>
      <w:pgMar w:top="567" w:right="567" w:bottom="567" w:left="85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502040504020204"/>
  </w:font>
  <w:font w:name="Tahoma">
    <w:panose1 w:val="020B0604030504040204"/>
  </w:font>
  <w:font w:name="Arial Unicode MS">
    <w:panose1 w:val="020B0506020203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2 Char"/>
    <w:basedOn w:val="680"/>
    <w:link w:val="672"/>
    <w:uiPriority w:val="9"/>
    <w:rPr>
      <w:rFonts w:ascii="Arial" w:hAnsi="Arial" w:eastAsia="Arial" w:cs="Arial"/>
      <w:sz w:val="34"/>
    </w:rPr>
  </w:style>
  <w:style w:type="character" w:styleId="655">
    <w:name w:val="Heading 3 Char"/>
    <w:basedOn w:val="680"/>
    <w:link w:val="673"/>
    <w:uiPriority w:val="9"/>
    <w:rPr>
      <w:rFonts w:ascii="Arial" w:hAnsi="Arial" w:eastAsia="Arial" w:cs="Arial"/>
      <w:sz w:val="30"/>
      <w:szCs w:val="30"/>
    </w:rPr>
  </w:style>
  <w:style w:type="character" w:styleId="656">
    <w:name w:val="Heading 4 Char"/>
    <w:basedOn w:val="680"/>
    <w:link w:val="674"/>
    <w:uiPriority w:val="9"/>
    <w:rPr>
      <w:rFonts w:ascii="Arial" w:hAnsi="Arial" w:eastAsia="Arial" w:cs="Arial"/>
      <w:b/>
      <w:bCs/>
      <w:sz w:val="26"/>
      <w:szCs w:val="26"/>
    </w:rPr>
  </w:style>
  <w:style w:type="character" w:styleId="657">
    <w:name w:val="Heading 5 Char"/>
    <w:basedOn w:val="680"/>
    <w:link w:val="675"/>
    <w:uiPriority w:val="9"/>
    <w:rPr>
      <w:rFonts w:ascii="Arial" w:hAnsi="Arial" w:eastAsia="Arial" w:cs="Arial"/>
      <w:b/>
      <w:bCs/>
      <w:sz w:val="24"/>
      <w:szCs w:val="24"/>
    </w:rPr>
  </w:style>
  <w:style w:type="character" w:styleId="658">
    <w:name w:val="Heading 6 Char"/>
    <w:basedOn w:val="680"/>
    <w:link w:val="676"/>
    <w:uiPriority w:val="9"/>
    <w:rPr>
      <w:rFonts w:ascii="Arial" w:hAnsi="Arial" w:eastAsia="Arial" w:cs="Arial"/>
      <w:b/>
      <w:bCs/>
      <w:sz w:val="22"/>
      <w:szCs w:val="22"/>
    </w:rPr>
  </w:style>
  <w:style w:type="character" w:styleId="659">
    <w:name w:val="Heading 7 Char"/>
    <w:basedOn w:val="680"/>
    <w:link w:val="6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0">
    <w:name w:val="Heading 8 Char"/>
    <w:basedOn w:val="680"/>
    <w:link w:val="678"/>
    <w:uiPriority w:val="9"/>
    <w:rPr>
      <w:rFonts w:ascii="Arial" w:hAnsi="Arial" w:eastAsia="Arial" w:cs="Arial"/>
      <w:i/>
      <w:iCs/>
      <w:sz w:val="22"/>
      <w:szCs w:val="22"/>
    </w:rPr>
  </w:style>
  <w:style w:type="character" w:styleId="661">
    <w:name w:val="Heading 9 Char"/>
    <w:basedOn w:val="680"/>
    <w:link w:val="679"/>
    <w:uiPriority w:val="9"/>
    <w:rPr>
      <w:rFonts w:ascii="Arial" w:hAnsi="Arial" w:eastAsia="Arial" w:cs="Arial"/>
      <w:i/>
      <w:iCs/>
      <w:sz w:val="21"/>
      <w:szCs w:val="21"/>
    </w:rPr>
  </w:style>
  <w:style w:type="character" w:styleId="662">
    <w:name w:val="Title Char"/>
    <w:basedOn w:val="680"/>
    <w:link w:val="694"/>
    <w:uiPriority w:val="10"/>
    <w:rPr>
      <w:sz w:val="48"/>
      <w:szCs w:val="48"/>
    </w:rPr>
  </w:style>
  <w:style w:type="character" w:styleId="663">
    <w:name w:val="Subtitle Char"/>
    <w:basedOn w:val="680"/>
    <w:link w:val="696"/>
    <w:uiPriority w:val="11"/>
    <w:rPr>
      <w:sz w:val="24"/>
      <w:szCs w:val="24"/>
    </w:rPr>
  </w:style>
  <w:style w:type="character" w:styleId="664">
    <w:name w:val="Quote Char"/>
    <w:link w:val="698"/>
    <w:uiPriority w:val="29"/>
    <w:rPr>
      <w:i/>
    </w:rPr>
  </w:style>
  <w:style w:type="character" w:styleId="665">
    <w:name w:val="Intense Quote Char"/>
    <w:link w:val="700"/>
    <w:uiPriority w:val="30"/>
    <w:rPr>
      <w:i/>
    </w:rPr>
  </w:style>
  <w:style w:type="character" w:styleId="666">
    <w:name w:val="Header Char"/>
    <w:basedOn w:val="680"/>
    <w:link w:val="702"/>
    <w:uiPriority w:val="99"/>
  </w:style>
  <w:style w:type="character" w:styleId="667">
    <w:name w:val="Caption Char"/>
    <w:basedOn w:val="706"/>
    <w:link w:val="704"/>
    <w:uiPriority w:val="99"/>
  </w:style>
  <w:style w:type="character" w:styleId="668">
    <w:name w:val="Footnote Text Char"/>
    <w:link w:val="835"/>
    <w:uiPriority w:val="99"/>
    <w:rPr>
      <w:sz w:val="18"/>
    </w:rPr>
  </w:style>
  <w:style w:type="character" w:styleId="669">
    <w:name w:val="Endnote Text Char"/>
    <w:link w:val="838"/>
    <w:uiPriority w:val="99"/>
    <w:rPr>
      <w:sz w:val="20"/>
    </w:rPr>
  </w:style>
  <w:style w:type="paragraph" w:styleId="670" w:default="1">
    <w:name w:val="Normal"/>
    <w:qFormat/>
    <w:rPr>
      <w:rFonts w:ascii="Times New Roman" w:hAnsi="Times New Roman" w:eastAsia="Times New Roman"/>
      <w:sz w:val="24"/>
      <w:szCs w:val="24"/>
      <w:lang w:eastAsia="ru-RU"/>
    </w:rPr>
  </w:style>
  <w:style w:type="paragraph" w:styleId="671">
    <w:name w:val="Heading 1"/>
    <w:basedOn w:val="670"/>
    <w:next w:val="670"/>
    <w:link w:val="852"/>
    <w:qFormat/>
    <w:pPr>
      <w:keepNext/>
      <w:outlineLvl w:val="0"/>
    </w:pPr>
    <w:rPr>
      <w:sz w:val="32"/>
      <w:szCs w:val="20"/>
      <w:lang w:val="en-US"/>
    </w:rPr>
  </w:style>
  <w:style w:type="paragraph" w:styleId="672">
    <w:name w:val="Heading 2"/>
    <w:basedOn w:val="670"/>
    <w:next w:val="670"/>
    <w:link w:val="68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3">
    <w:name w:val="Heading 3"/>
    <w:basedOn w:val="670"/>
    <w:next w:val="670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4">
    <w:name w:val="Heading 4"/>
    <w:basedOn w:val="670"/>
    <w:next w:val="670"/>
    <w:link w:val="68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5">
    <w:name w:val="Heading 5"/>
    <w:basedOn w:val="670"/>
    <w:next w:val="670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76">
    <w:name w:val="Heading 6"/>
    <w:basedOn w:val="670"/>
    <w:next w:val="670"/>
    <w:link w:val="68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77">
    <w:name w:val="Heading 7"/>
    <w:basedOn w:val="670"/>
    <w:next w:val="670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670"/>
    <w:next w:val="670"/>
    <w:link w:val="69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79">
    <w:name w:val="Heading 9"/>
    <w:basedOn w:val="670"/>
    <w:next w:val="670"/>
    <w:link w:val="69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0" w:default="1">
    <w:name w:val="Default Paragraph Font"/>
    <w:uiPriority w:val="1"/>
    <w:semiHidden/>
    <w:unhideWhenUsed/>
  </w:style>
  <w:style w:type="table" w:styleId="68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2" w:default="1">
    <w:name w:val="No List"/>
    <w:uiPriority w:val="99"/>
    <w:semiHidden/>
    <w:unhideWhenUsed/>
  </w:style>
  <w:style w:type="character" w:styleId="683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684" w:customStyle="1">
    <w:name w:val="Заголовок 2 Знак"/>
    <w:link w:val="672"/>
    <w:uiPriority w:val="9"/>
    <w:rPr>
      <w:rFonts w:ascii="Arial" w:hAnsi="Arial" w:eastAsia="Arial" w:cs="Arial"/>
      <w:sz w:val="34"/>
    </w:rPr>
  </w:style>
  <w:style w:type="character" w:styleId="685" w:customStyle="1">
    <w:name w:val="Заголовок 3 Знак"/>
    <w:link w:val="673"/>
    <w:uiPriority w:val="9"/>
    <w:rPr>
      <w:rFonts w:ascii="Arial" w:hAnsi="Arial" w:eastAsia="Arial" w:cs="Arial"/>
      <w:sz w:val="30"/>
      <w:szCs w:val="30"/>
    </w:rPr>
  </w:style>
  <w:style w:type="character" w:styleId="686" w:customStyle="1">
    <w:name w:val="Заголовок 4 Знак"/>
    <w:link w:val="674"/>
    <w:uiPriority w:val="9"/>
    <w:rPr>
      <w:rFonts w:ascii="Arial" w:hAnsi="Arial" w:eastAsia="Arial" w:cs="Arial"/>
      <w:b/>
      <w:bCs/>
      <w:sz w:val="26"/>
      <w:szCs w:val="26"/>
    </w:rPr>
  </w:style>
  <w:style w:type="character" w:styleId="687" w:customStyle="1">
    <w:name w:val="Заголовок 5 Знак"/>
    <w:link w:val="675"/>
    <w:uiPriority w:val="9"/>
    <w:rPr>
      <w:rFonts w:ascii="Arial" w:hAnsi="Arial" w:eastAsia="Arial" w:cs="Arial"/>
      <w:b/>
      <w:bCs/>
      <w:sz w:val="24"/>
      <w:szCs w:val="24"/>
    </w:rPr>
  </w:style>
  <w:style w:type="character" w:styleId="688" w:customStyle="1">
    <w:name w:val="Заголовок 6 Знак"/>
    <w:link w:val="676"/>
    <w:uiPriority w:val="9"/>
    <w:rPr>
      <w:rFonts w:ascii="Arial" w:hAnsi="Arial" w:eastAsia="Arial" w:cs="Arial"/>
      <w:b/>
      <w:bCs/>
      <w:sz w:val="22"/>
      <w:szCs w:val="22"/>
    </w:rPr>
  </w:style>
  <w:style w:type="character" w:styleId="689" w:customStyle="1">
    <w:name w:val="Заголовок 7 Знак"/>
    <w:link w:val="6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0" w:customStyle="1">
    <w:name w:val="Заголовок 8 Знак"/>
    <w:link w:val="678"/>
    <w:uiPriority w:val="9"/>
    <w:rPr>
      <w:rFonts w:ascii="Arial" w:hAnsi="Arial" w:eastAsia="Arial" w:cs="Arial"/>
      <w:i/>
      <w:iCs/>
      <w:sz w:val="22"/>
      <w:szCs w:val="22"/>
    </w:rPr>
  </w:style>
  <w:style w:type="character" w:styleId="691" w:customStyle="1">
    <w:name w:val="Заголовок 9 Знак"/>
    <w:link w:val="679"/>
    <w:uiPriority w:val="9"/>
    <w:rPr>
      <w:rFonts w:ascii="Arial" w:hAnsi="Arial" w:eastAsia="Arial" w:cs="Arial"/>
      <w:i/>
      <w:iCs/>
      <w:sz w:val="21"/>
      <w:szCs w:val="21"/>
    </w:rPr>
  </w:style>
  <w:style w:type="paragraph" w:styleId="692">
    <w:name w:val="List Paragraph"/>
    <w:basedOn w:val="670"/>
    <w:uiPriority w:val="34"/>
    <w:qFormat/>
    <w:pPr>
      <w:contextualSpacing/>
      <w:ind w:left="720"/>
    </w:pPr>
  </w:style>
  <w:style w:type="paragraph" w:styleId="693">
    <w:name w:val="No Spacing"/>
    <w:uiPriority w:val="1"/>
    <w:qFormat/>
  </w:style>
  <w:style w:type="paragraph" w:styleId="694">
    <w:name w:val="Title"/>
    <w:basedOn w:val="670"/>
    <w:next w:val="670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 w:customStyle="1">
    <w:name w:val="Заголовок Знак"/>
    <w:link w:val="694"/>
    <w:uiPriority w:val="10"/>
    <w:rPr>
      <w:sz w:val="48"/>
      <w:szCs w:val="48"/>
    </w:rPr>
  </w:style>
  <w:style w:type="paragraph" w:styleId="696">
    <w:name w:val="Subtitle"/>
    <w:basedOn w:val="670"/>
    <w:next w:val="670"/>
    <w:link w:val="697"/>
    <w:uiPriority w:val="11"/>
    <w:qFormat/>
    <w:pPr>
      <w:spacing w:before="200" w:after="200"/>
    </w:pPr>
  </w:style>
  <w:style w:type="character" w:styleId="697" w:customStyle="1">
    <w:name w:val="Подзаголовок Знак"/>
    <w:link w:val="696"/>
    <w:uiPriority w:val="11"/>
    <w:rPr>
      <w:sz w:val="24"/>
      <w:szCs w:val="24"/>
    </w:rPr>
  </w:style>
  <w:style w:type="paragraph" w:styleId="698">
    <w:name w:val="Quote"/>
    <w:basedOn w:val="670"/>
    <w:next w:val="670"/>
    <w:link w:val="699"/>
    <w:uiPriority w:val="29"/>
    <w:qFormat/>
    <w:pPr>
      <w:ind w:left="720" w:right="720"/>
    </w:pPr>
    <w:rPr>
      <w:i/>
    </w:rPr>
  </w:style>
  <w:style w:type="character" w:styleId="699" w:customStyle="1">
    <w:name w:val="Цитата 2 Знак"/>
    <w:link w:val="698"/>
    <w:uiPriority w:val="29"/>
    <w:rPr>
      <w:i/>
    </w:rPr>
  </w:style>
  <w:style w:type="paragraph" w:styleId="700">
    <w:name w:val="Intense Quote"/>
    <w:basedOn w:val="670"/>
    <w:next w:val="670"/>
    <w:link w:val="70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 w:customStyle="1">
    <w:name w:val="Выделенная цитата Знак"/>
    <w:link w:val="700"/>
    <w:uiPriority w:val="30"/>
    <w:rPr>
      <w:i/>
    </w:rPr>
  </w:style>
  <w:style w:type="paragraph" w:styleId="702">
    <w:name w:val="Header"/>
    <w:basedOn w:val="670"/>
    <w:link w:val="70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3" w:customStyle="1">
    <w:name w:val="Верхний колонтитул Знак"/>
    <w:link w:val="702"/>
    <w:uiPriority w:val="99"/>
  </w:style>
  <w:style w:type="paragraph" w:styleId="704">
    <w:name w:val="Footer"/>
    <w:basedOn w:val="670"/>
    <w:link w:val="70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5" w:customStyle="1">
    <w:name w:val="Footer Char"/>
    <w:uiPriority w:val="99"/>
  </w:style>
  <w:style w:type="paragraph" w:styleId="706">
    <w:name w:val="Caption"/>
    <w:basedOn w:val="670"/>
    <w:next w:val="67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 w:customStyle="1">
    <w:name w:val="Нижний колонтитул Знак"/>
    <w:link w:val="704"/>
    <w:uiPriority w:val="99"/>
  </w:style>
  <w:style w:type="table" w:styleId="708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8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9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0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1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2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3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0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1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2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3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4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5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6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0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1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2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3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4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5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6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5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6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7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8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9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0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2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3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4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5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6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7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8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9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0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1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2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3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4">
    <w:name w:val="Hyperlink"/>
    <w:uiPriority w:val="99"/>
    <w:semiHidden/>
    <w:unhideWhenUsed/>
    <w:rPr>
      <w:color w:val="0000ff"/>
      <w:u w:val="single"/>
    </w:rPr>
  </w:style>
  <w:style w:type="paragraph" w:styleId="835">
    <w:name w:val="footnote text"/>
    <w:basedOn w:val="670"/>
    <w:link w:val="836"/>
    <w:uiPriority w:val="99"/>
    <w:semiHidden/>
    <w:unhideWhenUsed/>
    <w:pPr>
      <w:spacing w:after="40"/>
    </w:pPr>
    <w:rPr>
      <w:sz w:val="18"/>
    </w:rPr>
  </w:style>
  <w:style w:type="character" w:styleId="836" w:customStyle="1">
    <w:name w:val="Текст сноски Знак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670"/>
    <w:link w:val="839"/>
    <w:uiPriority w:val="99"/>
    <w:semiHidden/>
    <w:unhideWhenUsed/>
    <w:rPr>
      <w:sz w:val="20"/>
    </w:rPr>
  </w:style>
  <w:style w:type="character" w:styleId="839" w:customStyle="1">
    <w:name w:val="Текст концевой сноски Знак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670"/>
    <w:next w:val="670"/>
    <w:uiPriority w:val="39"/>
    <w:unhideWhenUsed/>
    <w:pPr>
      <w:spacing w:after="57"/>
    </w:pPr>
  </w:style>
  <w:style w:type="paragraph" w:styleId="842">
    <w:name w:val="toc 2"/>
    <w:basedOn w:val="670"/>
    <w:next w:val="670"/>
    <w:uiPriority w:val="39"/>
    <w:unhideWhenUsed/>
    <w:pPr>
      <w:ind w:left="283"/>
      <w:spacing w:after="57"/>
    </w:pPr>
  </w:style>
  <w:style w:type="paragraph" w:styleId="843">
    <w:name w:val="toc 3"/>
    <w:basedOn w:val="670"/>
    <w:next w:val="670"/>
    <w:uiPriority w:val="39"/>
    <w:unhideWhenUsed/>
    <w:pPr>
      <w:ind w:left="567"/>
      <w:spacing w:after="57"/>
    </w:pPr>
  </w:style>
  <w:style w:type="paragraph" w:styleId="844">
    <w:name w:val="toc 4"/>
    <w:basedOn w:val="670"/>
    <w:next w:val="670"/>
    <w:uiPriority w:val="39"/>
    <w:unhideWhenUsed/>
    <w:pPr>
      <w:ind w:left="850"/>
      <w:spacing w:after="57"/>
    </w:pPr>
  </w:style>
  <w:style w:type="paragraph" w:styleId="845">
    <w:name w:val="toc 5"/>
    <w:basedOn w:val="670"/>
    <w:next w:val="670"/>
    <w:uiPriority w:val="39"/>
    <w:unhideWhenUsed/>
    <w:pPr>
      <w:ind w:left="1134"/>
      <w:spacing w:after="57"/>
    </w:pPr>
  </w:style>
  <w:style w:type="paragraph" w:styleId="846">
    <w:name w:val="toc 6"/>
    <w:basedOn w:val="670"/>
    <w:next w:val="670"/>
    <w:uiPriority w:val="39"/>
    <w:unhideWhenUsed/>
    <w:pPr>
      <w:ind w:left="1417"/>
      <w:spacing w:after="57"/>
    </w:pPr>
  </w:style>
  <w:style w:type="paragraph" w:styleId="847">
    <w:name w:val="toc 7"/>
    <w:basedOn w:val="670"/>
    <w:next w:val="670"/>
    <w:uiPriority w:val="39"/>
    <w:unhideWhenUsed/>
    <w:pPr>
      <w:ind w:left="1701"/>
      <w:spacing w:after="57"/>
    </w:pPr>
  </w:style>
  <w:style w:type="paragraph" w:styleId="848">
    <w:name w:val="toc 8"/>
    <w:basedOn w:val="670"/>
    <w:next w:val="670"/>
    <w:uiPriority w:val="39"/>
    <w:unhideWhenUsed/>
    <w:pPr>
      <w:ind w:left="1984"/>
      <w:spacing w:after="57"/>
    </w:pPr>
  </w:style>
  <w:style w:type="paragraph" w:styleId="849">
    <w:name w:val="toc 9"/>
    <w:basedOn w:val="670"/>
    <w:next w:val="670"/>
    <w:uiPriority w:val="39"/>
    <w:unhideWhenUsed/>
    <w:pPr>
      <w:ind w:left="2268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670"/>
    <w:next w:val="670"/>
    <w:uiPriority w:val="99"/>
    <w:unhideWhenUsed/>
  </w:style>
  <w:style w:type="character" w:styleId="852" w:customStyle="1">
    <w:name w:val="Заголовок 1 Знак"/>
    <w:link w:val="671"/>
    <w:rPr>
      <w:rFonts w:ascii="Times New Roman" w:hAnsi="Times New Roman" w:eastAsia="Times New Roman" w:cs="Times New Roman"/>
      <w:sz w:val="32"/>
      <w:szCs w:val="20"/>
      <w:lang w:val="en-US" w:eastAsia="ru-RU"/>
    </w:rPr>
  </w:style>
  <w:style w:type="paragraph" w:styleId="853">
    <w:name w:val="Body Text Indent"/>
    <w:basedOn w:val="670"/>
    <w:link w:val="854"/>
    <w:uiPriority w:val="99"/>
    <w:semiHidden/>
    <w:unhideWhenUsed/>
    <w:pPr>
      <w:ind w:left="283"/>
      <w:spacing w:after="120"/>
    </w:pPr>
  </w:style>
  <w:style w:type="character" w:styleId="854" w:customStyle="1">
    <w:name w:val="Основной текст с отступом Знак"/>
    <w:link w:val="853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55">
    <w:name w:val="Balloon Text"/>
    <w:basedOn w:val="670"/>
    <w:link w:val="856"/>
    <w:uiPriority w:val="99"/>
    <w:semiHidden/>
    <w:unhideWhenUsed/>
    <w:rPr>
      <w:rFonts w:ascii="Tahoma" w:hAnsi="Tahoma" w:cs="Tahoma"/>
      <w:sz w:val="16"/>
      <w:szCs w:val="16"/>
    </w:rPr>
  </w:style>
  <w:style w:type="character" w:styleId="856" w:customStyle="1">
    <w:name w:val="Текст выноски Знак"/>
    <w:link w:val="855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857" w:customStyle="1">
    <w:name w:val="cardmaininfo__purchaselink"/>
  </w:style>
  <w:style w:type="character" w:styleId="858" w:customStyle="1">
    <w:name w:val="section__title"/>
    <w:basedOn w:val="680"/>
  </w:style>
  <w:style w:type="character" w:styleId="859" w:customStyle="1">
    <w:name w:val="section__info"/>
    <w:basedOn w:val="680"/>
  </w:style>
  <w:style w:type="character" w:styleId="860" w:customStyle="1">
    <w:name w:val="Основной текст (2) + 11 pt;Полужирный"/>
    <w:rPr>
      <w:rFonts w:ascii="Times New Roman" w:hAnsi="Times New Roman" w:eastAsia="Times New Roman" w:cs="Times New Roman"/>
      <w:b/>
      <w:bCs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paragraph" w:styleId="861" w:customStyle="1">
    <w:name w:val="Основной текст,Заг1,BO,ID,body indent,ändrad,EHPT,Body Text2,body tex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Lucida Sans Unicode" w:cs="Tahoma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en-US"/>
      <w14:ligatures w14:val="none"/>
    </w:rPr>
  </w:style>
  <w:style w:type="table" w:styleId="862" w:customStyle="1">
    <w:name w:val="Сетка таблицы27"/>
    <w:uiPriority w:val="3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adjimuhamedovasr</dc:creator>
  <cp:revision>14</cp:revision>
  <dcterms:created xsi:type="dcterms:W3CDTF">2025-10-17T05:31:00Z</dcterms:created>
  <dcterms:modified xsi:type="dcterms:W3CDTF">2026-08-20T10:34:31Z</dcterms:modified>
  <cp:version>1048576</cp:version>
</cp:coreProperties>
</file>