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B18D9" w14:textId="1F12BE3C" w:rsidR="001A58C6" w:rsidRPr="001A58C6" w:rsidRDefault="001A58C6" w:rsidP="001A58C6">
      <w:pPr>
        <w:jc w:val="center"/>
        <w:rPr>
          <w:rFonts w:ascii="Times New Roman" w:hAnsi="Times New Roman" w:cs="Times New Roman"/>
          <w:b/>
          <w:bCs/>
        </w:rPr>
      </w:pPr>
      <w:r w:rsidRPr="001A58C6">
        <w:rPr>
          <w:rFonts w:ascii="Times New Roman" w:hAnsi="Times New Roman" w:cs="Times New Roman"/>
          <w:b/>
          <w:bCs/>
        </w:rPr>
        <w:t>Техническое задание</w:t>
      </w:r>
    </w:p>
    <w:p w14:paraId="066FBC0F" w14:textId="6A789E66" w:rsidR="001A58C6" w:rsidRDefault="001A58C6" w:rsidP="001A58C6">
      <w:pPr>
        <w:jc w:val="center"/>
        <w:rPr>
          <w:rFonts w:ascii="Times New Roman" w:hAnsi="Times New Roman" w:cs="Times New Roman"/>
          <w:b/>
          <w:bCs/>
        </w:rPr>
      </w:pPr>
      <w:r w:rsidRPr="001A58C6">
        <w:rPr>
          <w:rFonts w:ascii="Times New Roman" w:hAnsi="Times New Roman" w:cs="Times New Roman"/>
          <w:b/>
          <w:bCs/>
        </w:rPr>
        <w:t xml:space="preserve">На поставку медицинских расходных материалов для нейрохирургии </w:t>
      </w: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560"/>
        <w:gridCol w:w="1418"/>
        <w:gridCol w:w="1404"/>
        <w:gridCol w:w="13"/>
        <w:gridCol w:w="2268"/>
        <w:gridCol w:w="1843"/>
        <w:gridCol w:w="1559"/>
        <w:gridCol w:w="1701"/>
        <w:gridCol w:w="1701"/>
        <w:gridCol w:w="213"/>
        <w:gridCol w:w="779"/>
        <w:gridCol w:w="11"/>
        <w:gridCol w:w="698"/>
      </w:tblGrid>
      <w:tr w:rsidR="0072292B" w:rsidRPr="002E28EB" w14:paraId="468AC5CC" w14:textId="77777777" w:rsidTr="0072292B">
        <w:trPr>
          <w:trHeight w:val="20"/>
        </w:trPr>
        <w:tc>
          <w:tcPr>
            <w:tcW w:w="567" w:type="dxa"/>
            <w:vMerge w:val="restart"/>
            <w:shd w:val="clear" w:color="auto" w:fill="auto"/>
            <w:vAlign w:val="center"/>
          </w:tcPr>
          <w:p w14:paraId="125334A5" w14:textId="77777777" w:rsidR="0072292B" w:rsidRPr="002E28EB" w:rsidRDefault="0072292B" w:rsidP="001F5942">
            <w:pPr>
              <w:spacing w:after="0" w:line="240" w:lineRule="auto"/>
              <w:jc w:val="center"/>
              <w:rPr>
                <w:rFonts w:ascii="Times New Roman" w:eastAsia="Times New Roman" w:hAnsi="Times New Roman" w:cs="Times New Roman"/>
                <w:sz w:val="20"/>
                <w:szCs w:val="20"/>
              </w:rPr>
            </w:pPr>
            <w:r w:rsidRPr="002E28EB">
              <w:rPr>
                <w:rFonts w:ascii="Times New Roman" w:eastAsia="Times New Roman" w:hAnsi="Times New Roman" w:cs="Times New Roman"/>
                <w:sz w:val="20"/>
                <w:szCs w:val="20"/>
              </w:rPr>
              <w:t>№</w:t>
            </w:r>
          </w:p>
        </w:tc>
        <w:tc>
          <w:tcPr>
            <w:tcW w:w="1560" w:type="dxa"/>
            <w:vMerge w:val="restart"/>
            <w:shd w:val="clear" w:color="auto" w:fill="auto"/>
            <w:vAlign w:val="center"/>
          </w:tcPr>
          <w:p w14:paraId="1D175E15" w14:textId="77777777" w:rsidR="0072292B" w:rsidRPr="002E28EB" w:rsidRDefault="0072292B" w:rsidP="001F5942">
            <w:pPr>
              <w:spacing w:after="0" w:line="240" w:lineRule="auto"/>
              <w:jc w:val="center"/>
              <w:rPr>
                <w:rFonts w:ascii="Times New Roman" w:eastAsia="Times New Roman" w:hAnsi="Times New Roman" w:cs="Times New Roman"/>
                <w:sz w:val="20"/>
                <w:szCs w:val="20"/>
              </w:rPr>
            </w:pPr>
            <w:r w:rsidRPr="002E28EB">
              <w:rPr>
                <w:rFonts w:ascii="Times New Roman" w:eastAsia="Calibri" w:hAnsi="Times New Roman" w:cs="Times New Roman"/>
                <w:color w:val="000000"/>
                <w:sz w:val="20"/>
                <w:szCs w:val="20"/>
              </w:rPr>
              <w:t>Наименование объекта закупки</w:t>
            </w:r>
          </w:p>
        </w:tc>
        <w:tc>
          <w:tcPr>
            <w:tcW w:w="1418" w:type="dxa"/>
            <w:vMerge w:val="restart"/>
            <w:shd w:val="clear" w:color="auto" w:fill="auto"/>
            <w:vAlign w:val="center"/>
          </w:tcPr>
          <w:p w14:paraId="248111B0" w14:textId="77777777" w:rsidR="0072292B" w:rsidRPr="002E28EB" w:rsidRDefault="0072292B" w:rsidP="001F5942">
            <w:pPr>
              <w:spacing w:after="0" w:line="240" w:lineRule="auto"/>
              <w:jc w:val="center"/>
              <w:rPr>
                <w:rFonts w:ascii="Times New Roman" w:eastAsia="Calibri" w:hAnsi="Times New Roman" w:cs="Times New Roman"/>
                <w:color w:val="000000"/>
                <w:sz w:val="20"/>
                <w:szCs w:val="20"/>
              </w:rPr>
            </w:pPr>
            <w:r w:rsidRPr="002E28EB">
              <w:rPr>
                <w:rFonts w:ascii="Times New Roman" w:eastAsia="Calibri" w:hAnsi="Times New Roman" w:cs="Times New Roman"/>
                <w:sz w:val="20"/>
                <w:szCs w:val="20"/>
              </w:rPr>
              <w:t>Код ОКПД2</w:t>
            </w:r>
          </w:p>
        </w:tc>
        <w:tc>
          <w:tcPr>
            <w:tcW w:w="1417" w:type="dxa"/>
            <w:gridSpan w:val="2"/>
            <w:vMerge w:val="restart"/>
            <w:shd w:val="clear" w:color="auto" w:fill="auto"/>
            <w:vAlign w:val="center"/>
          </w:tcPr>
          <w:p w14:paraId="06906069" w14:textId="77777777" w:rsidR="0072292B" w:rsidRPr="002E28EB" w:rsidRDefault="0072292B" w:rsidP="001F5942">
            <w:pPr>
              <w:spacing w:after="0" w:line="240" w:lineRule="auto"/>
              <w:jc w:val="center"/>
              <w:rPr>
                <w:rFonts w:ascii="Times New Roman" w:eastAsia="Calibri" w:hAnsi="Times New Roman" w:cs="Times New Roman"/>
                <w:color w:val="000000"/>
                <w:sz w:val="20"/>
                <w:szCs w:val="20"/>
              </w:rPr>
            </w:pPr>
            <w:r w:rsidRPr="002E28EB">
              <w:rPr>
                <w:rFonts w:ascii="Times New Roman" w:eastAsia="Calibri" w:hAnsi="Times New Roman" w:cs="Times New Roman"/>
                <w:sz w:val="20"/>
                <w:szCs w:val="20"/>
              </w:rPr>
              <w:t>Позиция КТРУ</w:t>
            </w:r>
          </w:p>
        </w:tc>
        <w:tc>
          <w:tcPr>
            <w:tcW w:w="9072" w:type="dxa"/>
            <w:gridSpan w:val="5"/>
          </w:tcPr>
          <w:p w14:paraId="6BCF5CF5" w14:textId="77777777" w:rsidR="0072292B" w:rsidRPr="002E28EB" w:rsidRDefault="0072292B" w:rsidP="001F5942">
            <w:pPr>
              <w:spacing w:after="0" w:line="240" w:lineRule="auto"/>
              <w:jc w:val="center"/>
              <w:rPr>
                <w:rFonts w:ascii="Times New Roman" w:eastAsia="Times New Roman" w:hAnsi="Times New Roman" w:cs="Times New Roman"/>
                <w:sz w:val="20"/>
                <w:szCs w:val="20"/>
              </w:rPr>
            </w:pPr>
            <w:r w:rsidRPr="002E28EB">
              <w:rPr>
                <w:rFonts w:ascii="Times New Roman" w:eastAsia="Calibri" w:hAnsi="Times New Roman" w:cs="Times New Roman"/>
                <w:sz w:val="20"/>
                <w:szCs w:val="20"/>
              </w:rPr>
              <w:t>Характеристики товара</w:t>
            </w:r>
          </w:p>
        </w:tc>
        <w:tc>
          <w:tcPr>
            <w:tcW w:w="992" w:type="dxa"/>
            <w:gridSpan w:val="2"/>
            <w:shd w:val="clear" w:color="auto" w:fill="auto"/>
            <w:vAlign w:val="center"/>
          </w:tcPr>
          <w:p w14:paraId="0D2E016B" w14:textId="77777777" w:rsidR="0072292B" w:rsidRPr="002E28EB" w:rsidRDefault="0072292B" w:rsidP="001F5942">
            <w:pPr>
              <w:spacing w:after="0" w:line="240" w:lineRule="auto"/>
              <w:jc w:val="center"/>
              <w:rPr>
                <w:rFonts w:ascii="Times New Roman" w:eastAsia="Times New Roman" w:hAnsi="Times New Roman" w:cs="Times New Roman"/>
                <w:sz w:val="20"/>
                <w:szCs w:val="20"/>
              </w:rPr>
            </w:pPr>
            <w:r w:rsidRPr="002E28EB">
              <w:rPr>
                <w:rFonts w:ascii="Times New Roman" w:eastAsia="Times New Roman" w:hAnsi="Times New Roman" w:cs="Times New Roman"/>
                <w:sz w:val="20"/>
                <w:szCs w:val="20"/>
              </w:rPr>
              <w:t>Ед. изм.</w:t>
            </w:r>
          </w:p>
        </w:tc>
        <w:tc>
          <w:tcPr>
            <w:tcW w:w="709" w:type="dxa"/>
            <w:gridSpan w:val="2"/>
            <w:shd w:val="clear" w:color="auto" w:fill="auto"/>
            <w:vAlign w:val="center"/>
          </w:tcPr>
          <w:p w14:paraId="38F91441" w14:textId="77777777" w:rsidR="0072292B" w:rsidRPr="002E28EB" w:rsidRDefault="0072292B" w:rsidP="001F5942">
            <w:pPr>
              <w:spacing w:after="0" w:line="240" w:lineRule="auto"/>
              <w:jc w:val="center"/>
              <w:rPr>
                <w:rFonts w:ascii="Times New Roman" w:eastAsia="Times New Roman" w:hAnsi="Times New Roman" w:cs="Times New Roman"/>
                <w:sz w:val="20"/>
                <w:szCs w:val="20"/>
              </w:rPr>
            </w:pPr>
            <w:r w:rsidRPr="002E28EB">
              <w:rPr>
                <w:rFonts w:ascii="Times New Roman" w:eastAsia="Times New Roman" w:hAnsi="Times New Roman" w:cs="Times New Roman"/>
                <w:sz w:val="20"/>
                <w:szCs w:val="20"/>
              </w:rPr>
              <w:t>Кол-во</w:t>
            </w:r>
          </w:p>
        </w:tc>
      </w:tr>
      <w:tr w:rsidR="0072292B" w:rsidRPr="002E28EB" w14:paraId="57B96110" w14:textId="77777777" w:rsidTr="0072292B">
        <w:trPr>
          <w:trHeight w:val="1113"/>
        </w:trPr>
        <w:tc>
          <w:tcPr>
            <w:tcW w:w="567" w:type="dxa"/>
            <w:vMerge/>
            <w:shd w:val="clear" w:color="auto" w:fill="auto"/>
            <w:vAlign w:val="center"/>
          </w:tcPr>
          <w:p w14:paraId="54D30830"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shd w:val="clear" w:color="auto" w:fill="auto"/>
            <w:vAlign w:val="center"/>
          </w:tcPr>
          <w:p w14:paraId="3EEDF48D"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shd w:val="clear" w:color="auto" w:fill="auto"/>
            <w:vAlign w:val="center"/>
          </w:tcPr>
          <w:p w14:paraId="49CB9A44"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shd w:val="clear" w:color="auto" w:fill="auto"/>
            <w:vAlign w:val="center"/>
          </w:tcPr>
          <w:p w14:paraId="22EA02C3"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shd w:val="clear" w:color="auto" w:fill="auto"/>
          </w:tcPr>
          <w:p w14:paraId="0678C770" w14:textId="77777777" w:rsidR="0072292B" w:rsidRPr="002E28EB" w:rsidRDefault="0072292B" w:rsidP="001F5942">
            <w:pPr>
              <w:spacing w:after="0" w:line="240" w:lineRule="auto"/>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Наименование характеристики</w:t>
            </w:r>
          </w:p>
        </w:tc>
        <w:tc>
          <w:tcPr>
            <w:tcW w:w="1843" w:type="dxa"/>
            <w:shd w:val="clear" w:color="auto" w:fill="auto"/>
          </w:tcPr>
          <w:p w14:paraId="6287C9EF"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Значение характеристики</w:t>
            </w:r>
          </w:p>
        </w:tc>
        <w:tc>
          <w:tcPr>
            <w:tcW w:w="1559" w:type="dxa"/>
          </w:tcPr>
          <w:p w14:paraId="0E5AC326"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Ед. изм. характеристики</w:t>
            </w:r>
          </w:p>
        </w:tc>
        <w:tc>
          <w:tcPr>
            <w:tcW w:w="1701" w:type="dxa"/>
          </w:tcPr>
          <w:p w14:paraId="4AFD3CCE"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Обоснование дополнительных характеристик</w:t>
            </w:r>
          </w:p>
        </w:tc>
        <w:tc>
          <w:tcPr>
            <w:tcW w:w="1701" w:type="dxa"/>
          </w:tcPr>
          <w:p w14:paraId="701286EC"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Инструкция по заполнению характеристик в заявке</w:t>
            </w:r>
          </w:p>
        </w:tc>
        <w:tc>
          <w:tcPr>
            <w:tcW w:w="992" w:type="dxa"/>
            <w:gridSpan w:val="2"/>
            <w:shd w:val="clear" w:color="auto" w:fill="auto"/>
          </w:tcPr>
          <w:p w14:paraId="11CEEEA5"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shd w:val="clear" w:color="auto" w:fill="auto"/>
          </w:tcPr>
          <w:p w14:paraId="4AA5DA6D"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4586159B" w14:textId="77777777" w:rsidTr="0072292B">
        <w:trPr>
          <w:trHeight w:val="20"/>
        </w:trPr>
        <w:tc>
          <w:tcPr>
            <w:tcW w:w="567" w:type="dxa"/>
            <w:vMerge w:val="restart"/>
            <w:shd w:val="clear" w:color="auto" w:fill="auto"/>
          </w:tcPr>
          <w:p w14:paraId="7DCD7801"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lang w:val="en-US"/>
              </w:rPr>
            </w:pPr>
            <w:r w:rsidRPr="002E28EB">
              <w:rPr>
                <w:rFonts w:ascii="Times New Roman" w:eastAsia="Times New Roman" w:hAnsi="Times New Roman" w:cs="Times New Roman"/>
                <w:sz w:val="20"/>
                <w:szCs w:val="20"/>
                <w:lang w:val="en-US"/>
              </w:rPr>
              <w:t>1</w:t>
            </w:r>
          </w:p>
        </w:tc>
        <w:tc>
          <w:tcPr>
            <w:tcW w:w="1560" w:type="dxa"/>
            <w:vMerge w:val="restart"/>
            <w:tcBorders>
              <w:top w:val="single" w:sz="4" w:space="0" w:color="000000"/>
              <w:left w:val="single" w:sz="4" w:space="0" w:color="000000"/>
              <w:right w:val="single" w:sz="4" w:space="0" w:color="000000"/>
            </w:tcBorders>
          </w:tcPr>
          <w:p w14:paraId="4E81AC5C" w14:textId="77777777" w:rsidR="0072292B" w:rsidRPr="002E28EB" w:rsidRDefault="0072292B" w:rsidP="001F5942">
            <w:pPr>
              <w:widowControl w:val="0"/>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 xml:space="preserve">Кейдж для </w:t>
            </w:r>
            <w:proofErr w:type="spellStart"/>
            <w:r w:rsidRPr="002E28EB">
              <w:rPr>
                <w:rFonts w:ascii="Times New Roman" w:eastAsia="Times New Roman" w:hAnsi="Times New Roman" w:cs="Times New Roman"/>
                <w:color w:val="000000"/>
                <w:sz w:val="20"/>
                <w:szCs w:val="20"/>
              </w:rPr>
              <w:t>межтелового</w:t>
            </w:r>
            <w:proofErr w:type="spellEnd"/>
            <w:r w:rsidRPr="002E28EB">
              <w:rPr>
                <w:rFonts w:ascii="Times New Roman" w:eastAsia="Times New Roman" w:hAnsi="Times New Roman" w:cs="Times New Roman"/>
                <w:color w:val="000000"/>
                <w:sz w:val="20"/>
                <w:szCs w:val="20"/>
              </w:rPr>
              <w:t xml:space="preserve"> </w:t>
            </w:r>
            <w:proofErr w:type="spellStart"/>
            <w:r w:rsidRPr="002E28EB">
              <w:rPr>
                <w:rFonts w:ascii="Times New Roman" w:eastAsia="Times New Roman" w:hAnsi="Times New Roman" w:cs="Times New Roman"/>
                <w:color w:val="000000"/>
                <w:sz w:val="20"/>
                <w:szCs w:val="20"/>
              </w:rPr>
              <w:t>спондилодеза</w:t>
            </w:r>
            <w:proofErr w:type="spellEnd"/>
            <w:r w:rsidRPr="002E28EB">
              <w:rPr>
                <w:rFonts w:ascii="Times New Roman" w:eastAsia="Times New Roman" w:hAnsi="Times New Roman" w:cs="Times New Roman"/>
                <w:color w:val="000000"/>
                <w:sz w:val="20"/>
                <w:szCs w:val="20"/>
              </w:rPr>
              <w:t xml:space="preserve"> полимерный</w:t>
            </w:r>
          </w:p>
        </w:tc>
        <w:tc>
          <w:tcPr>
            <w:tcW w:w="1418" w:type="dxa"/>
            <w:vMerge w:val="restart"/>
            <w:tcBorders>
              <w:top w:val="single" w:sz="4" w:space="0" w:color="000000"/>
              <w:left w:val="single" w:sz="4" w:space="0" w:color="000000"/>
              <w:right w:val="single" w:sz="4" w:space="0" w:color="000000"/>
            </w:tcBorders>
          </w:tcPr>
          <w:p w14:paraId="5FBE11C6" w14:textId="77777777" w:rsidR="0072292B" w:rsidRPr="002E28EB" w:rsidRDefault="0072292B" w:rsidP="001F5942">
            <w:pPr>
              <w:widowControl w:val="0"/>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32.50.22.127</w:t>
            </w:r>
          </w:p>
        </w:tc>
        <w:tc>
          <w:tcPr>
            <w:tcW w:w="1417" w:type="dxa"/>
            <w:gridSpan w:val="2"/>
            <w:vMerge w:val="restart"/>
            <w:tcBorders>
              <w:top w:val="single" w:sz="4" w:space="0" w:color="000000"/>
              <w:left w:val="single" w:sz="4" w:space="0" w:color="000000"/>
              <w:right w:val="single" w:sz="4" w:space="0" w:color="auto"/>
            </w:tcBorders>
          </w:tcPr>
          <w:p w14:paraId="19BCB64B" w14:textId="77777777" w:rsidR="0072292B" w:rsidRPr="002E28EB" w:rsidRDefault="0072292B" w:rsidP="001F5942">
            <w:pPr>
              <w:widowControl w:val="0"/>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32.50.22.190-00005126</w:t>
            </w:r>
          </w:p>
        </w:tc>
        <w:tc>
          <w:tcPr>
            <w:tcW w:w="2268" w:type="dxa"/>
            <w:tcBorders>
              <w:top w:val="single" w:sz="4" w:space="0" w:color="auto"/>
              <w:left w:val="single" w:sz="4" w:space="0" w:color="auto"/>
              <w:right w:val="single" w:sz="4" w:space="0" w:color="auto"/>
            </w:tcBorders>
          </w:tcPr>
          <w:p w14:paraId="77AA1B28"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Описание</w:t>
            </w:r>
          </w:p>
        </w:tc>
        <w:tc>
          <w:tcPr>
            <w:tcW w:w="3402" w:type="dxa"/>
            <w:gridSpan w:val="2"/>
            <w:tcBorders>
              <w:top w:val="single" w:sz="4" w:space="0" w:color="auto"/>
              <w:left w:val="single" w:sz="4" w:space="0" w:color="auto"/>
              <w:right w:val="single" w:sz="4" w:space="0" w:color="auto"/>
            </w:tcBorders>
          </w:tcPr>
          <w:p w14:paraId="53E0CB69" w14:textId="77777777" w:rsidR="0072292B" w:rsidRPr="002E28EB" w:rsidRDefault="0072292B" w:rsidP="001F5942">
            <w:pPr>
              <w:widowControl w:val="0"/>
              <w:spacing w:after="0"/>
              <w:jc w:val="both"/>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 xml:space="preserve">Изделие, предназначенное для имплантации в пространство межпозвонкового диска, который был частично или полностью удален во время операции, с целью обеспечения </w:t>
            </w:r>
            <w:proofErr w:type="spellStart"/>
            <w:r w:rsidRPr="002E28EB">
              <w:rPr>
                <w:rFonts w:ascii="Times New Roman" w:eastAsia="Times New Roman" w:hAnsi="Times New Roman" w:cs="Times New Roman"/>
                <w:color w:val="000000"/>
                <w:sz w:val="20"/>
                <w:szCs w:val="20"/>
              </w:rPr>
              <w:t>спондилодеза</w:t>
            </w:r>
            <w:proofErr w:type="spellEnd"/>
            <w:r w:rsidRPr="002E28EB">
              <w:rPr>
                <w:rFonts w:ascii="Times New Roman" w:eastAsia="Times New Roman" w:hAnsi="Times New Roman" w:cs="Times New Roman"/>
                <w:color w:val="000000"/>
                <w:sz w:val="20"/>
                <w:szCs w:val="20"/>
              </w:rPr>
              <w:t xml:space="preserve"> между двумя смежными телами позвонков, как правило, при лечении дегенеративного заболевания межпозвонковых дисков. Это полое, пористое, с резьбой и/или отверстиями изделие в виде цилиндра или другой геометрической формы, которое изготавливается из </w:t>
            </w:r>
            <w:proofErr w:type="spellStart"/>
            <w:r w:rsidRPr="002E28EB">
              <w:rPr>
                <w:rFonts w:ascii="Times New Roman" w:eastAsia="Times New Roman" w:hAnsi="Times New Roman" w:cs="Times New Roman"/>
                <w:color w:val="000000"/>
                <w:sz w:val="20"/>
                <w:szCs w:val="20"/>
              </w:rPr>
              <w:t>нерассасывающегося</w:t>
            </w:r>
            <w:proofErr w:type="spellEnd"/>
            <w:r w:rsidRPr="002E28EB">
              <w:rPr>
                <w:rFonts w:ascii="Times New Roman" w:eastAsia="Times New Roman" w:hAnsi="Times New Roman" w:cs="Times New Roman"/>
                <w:color w:val="000000"/>
                <w:sz w:val="20"/>
                <w:szCs w:val="20"/>
              </w:rPr>
              <w:t xml:space="preserve"> синтетического полимера (например, </w:t>
            </w:r>
            <w:proofErr w:type="spellStart"/>
            <w:r w:rsidRPr="002E28EB">
              <w:rPr>
                <w:rFonts w:ascii="Times New Roman" w:eastAsia="Times New Roman" w:hAnsi="Times New Roman" w:cs="Times New Roman"/>
                <w:color w:val="000000"/>
                <w:sz w:val="20"/>
                <w:szCs w:val="20"/>
              </w:rPr>
              <w:t>полиэфирэфиркетона</w:t>
            </w:r>
            <w:proofErr w:type="spellEnd"/>
            <w:r w:rsidRPr="002E28EB">
              <w:rPr>
                <w:rFonts w:ascii="Times New Roman" w:eastAsia="Times New Roman" w:hAnsi="Times New Roman" w:cs="Times New Roman"/>
                <w:color w:val="000000"/>
                <w:sz w:val="20"/>
                <w:szCs w:val="20"/>
              </w:rPr>
              <w:t xml:space="preserve">), который обеспечивает механическую стабильность и достаточное пространство для терапевтического спинального </w:t>
            </w:r>
            <w:proofErr w:type="spellStart"/>
            <w:r w:rsidRPr="002E28EB">
              <w:rPr>
                <w:rFonts w:ascii="Times New Roman" w:eastAsia="Times New Roman" w:hAnsi="Times New Roman" w:cs="Times New Roman"/>
                <w:color w:val="000000"/>
                <w:sz w:val="20"/>
                <w:szCs w:val="20"/>
              </w:rPr>
              <w:t>спондилодеза</w:t>
            </w:r>
            <w:proofErr w:type="spellEnd"/>
            <w:r w:rsidRPr="002E28EB">
              <w:rPr>
                <w:rFonts w:ascii="Times New Roman" w:eastAsia="Times New Roman" w:hAnsi="Times New Roman" w:cs="Times New Roman"/>
                <w:color w:val="000000"/>
                <w:sz w:val="20"/>
                <w:szCs w:val="20"/>
              </w:rPr>
              <w:t xml:space="preserve">; как правило, для способствования </w:t>
            </w:r>
            <w:proofErr w:type="spellStart"/>
            <w:r w:rsidRPr="002E28EB">
              <w:rPr>
                <w:rFonts w:ascii="Times New Roman" w:eastAsia="Times New Roman" w:hAnsi="Times New Roman" w:cs="Times New Roman"/>
                <w:color w:val="000000"/>
                <w:sz w:val="20"/>
                <w:szCs w:val="20"/>
              </w:rPr>
              <w:t>остеоинтеграции</w:t>
            </w:r>
            <w:proofErr w:type="spellEnd"/>
            <w:r w:rsidRPr="002E28EB">
              <w:rPr>
                <w:rFonts w:ascii="Times New Roman" w:eastAsia="Times New Roman" w:hAnsi="Times New Roman" w:cs="Times New Roman"/>
                <w:color w:val="000000"/>
                <w:sz w:val="20"/>
                <w:szCs w:val="20"/>
              </w:rPr>
              <w:t xml:space="preserve"> используется костный трансплантат. Могут прилагаться фиксирующие винты и другие изделия, используемые при имплантации.</w:t>
            </w:r>
          </w:p>
        </w:tc>
        <w:tc>
          <w:tcPr>
            <w:tcW w:w="1701" w:type="dxa"/>
            <w:tcBorders>
              <w:top w:val="single" w:sz="4" w:space="0" w:color="auto"/>
              <w:left w:val="single" w:sz="4" w:space="0" w:color="auto"/>
              <w:right w:val="single" w:sz="4" w:space="0" w:color="auto"/>
            </w:tcBorders>
          </w:tcPr>
          <w:p w14:paraId="71E85AFA"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В соответствии с КТРУ</w:t>
            </w:r>
          </w:p>
        </w:tc>
        <w:tc>
          <w:tcPr>
            <w:tcW w:w="1701" w:type="dxa"/>
            <w:tcBorders>
              <w:top w:val="single" w:sz="4" w:space="0" w:color="auto"/>
              <w:left w:val="single" w:sz="4" w:space="0" w:color="auto"/>
              <w:right w:val="single" w:sz="4" w:space="0" w:color="auto"/>
            </w:tcBorders>
          </w:tcPr>
          <w:p w14:paraId="79F70EDF"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992" w:type="dxa"/>
            <w:gridSpan w:val="2"/>
            <w:vMerge w:val="restart"/>
            <w:shd w:val="clear" w:color="auto" w:fill="auto"/>
          </w:tcPr>
          <w:p w14:paraId="16026A24"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2E28EB">
              <w:rPr>
                <w:rFonts w:ascii="Times New Roman" w:eastAsia="Times New Roman" w:hAnsi="Times New Roman" w:cs="Times New Roman"/>
                <w:sz w:val="20"/>
                <w:szCs w:val="20"/>
              </w:rPr>
              <w:t>Штука (Шт.)</w:t>
            </w:r>
          </w:p>
        </w:tc>
        <w:tc>
          <w:tcPr>
            <w:tcW w:w="709" w:type="dxa"/>
            <w:gridSpan w:val="2"/>
            <w:vMerge w:val="restart"/>
            <w:shd w:val="clear" w:color="auto" w:fill="auto"/>
          </w:tcPr>
          <w:p w14:paraId="75AE948F"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2E28EB">
              <w:rPr>
                <w:rFonts w:ascii="Times New Roman" w:eastAsia="Times New Roman" w:hAnsi="Times New Roman" w:cs="Times New Roman"/>
                <w:sz w:val="20"/>
                <w:szCs w:val="20"/>
              </w:rPr>
              <w:t>1</w:t>
            </w:r>
          </w:p>
        </w:tc>
      </w:tr>
      <w:tr w:rsidR="0072292B" w:rsidRPr="002E28EB" w14:paraId="6A571C94" w14:textId="77777777" w:rsidTr="0072292B">
        <w:trPr>
          <w:trHeight w:val="20"/>
        </w:trPr>
        <w:tc>
          <w:tcPr>
            <w:tcW w:w="567" w:type="dxa"/>
            <w:vMerge/>
            <w:shd w:val="clear" w:color="auto" w:fill="auto"/>
            <w:vAlign w:val="center"/>
          </w:tcPr>
          <w:p w14:paraId="43F7A543"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0E8BDFE6"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271924E4"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0AA90A5C"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left w:val="single" w:sz="4" w:space="0" w:color="auto"/>
            </w:tcBorders>
            <w:shd w:val="clear" w:color="auto" w:fill="auto"/>
            <w:vAlign w:val="center"/>
          </w:tcPr>
          <w:p w14:paraId="11FF227F"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Форма</w:t>
            </w:r>
          </w:p>
        </w:tc>
        <w:tc>
          <w:tcPr>
            <w:tcW w:w="1843" w:type="dxa"/>
            <w:shd w:val="clear" w:color="auto" w:fill="auto"/>
            <w:vAlign w:val="center"/>
          </w:tcPr>
          <w:p w14:paraId="03DB2906"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roofErr w:type="spellStart"/>
            <w:r w:rsidRPr="002E28EB">
              <w:rPr>
                <w:rFonts w:ascii="Times New Roman" w:hAnsi="Times New Roman" w:cs="Times New Roman"/>
                <w:sz w:val="20"/>
                <w:szCs w:val="20"/>
              </w:rPr>
              <w:t>Полуовально</w:t>
            </w:r>
            <w:proofErr w:type="spellEnd"/>
            <w:r w:rsidRPr="002E28EB">
              <w:rPr>
                <w:rFonts w:ascii="Times New Roman" w:hAnsi="Times New Roman" w:cs="Times New Roman"/>
                <w:sz w:val="20"/>
                <w:szCs w:val="20"/>
              </w:rPr>
              <w:t xml:space="preserve"> вогнутая для установки в </w:t>
            </w:r>
            <w:r w:rsidRPr="002E28EB">
              <w:rPr>
                <w:rFonts w:ascii="Times New Roman" w:hAnsi="Times New Roman" w:cs="Times New Roman"/>
                <w:sz w:val="20"/>
                <w:szCs w:val="20"/>
              </w:rPr>
              <w:lastRenderedPageBreak/>
              <w:t>поясничный отдел позвоночника методом ALIF.</w:t>
            </w:r>
          </w:p>
        </w:tc>
        <w:tc>
          <w:tcPr>
            <w:tcW w:w="1559" w:type="dxa"/>
            <w:vAlign w:val="center"/>
          </w:tcPr>
          <w:p w14:paraId="09C17837" w14:textId="77777777" w:rsidR="0072292B" w:rsidRPr="002E28EB" w:rsidRDefault="0072292B" w:rsidP="001F5942">
            <w:pPr>
              <w:widowControl w:val="0"/>
              <w:spacing w:after="0"/>
              <w:jc w:val="center"/>
              <w:rPr>
                <w:rFonts w:ascii="Times New Roman" w:eastAsia="Times New Roman" w:hAnsi="Times New Roman" w:cs="Times New Roman"/>
                <w:color w:val="000000"/>
                <w:sz w:val="20"/>
                <w:szCs w:val="20"/>
              </w:rPr>
            </w:pPr>
          </w:p>
        </w:tc>
        <w:tc>
          <w:tcPr>
            <w:tcW w:w="1701" w:type="dxa"/>
            <w:vAlign w:val="center"/>
          </w:tcPr>
          <w:p w14:paraId="5E2D8FD3"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vAlign w:val="center"/>
          </w:tcPr>
          <w:p w14:paraId="14F37430"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 xml:space="preserve">Значение характеристики не может </w:t>
            </w:r>
            <w:r w:rsidRPr="002E28EB">
              <w:rPr>
                <w:rFonts w:ascii="Times New Roman" w:eastAsia="Times New Roman" w:hAnsi="Times New Roman" w:cs="Times New Roman"/>
                <w:color w:val="000000"/>
                <w:sz w:val="20"/>
                <w:szCs w:val="20"/>
              </w:rPr>
              <w:lastRenderedPageBreak/>
              <w:t>изменяться участником закупки</w:t>
            </w:r>
          </w:p>
        </w:tc>
        <w:tc>
          <w:tcPr>
            <w:tcW w:w="992" w:type="dxa"/>
            <w:gridSpan w:val="2"/>
            <w:vMerge/>
            <w:shd w:val="clear" w:color="auto" w:fill="auto"/>
          </w:tcPr>
          <w:p w14:paraId="5ABD0371"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2039F41F"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036A0908" w14:textId="77777777" w:rsidTr="0072292B">
        <w:trPr>
          <w:trHeight w:val="1012"/>
        </w:trPr>
        <w:tc>
          <w:tcPr>
            <w:tcW w:w="567" w:type="dxa"/>
            <w:vMerge/>
            <w:shd w:val="clear" w:color="auto" w:fill="auto"/>
            <w:vAlign w:val="center"/>
          </w:tcPr>
          <w:p w14:paraId="2AF0595F"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61A151CC"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04CBF979"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202E3BD3"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left w:val="single" w:sz="4" w:space="0" w:color="auto"/>
            </w:tcBorders>
            <w:shd w:val="clear" w:color="auto" w:fill="auto"/>
            <w:vAlign w:val="center"/>
          </w:tcPr>
          <w:p w14:paraId="28B9CF37"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roofErr w:type="spellStart"/>
            <w:r w:rsidRPr="002E28EB">
              <w:rPr>
                <w:rFonts w:ascii="Times New Roman" w:eastAsia="Times New Roman" w:hAnsi="Times New Roman" w:cs="Times New Roman"/>
                <w:color w:val="000000"/>
                <w:sz w:val="20"/>
                <w:szCs w:val="20"/>
              </w:rPr>
              <w:t>Рентгенопрозрачный</w:t>
            </w:r>
            <w:proofErr w:type="spellEnd"/>
            <w:r w:rsidRPr="002E28EB">
              <w:rPr>
                <w:rFonts w:ascii="Times New Roman" w:eastAsia="Times New Roman" w:hAnsi="Times New Roman" w:cs="Times New Roman"/>
                <w:color w:val="000000"/>
                <w:sz w:val="20"/>
                <w:szCs w:val="20"/>
              </w:rPr>
              <w:t xml:space="preserve"> материал</w:t>
            </w:r>
          </w:p>
        </w:tc>
        <w:tc>
          <w:tcPr>
            <w:tcW w:w="1843" w:type="dxa"/>
            <w:shd w:val="clear" w:color="auto" w:fill="auto"/>
            <w:vAlign w:val="center"/>
          </w:tcPr>
          <w:p w14:paraId="7B4F4858" w14:textId="77777777" w:rsidR="0072292B" w:rsidRPr="002E28EB" w:rsidRDefault="0072292B" w:rsidP="001F5942">
            <w:pPr>
              <w:spacing w:after="0"/>
              <w:jc w:val="center"/>
              <w:rPr>
                <w:rFonts w:ascii="Times New Roman" w:hAnsi="Times New Roman" w:cs="Times New Roman"/>
                <w:sz w:val="20"/>
                <w:szCs w:val="20"/>
              </w:rPr>
            </w:pPr>
            <w:r w:rsidRPr="002E28EB">
              <w:rPr>
                <w:rFonts w:ascii="Times New Roman" w:hAnsi="Times New Roman" w:cs="Times New Roman"/>
                <w:sz w:val="20"/>
                <w:szCs w:val="20"/>
              </w:rPr>
              <w:t>Наличие</w:t>
            </w:r>
          </w:p>
        </w:tc>
        <w:tc>
          <w:tcPr>
            <w:tcW w:w="1559" w:type="dxa"/>
            <w:vAlign w:val="center"/>
          </w:tcPr>
          <w:p w14:paraId="2B97503B" w14:textId="77777777" w:rsidR="0072292B" w:rsidRPr="002E28EB" w:rsidRDefault="0072292B" w:rsidP="001F5942">
            <w:pPr>
              <w:widowControl w:val="0"/>
              <w:spacing w:after="0"/>
              <w:jc w:val="center"/>
              <w:rPr>
                <w:rFonts w:ascii="Times New Roman" w:eastAsia="Times New Roman" w:hAnsi="Times New Roman" w:cs="Times New Roman"/>
                <w:color w:val="000000"/>
                <w:sz w:val="20"/>
                <w:szCs w:val="20"/>
              </w:rPr>
            </w:pPr>
          </w:p>
        </w:tc>
        <w:tc>
          <w:tcPr>
            <w:tcW w:w="1701" w:type="dxa"/>
            <w:vAlign w:val="center"/>
          </w:tcPr>
          <w:p w14:paraId="66EDAF70"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vAlign w:val="center"/>
          </w:tcPr>
          <w:p w14:paraId="47704AE2"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992" w:type="dxa"/>
            <w:gridSpan w:val="2"/>
            <w:vMerge/>
            <w:shd w:val="clear" w:color="auto" w:fill="auto"/>
          </w:tcPr>
          <w:p w14:paraId="39F588DC"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1B9021B6"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4D476989" w14:textId="77777777" w:rsidTr="0072292B">
        <w:trPr>
          <w:trHeight w:val="1012"/>
        </w:trPr>
        <w:tc>
          <w:tcPr>
            <w:tcW w:w="567" w:type="dxa"/>
            <w:vMerge/>
            <w:shd w:val="clear" w:color="auto" w:fill="auto"/>
            <w:vAlign w:val="center"/>
          </w:tcPr>
          <w:p w14:paraId="15E91714"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2A272353"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3A82DE73"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499CBD90"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left w:val="single" w:sz="4" w:space="0" w:color="auto"/>
            </w:tcBorders>
            <w:shd w:val="clear" w:color="auto" w:fill="auto"/>
            <w:vAlign w:val="center"/>
          </w:tcPr>
          <w:p w14:paraId="1D212AB6"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Материал</w:t>
            </w:r>
          </w:p>
        </w:tc>
        <w:tc>
          <w:tcPr>
            <w:tcW w:w="1843" w:type="dxa"/>
            <w:shd w:val="clear" w:color="auto" w:fill="auto"/>
            <w:vAlign w:val="center"/>
          </w:tcPr>
          <w:p w14:paraId="1C704317"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roofErr w:type="spellStart"/>
            <w:r w:rsidRPr="002E28EB">
              <w:rPr>
                <w:rFonts w:ascii="Times New Roman" w:hAnsi="Times New Roman" w:cs="Times New Roman"/>
                <w:sz w:val="20"/>
                <w:szCs w:val="20"/>
              </w:rPr>
              <w:t>Полиэфирэфиркетон</w:t>
            </w:r>
            <w:proofErr w:type="spellEnd"/>
          </w:p>
        </w:tc>
        <w:tc>
          <w:tcPr>
            <w:tcW w:w="1559" w:type="dxa"/>
            <w:vAlign w:val="center"/>
          </w:tcPr>
          <w:p w14:paraId="19CA7AF6" w14:textId="77777777" w:rsidR="0072292B" w:rsidRPr="002E28EB" w:rsidRDefault="0072292B" w:rsidP="001F5942">
            <w:pPr>
              <w:widowControl w:val="0"/>
              <w:spacing w:after="0"/>
              <w:jc w:val="center"/>
              <w:rPr>
                <w:rFonts w:ascii="Times New Roman" w:eastAsia="Times New Roman" w:hAnsi="Times New Roman" w:cs="Times New Roman"/>
                <w:color w:val="000000"/>
                <w:sz w:val="20"/>
                <w:szCs w:val="20"/>
              </w:rPr>
            </w:pPr>
          </w:p>
        </w:tc>
        <w:tc>
          <w:tcPr>
            <w:tcW w:w="1701" w:type="dxa"/>
            <w:vAlign w:val="center"/>
          </w:tcPr>
          <w:p w14:paraId="07DBEC4A"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vAlign w:val="center"/>
          </w:tcPr>
          <w:p w14:paraId="1B0479D9"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992" w:type="dxa"/>
            <w:gridSpan w:val="2"/>
            <w:vMerge/>
            <w:shd w:val="clear" w:color="auto" w:fill="auto"/>
          </w:tcPr>
          <w:p w14:paraId="15C33EB2"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7E48E35D"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0862A458" w14:textId="77777777" w:rsidTr="0072292B">
        <w:trPr>
          <w:trHeight w:val="20"/>
        </w:trPr>
        <w:tc>
          <w:tcPr>
            <w:tcW w:w="567" w:type="dxa"/>
            <w:vMerge/>
            <w:shd w:val="clear" w:color="auto" w:fill="auto"/>
            <w:vAlign w:val="center"/>
          </w:tcPr>
          <w:p w14:paraId="47A88542"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270D22AC"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3DF7F754"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6CD818FF"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left w:val="single" w:sz="4" w:space="0" w:color="auto"/>
            </w:tcBorders>
            <w:shd w:val="clear" w:color="auto" w:fill="auto"/>
            <w:vAlign w:val="center"/>
          </w:tcPr>
          <w:p w14:paraId="3943D36A" w14:textId="77777777" w:rsidR="0072292B" w:rsidRPr="002E28EB" w:rsidRDefault="0072292B" w:rsidP="001F5942">
            <w:pPr>
              <w:spacing w:after="0" w:line="240" w:lineRule="auto"/>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Верхняя и нижняя поверхности</w:t>
            </w:r>
          </w:p>
        </w:tc>
        <w:tc>
          <w:tcPr>
            <w:tcW w:w="1843" w:type="dxa"/>
            <w:shd w:val="clear" w:color="auto" w:fill="auto"/>
            <w:vAlign w:val="center"/>
          </w:tcPr>
          <w:p w14:paraId="7A126F2F"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Имеют анатомическую форму, ребристый зубчатый профиль с переменной высотой</w:t>
            </w:r>
          </w:p>
        </w:tc>
        <w:tc>
          <w:tcPr>
            <w:tcW w:w="1559" w:type="dxa"/>
            <w:vAlign w:val="center"/>
          </w:tcPr>
          <w:p w14:paraId="30404A92"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01" w:type="dxa"/>
            <w:vAlign w:val="center"/>
          </w:tcPr>
          <w:p w14:paraId="2D799D7B"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 xml:space="preserve">Для обеспечения устойчивого положения </w:t>
            </w:r>
            <w:proofErr w:type="spellStart"/>
            <w:r w:rsidRPr="002E28EB">
              <w:rPr>
                <w:rFonts w:ascii="Times New Roman" w:hAnsi="Times New Roman" w:cs="Times New Roman"/>
                <w:sz w:val="20"/>
                <w:szCs w:val="20"/>
              </w:rPr>
              <w:t>кейджа</w:t>
            </w:r>
            <w:proofErr w:type="spellEnd"/>
            <w:r w:rsidRPr="002E28EB">
              <w:rPr>
                <w:rFonts w:ascii="Times New Roman" w:hAnsi="Times New Roman" w:cs="Times New Roman"/>
                <w:sz w:val="20"/>
                <w:szCs w:val="20"/>
              </w:rPr>
              <w:t xml:space="preserve"> после его установки.</w:t>
            </w:r>
          </w:p>
        </w:tc>
        <w:tc>
          <w:tcPr>
            <w:tcW w:w="1701" w:type="dxa"/>
            <w:vAlign w:val="center"/>
          </w:tcPr>
          <w:p w14:paraId="2D9B3461"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992" w:type="dxa"/>
            <w:gridSpan w:val="2"/>
            <w:vMerge/>
            <w:shd w:val="clear" w:color="auto" w:fill="auto"/>
          </w:tcPr>
          <w:p w14:paraId="363525A9"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2FF2959E"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76FF7045" w14:textId="77777777" w:rsidTr="0072292B">
        <w:trPr>
          <w:trHeight w:val="20"/>
        </w:trPr>
        <w:tc>
          <w:tcPr>
            <w:tcW w:w="567" w:type="dxa"/>
            <w:vMerge/>
            <w:shd w:val="clear" w:color="auto" w:fill="auto"/>
            <w:vAlign w:val="center"/>
          </w:tcPr>
          <w:p w14:paraId="4B47848E"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11B52B75"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6E50E23F"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30047450"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EEEA6B"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 xml:space="preserve">Пространственные полости в теле </w:t>
            </w:r>
            <w:proofErr w:type="spellStart"/>
            <w:r w:rsidRPr="002E28EB">
              <w:rPr>
                <w:rFonts w:ascii="Times New Roman" w:hAnsi="Times New Roman" w:cs="Times New Roman"/>
                <w:sz w:val="20"/>
                <w:szCs w:val="20"/>
              </w:rPr>
              <w:t>кейджа</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9A3DE0B"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w:t>
            </w:r>
            <w:r w:rsidRPr="002E28EB">
              <w:rPr>
                <w:rFonts w:ascii="Times New Roman" w:hAnsi="Times New Roman" w:cs="Times New Roman"/>
                <w:sz w:val="20"/>
                <w:szCs w:val="20"/>
              </w:rPr>
              <w:t xml:space="preserve"> 2</w:t>
            </w:r>
          </w:p>
        </w:tc>
        <w:tc>
          <w:tcPr>
            <w:tcW w:w="1559" w:type="dxa"/>
            <w:tcBorders>
              <w:top w:val="single" w:sz="4" w:space="0" w:color="000000"/>
              <w:left w:val="single" w:sz="4" w:space="0" w:color="000000"/>
              <w:bottom w:val="single" w:sz="4" w:space="0" w:color="000000"/>
              <w:right w:val="single" w:sz="4" w:space="0" w:color="000000"/>
            </w:tcBorders>
            <w:vAlign w:val="center"/>
          </w:tcPr>
          <w:p w14:paraId="0E8A174D" w14:textId="77777777" w:rsidR="0072292B" w:rsidRPr="002E28EB" w:rsidRDefault="0072292B" w:rsidP="001F5942">
            <w:pPr>
              <w:widowControl w:val="0"/>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14:paraId="62ACAD80"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Для заполнения костным материалом</w:t>
            </w:r>
          </w:p>
        </w:tc>
        <w:tc>
          <w:tcPr>
            <w:tcW w:w="1701" w:type="dxa"/>
            <w:tcBorders>
              <w:top w:val="single" w:sz="4" w:space="0" w:color="000000"/>
              <w:left w:val="single" w:sz="4" w:space="0" w:color="000000"/>
              <w:bottom w:val="single" w:sz="4" w:space="0" w:color="000000"/>
              <w:right w:val="single" w:sz="4" w:space="0" w:color="auto"/>
            </w:tcBorders>
            <w:vAlign w:val="center"/>
          </w:tcPr>
          <w:p w14:paraId="1589011D"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Участник закупки указывает в заявке конкретное значение характеристики</w:t>
            </w:r>
          </w:p>
        </w:tc>
        <w:tc>
          <w:tcPr>
            <w:tcW w:w="992" w:type="dxa"/>
            <w:gridSpan w:val="2"/>
            <w:vMerge/>
            <w:shd w:val="clear" w:color="auto" w:fill="auto"/>
          </w:tcPr>
          <w:p w14:paraId="43FC6171"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443316D3"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0F4FD0F9" w14:textId="77777777" w:rsidTr="0072292B">
        <w:trPr>
          <w:trHeight w:val="20"/>
        </w:trPr>
        <w:tc>
          <w:tcPr>
            <w:tcW w:w="567" w:type="dxa"/>
            <w:vMerge/>
            <w:shd w:val="clear" w:color="auto" w:fill="auto"/>
            <w:vAlign w:val="center"/>
          </w:tcPr>
          <w:p w14:paraId="4082FC2E"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7C1146F3"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3DDBDB1A"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367153FB"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AF8E5D"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Ширина пространственных полостей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F558E1"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w:t>
            </w:r>
            <w:r w:rsidRPr="002E28EB">
              <w:rPr>
                <w:rFonts w:ascii="Times New Roman" w:hAnsi="Times New Roman" w:cs="Times New Roman"/>
                <w:sz w:val="20"/>
                <w:szCs w:val="20"/>
              </w:rPr>
              <w:t xml:space="preserve"> 11</w:t>
            </w:r>
          </w:p>
        </w:tc>
        <w:tc>
          <w:tcPr>
            <w:tcW w:w="1559" w:type="dxa"/>
            <w:tcBorders>
              <w:top w:val="single" w:sz="4" w:space="0" w:color="000000"/>
              <w:left w:val="single" w:sz="4" w:space="0" w:color="000000"/>
              <w:bottom w:val="single" w:sz="4" w:space="0" w:color="000000"/>
              <w:right w:val="single" w:sz="4" w:space="0" w:color="000000"/>
            </w:tcBorders>
            <w:vAlign w:val="center"/>
          </w:tcPr>
          <w:p w14:paraId="585F9A6F"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мм.</w:t>
            </w:r>
          </w:p>
        </w:tc>
        <w:tc>
          <w:tcPr>
            <w:tcW w:w="1701" w:type="dxa"/>
            <w:tcBorders>
              <w:top w:val="single" w:sz="4" w:space="0" w:color="000000"/>
              <w:left w:val="single" w:sz="4" w:space="0" w:color="000000"/>
              <w:bottom w:val="single" w:sz="4" w:space="0" w:color="000000"/>
              <w:right w:val="single" w:sz="4" w:space="0" w:color="000000"/>
            </w:tcBorders>
            <w:vAlign w:val="center"/>
          </w:tcPr>
          <w:p w14:paraId="66B48756"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36B8E77A"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Участник закупки указывает в заявке конкретное значение характеристики</w:t>
            </w:r>
          </w:p>
        </w:tc>
        <w:tc>
          <w:tcPr>
            <w:tcW w:w="992" w:type="dxa"/>
            <w:gridSpan w:val="2"/>
            <w:vMerge/>
            <w:shd w:val="clear" w:color="auto" w:fill="auto"/>
          </w:tcPr>
          <w:p w14:paraId="6E95091C"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668B768C"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6D16647E" w14:textId="77777777" w:rsidTr="0072292B">
        <w:trPr>
          <w:trHeight w:val="20"/>
        </w:trPr>
        <w:tc>
          <w:tcPr>
            <w:tcW w:w="567" w:type="dxa"/>
            <w:vMerge/>
            <w:shd w:val="clear" w:color="auto" w:fill="auto"/>
            <w:vAlign w:val="center"/>
          </w:tcPr>
          <w:p w14:paraId="04109A75"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0C021E40"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484F2304"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1EFF18E9"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6B6EEC"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Перегородка между пространственных полостей</w:t>
            </w:r>
          </w:p>
        </w:tc>
        <w:tc>
          <w:tcPr>
            <w:tcW w:w="1843" w:type="dxa"/>
            <w:tcBorders>
              <w:top w:val="single" w:sz="4" w:space="0" w:color="auto"/>
              <w:left w:val="single" w:sz="4" w:space="0" w:color="auto"/>
              <w:right w:val="single" w:sz="4" w:space="0" w:color="auto"/>
            </w:tcBorders>
            <w:vAlign w:val="center"/>
          </w:tcPr>
          <w:p w14:paraId="238B2A21"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Наличие</w:t>
            </w:r>
          </w:p>
        </w:tc>
        <w:tc>
          <w:tcPr>
            <w:tcW w:w="1559" w:type="dxa"/>
            <w:tcBorders>
              <w:top w:val="single" w:sz="4" w:space="0" w:color="auto"/>
              <w:left w:val="single" w:sz="4" w:space="0" w:color="auto"/>
              <w:right w:val="single" w:sz="4" w:space="0" w:color="auto"/>
            </w:tcBorders>
            <w:vAlign w:val="center"/>
          </w:tcPr>
          <w:p w14:paraId="2CDBF806"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tcBorders>
              <w:top w:val="single" w:sz="4" w:space="0" w:color="auto"/>
              <w:left w:val="single" w:sz="4" w:space="0" w:color="auto"/>
              <w:right w:val="single" w:sz="4" w:space="0" w:color="auto"/>
            </w:tcBorders>
            <w:vAlign w:val="center"/>
          </w:tcPr>
          <w:p w14:paraId="0DC6D553"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1FF28E25"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992" w:type="dxa"/>
            <w:gridSpan w:val="2"/>
            <w:vMerge/>
            <w:shd w:val="clear" w:color="auto" w:fill="auto"/>
          </w:tcPr>
          <w:p w14:paraId="3743F5BD"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45371466"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1E6A9266" w14:textId="77777777" w:rsidTr="0072292B">
        <w:trPr>
          <w:trHeight w:val="20"/>
        </w:trPr>
        <w:tc>
          <w:tcPr>
            <w:tcW w:w="567" w:type="dxa"/>
            <w:vMerge/>
            <w:shd w:val="clear" w:color="auto" w:fill="auto"/>
            <w:vAlign w:val="center"/>
          </w:tcPr>
          <w:p w14:paraId="0F1A3501"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7B702B52"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193ADF54"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02965AC8"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left w:val="single" w:sz="4" w:space="0" w:color="auto"/>
            </w:tcBorders>
            <w:shd w:val="clear" w:color="auto" w:fill="auto"/>
            <w:vAlign w:val="center"/>
          </w:tcPr>
          <w:p w14:paraId="5D256626"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Ширина перегородки</w:t>
            </w:r>
          </w:p>
        </w:tc>
        <w:tc>
          <w:tcPr>
            <w:tcW w:w="1843" w:type="dxa"/>
            <w:shd w:val="clear" w:color="auto" w:fill="auto"/>
            <w:vAlign w:val="center"/>
          </w:tcPr>
          <w:p w14:paraId="7ECCA22F"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w:t>
            </w:r>
            <w:r w:rsidRPr="002E28EB">
              <w:rPr>
                <w:rFonts w:ascii="Times New Roman" w:hAnsi="Times New Roman" w:cs="Times New Roman"/>
                <w:sz w:val="20"/>
                <w:szCs w:val="20"/>
              </w:rPr>
              <w:t xml:space="preserve"> 3,5</w:t>
            </w:r>
          </w:p>
        </w:tc>
        <w:tc>
          <w:tcPr>
            <w:tcW w:w="1559" w:type="dxa"/>
            <w:vAlign w:val="center"/>
          </w:tcPr>
          <w:p w14:paraId="0B76E8E0"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мм.</w:t>
            </w:r>
          </w:p>
        </w:tc>
        <w:tc>
          <w:tcPr>
            <w:tcW w:w="1701" w:type="dxa"/>
            <w:vAlign w:val="center"/>
          </w:tcPr>
          <w:p w14:paraId="6BD0A054"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Ширина перегородки</w:t>
            </w:r>
          </w:p>
        </w:tc>
        <w:tc>
          <w:tcPr>
            <w:tcW w:w="1701" w:type="dxa"/>
            <w:vAlign w:val="center"/>
          </w:tcPr>
          <w:p w14:paraId="3DA3B73E"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Участник закупки указывает в заявке конкретное значение характеристики</w:t>
            </w:r>
          </w:p>
        </w:tc>
        <w:tc>
          <w:tcPr>
            <w:tcW w:w="992" w:type="dxa"/>
            <w:gridSpan w:val="2"/>
            <w:vMerge/>
            <w:shd w:val="clear" w:color="auto" w:fill="auto"/>
          </w:tcPr>
          <w:p w14:paraId="4CB9A1C2"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087F8053"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4142A079" w14:textId="77777777" w:rsidTr="0072292B">
        <w:trPr>
          <w:trHeight w:val="20"/>
        </w:trPr>
        <w:tc>
          <w:tcPr>
            <w:tcW w:w="567" w:type="dxa"/>
            <w:vMerge/>
            <w:shd w:val="clear" w:color="auto" w:fill="auto"/>
            <w:vAlign w:val="center"/>
          </w:tcPr>
          <w:p w14:paraId="797F06E7"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1938C06F"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313B272F"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455B0D24"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13FA77"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 xml:space="preserve">Установка </w:t>
            </w:r>
            <w:proofErr w:type="spellStart"/>
            <w:r w:rsidRPr="002E28EB">
              <w:rPr>
                <w:rFonts w:ascii="Times New Roman" w:hAnsi="Times New Roman" w:cs="Times New Roman"/>
                <w:sz w:val="20"/>
                <w:szCs w:val="20"/>
              </w:rPr>
              <w:t>кейджа</w:t>
            </w:r>
            <w:proofErr w:type="spellEnd"/>
            <w:r w:rsidRPr="002E28EB">
              <w:rPr>
                <w:rFonts w:ascii="Times New Roman" w:hAnsi="Times New Roman" w:cs="Times New Roman"/>
                <w:sz w:val="20"/>
                <w:szCs w:val="20"/>
              </w:rPr>
              <w:t xml:space="preserve"> возможна передним, боковым и переднебоковым доступами</w:t>
            </w:r>
          </w:p>
        </w:tc>
        <w:tc>
          <w:tcPr>
            <w:tcW w:w="1843" w:type="dxa"/>
            <w:tcBorders>
              <w:top w:val="single" w:sz="4" w:space="0" w:color="auto"/>
              <w:left w:val="single" w:sz="4" w:space="0" w:color="auto"/>
              <w:right w:val="single" w:sz="4" w:space="0" w:color="auto"/>
            </w:tcBorders>
            <w:vAlign w:val="center"/>
          </w:tcPr>
          <w:p w14:paraId="067C7FA6"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Соответствие</w:t>
            </w:r>
          </w:p>
        </w:tc>
        <w:tc>
          <w:tcPr>
            <w:tcW w:w="1559" w:type="dxa"/>
            <w:tcBorders>
              <w:top w:val="single" w:sz="4" w:space="0" w:color="auto"/>
              <w:left w:val="single" w:sz="4" w:space="0" w:color="auto"/>
              <w:right w:val="single" w:sz="4" w:space="0" w:color="auto"/>
            </w:tcBorders>
            <w:vAlign w:val="center"/>
          </w:tcPr>
          <w:p w14:paraId="7139C3AA"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tcBorders>
              <w:top w:val="single" w:sz="4" w:space="0" w:color="auto"/>
              <w:left w:val="single" w:sz="4" w:space="0" w:color="auto"/>
              <w:right w:val="single" w:sz="4" w:space="0" w:color="auto"/>
            </w:tcBorders>
            <w:vAlign w:val="center"/>
          </w:tcPr>
          <w:p w14:paraId="50145215"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369DDD40"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Значение характеристики не может изменяться</w:t>
            </w:r>
          </w:p>
        </w:tc>
        <w:tc>
          <w:tcPr>
            <w:tcW w:w="992" w:type="dxa"/>
            <w:gridSpan w:val="2"/>
            <w:vMerge/>
            <w:shd w:val="clear" w:color="auto" w:fill="auto"/>
          </w:tcPr>
          <w:p w14:paraId="613DB01F"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169A873B"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6299E013" w14:textId="77777777" w:rsidTr="0072292B">
        <w:trPr>
          <w:trHeight w:val="20"/>
        </w:trPr>
        <w:tc>
          <w:tcPr>
            <w:tcW w:w="567" w:type="dxa"/>
            <w:vMerge/>
            <w:shd w:val="clear" w:color="auto" w:fill="auto"/>
            <w:vAlign w:val="center"/>
          </w:tcPr>
          <w:p w14:paraId="34132B15"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5E689866"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6DAB5DBD"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62380FF2"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C8B386"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 xml:space="preserve">Конструкция и техника установки </w:t>
            </w:r>
            <w:proofErr w:type="spellStart"/>
            <w:r w:rsidRPr="002E28EB">
              <w:rPr>
                <w:rFonts w:ascii="Times New Roman" w:hAnsi="Times New Roman" w:cs="Times New Roman"/>
                <w:sz w:val="20"/>
                <w:szCs w:val="20"/>
              </w:rPr>
              <w:t>кейджа</w:t>
            </w:r>
            <w:proofErr w:type="spellEnd"/>
            <w:r w:rsidRPr="002E28EB">
              <w:rPr>
                <w:rFonts w:ascii="Times New Roman" w:hAnsi="Times New Roman" w:cs="Times New Roman"/>
                <w:sz w:val="20"/>
                <w:szCs w:val="20"/>
              </w:rPr>
              <w:t xml:space="preserve"> исключают избыточную </w:t>
            </w:r>
            <w:proofErr w:type="spellStart"/>
            <w:r w:rsidRPr="002E28EB">
              <w:rPr>
                <w:rFonts w:ascii="Times New Roman" w:hAnsi="Times New Roman" w:cs="Times New Roman"/>
                <w:sz w:val="20"/>
                <w:szCs w:val="20"/>
              </w:rPr>
              <w:t>дистракцию</w:t>
            </w:r>
            <w:proofErr w:type="spellEnd"/>
            <w:r w:rsidRPr="002E28EB">
              <w:rPr>
                <w:rFonts w:ascii="Times New Roman" w:hAnsi="Times New Roman" w:cs="Times New Roman"/>
                <w:sz w:val="20"/>
                <w:szCs w:val="20"/>
              </w:rPr>
              <w:t xml:space="preserve"> тел позвонков, ослабляющую его фиксацию после установки.</w:t>
            </w:r>
          </w:p>
        </w:tc>
        <w:tc>
          <w:tcPr>
            <w:tcW w:w="1843" w:type="dxa"/>
            <w:tcBorders>
              <w:top w:val="single" w:sz="4" w:space="0" w:color="auto"/>
              <w:left w:val="single" w:sz="4" w:space="0" w:color="auto"/>
              <w:right w:val="single" w:sz="4" w:space="0" w:color="auto"/>
            </w:tcBorders>
            <w:vAlign w:val="center"/>
          </w:tcPr>
          <w:p w14:paraId="7D9BD1C6"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Соответствие</w:t>
            </w:r>
          </w:p>
        </w:tc>
        <w:tc>
          <w:tcPr>
            <w:tcW w:w="1559" w:type="dxa"/>
            <w:tcBorders>
              <w:top w:val="single" w:sz="4" w:space="0" w:color="auto"/>
              <w:left w:val="single" w:sz="4" w:space="0" w:color="auto"/>
              <w:right w:val="single" w:sz="4" w:space="0" w:color="auto"/>
            </w:tcBorders>
            <w:vAlign w:val="center"/>
          </w:tcPr>
          <w:p w14:paraId="5DCB9EAD"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tcBorders>
              <w:top w:val="single" w:sz="4" w:space="0" w:color="auto"/>
              <w:left w:val="single" w:sz="4" w:space="0" w:color="auto"/>
              <w:right w:val="single" w:sz="4" w:space="0" w:color="auto"/>
            </w:tcBorders>
            <w:vAlign w:val="center"/>
          </w:tcPr>
          <w:p w14:paraId="67933587"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15795E5A"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Значение характеристики не может изменяться</w:t>
            </w:r>
          </w:p>
        </w:tc>
        <w:tc>
          <w:tcPr>
            <w:tcW w:w="992" w:type="dxa"/>
            <w:gridSpan w:val="2"/>
            <w:vMerge/>
            <w:shd w:val="clear" w:color="auto" w:fill="auto"/>
          </w:tcPr>
          <w:p w14:paraId="6C256228"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713392F6"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66F24E22" w14:textId="77777777" w:rsidTr="0072292B">
        <w:trPr>
          <w:trHeight w:val="20"/>
        </w:trPr>
        <w:tc>
          <w:tcPr>
            <w:tcW w:w="567" w:type="dxa"/>
            <w:vMerge/>
            <w:shd w:val="clear" w:color="auto" w:fill="auto"/>
            <w:vAlign w:val="center"/>
          </w:tcPr>
          <w:p w14:paraId="44362AB8"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6D11AB4F"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59E5E711"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63DE4A45"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D423C3"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 xml:space="preserve">Ширина </w:t>
            </w:r>
            <w:proofErr w:type="spellStart"/>
            <w:r w:rsidRPr="002E28EB">
              <w:rPr>
                <w:rFonts w:ascii="Times New Roman" w:hAnsi="Times New Roman" w:cs="Times New Roman"/>
                <w:sz w:val="20"/>
                <w:szCs w:val="20"/>
              </w:rPr>
              <w:t>кейджа</w:t>
            </w:r>
            <w:proofErr w:type="spellEnd"/>
            <w:r w:rsidRPr="002E28EB">
              <w:rPr>
                <w:rFonts w:ascii="Times New Roman" w:hAnsi="Times New Roman" w:cs="Times New Roman"/>
                <w:sz w:val="20"/>
                <w:szCs w:val="20"/>
              </w:rPr>
              <w:t xml:space="preserve"> в диапазоне</w:t>
            </w:r>
          </w:p>
        </w:tc>
        <w:tc>
          <w:tcPr>
            <w:tcW w:w="1843" w:type="dxa"/>
            <w:tcBorders>
              <w:top w:val="single" w:sz="4" w:space="0" w:color="auto"/>
              <w:left w:val="single" w:sz="4" w:space="0" w:color="auto"/>
              <w:right w:val="single" w:sz="4" w:space="0" w:color="auto"/>
            </w:tcBorders>
            <w:vAlign w:val="center"/>
          </w:tcPr>
          <w:p w14:paraId="226CE2DB"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 xml:space="preserve">От </w:t>
            </w:r>
            <w:r w:rsidRPr="002E28EB">
              <w:rPr>
                <w:rFonts w:ascii="Times New Roman" w:eastAsia="Times New Roman" w:hAnsi="Times New Roman" w:cs="Times New Roman"/>
                <w:color w:val="000000"/>
                <w:sz w:val="20"/>
                <w:szCs w:val="20"/>
              </w:rPr>
              <w:t>≥</w:t>
            </w:r>
            <w:r w:rsidRPr="002E28EB">
              <w:rPr>
                <w:rFonts w:ascii="Times New Roman" w:hAnsi="Times New Roman" w:cs="Times New Roman"/>
                <w:sz w:val="20"/>
                <w:szCs w:val="20"/>
              </w:rPr>
              <w:t xml:space="preserve"> 32 до </w:t>
            </w:r>
            <w:r w:rsidRPr="002E28EB">
              <w:rPr>
                <w:rFonts w:ascii="Times New Roman" w:eastAsia="Times New Roman" w:hAnsi="Times New Roman" w:cs="Times New Roman"/>
                <w:color w:val="000000"/>
                <w:sz w:val="20"/>
                <w:szCs w:val="20"/>
              </w:rPr>
              <w:t xml:space="preserve">≤ </w:t>
            </w:r>
            <w:r w:rsidRPr="002E28EB">
              <w:rPr>
                <w:rFonts w:ascii="Times New Roman" w:hAnsi="Times New Roman" w:cs="Times New Roman"/>
                <w:sz w:val="20"/>
                <w:szCs w:val="20"/>
              </w:rPr>
              <w:t>36</w:t>
            </w:r>
          </w:p>
        </w:tc>
        <w:tc>
          <w:tcPr>
            <w:tcW w:w="1559" w:type="dxa"/>
            <w:tcBorders>
              <w:top w:val="single" w:sz="4" w:space="0" w:color="auto"/>
              <w:left w:val="single" w:sz="4" w:space="0" w:color="auto"/>
              <w:right w:val="single" w:sz="4" w:space="0" w:color="auto"/>
            </w:tcBorders>
            <w:vAlign w:val="center"/>
          </w:tcPr>
          <w:p w14:paraId="4647BE6E"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мм</w:t>
            </w:r>
          </w:p>
        </w:tc>
        <w:tc>
          <w:tcPr>
            <w:tcW w:w="1701" w:type="dxa"/>
            <w:tcBorders>
              <w:top w:val="single" w:sz="4" w:space="0" w:color="auto"/>
              <w:left w:val="single" w:sz="4" w:space="0" w:color="auto"/>
              <w:right w:val="single" w:sz="4" w:space="0" w:color="auto"/>
            </w:tcBorders>
            <w:vAlign w:val="center"/>
          </w:tcPr>
          <w:p w14:paraId="496157C1"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36706021"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Участник закупки указывает в заявке диапазон значений характеристики</w:t>
            </w:r>
          </w:p>
        </w:tc>
        <w:tc>
          <w:tcPr>
            <w:tcW w:w="992" w:type="dxa"/>
            <w:gridSpan w:val="2"/>
            <w:vMerge/>
            <w:shd w:val="clear" w:color="auto" w:fill="auto"/>
          </w:tcPr>
          <w:p w14:paraId="1024A3BD"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68AA43A7"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29E77A4B" w14:textId="77777777" w:rsidTr="0072292B">
        <w:trPr>
          <w:trHeight w:val="20"/>
        </w:trPr>
        <w:tc>
          <w:tcPr>
            <w:tcW w:w="567" w:type="dxa"/>
            <w:vMerge/>
            <w:shd w:val="clear" w:color="auto" w:fill="auto"/>
            <w:vAlign w:val="center"/>
          </w:tcPr>
          <w:p w14:paraId="78AC60D7"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080C06EE"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50727E73"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5369DF23"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A227FF"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 xml:space="preserve">Высота </w:t>
            </w:r>
            <w:proofErr w:type="spellStart"/>
            <w:r w:rsidRPr="002E28EB">
              <w:rPr>
                <w:rFonts w:ascii="Times New Roman" w:hAnsi="Times New Roman" w:cs="Times New Roman"/>
                <w:sz w:val="20"/>
                <w:szCs w:val="20"/>
              </w:rPr>
              <w:t>кейджа</w:t>
            </w:r>
            <w:proofErr w:type="spellEnd"/>
            <w:r w:rsidRPr="002E28EB">
              <w:rPr>
                <w:rFonts w:ascii="Times New Roman" w:hAnsi="Times New Roman" w:cs="Times New Roman"/>
                <w:sz w:val="20"/>
                <w:szCs w:val="20"/>
              </w:rPr>
              <w:t xml:space="preserve"> в диапазоне</w:t>
            </w:r>
          </w:p>
        </w:tc>
        <w:tc>
          <w:tcPr>
            <w:tcW w:w="1843" w:type="dxa"/>
            <w:tcBorders>
              <w:top w:val="single" w:sz="4" w:space="0" w:color="auto"/>
              <w:left w:val="single" w:sz="4" w:space="0" w:color="auto"/>
              <w:right w:val="single" w:sz="4" w:space="0" w:color="auto"/>
            </w:tcBorders>
            <w:vAlign w:val="center"/>
          </w:tcPr>
          <w:p w14:paraId="2AE512CB"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 xml:space="preserve">От </w:t>
            </w:r>
            <w:r w:rsidRPr="002E28EB">
              <w:rPr>
                <w:rFonts w:ascii="Times New Roman" w:eastAsia="Times New Roman" w:hAnsi="Times New Roman" w:cs="Times New Roman"/>
                <w:color w:val="000000"/>
                <w:sz w:val="20"/>
                <w:szCs w:val="20"/>
              </w:rPr>
              <w:t>≥</w:t>
            </w:r>
            <w:r w:rsidRPr="002E28EB">
              <w:rPr>
                <w:rFonts w:ascii="Times New Roman" w:hAnsi="Times New Roman" w:cs="Times New Roman"/>
                <w:sz w:val="20"/>
                <w:szCs w:val="20"/>
              </w:rPr>
              <w:t xml:space="preserve"> 8 до </w:t>
            </w:r>
            <w:r w:rsidRPr="002E28EB">
              <w:rPr>
                <w:rFonts w:ascii="Times New Roman" w:eastAsia="Times New Roman" w:hAnsi="Times New Roman" w:cs="Times New Roman"/>
                <w:color w:val="000000"/>
                <w:sz w:val="20"/>
                <w:szCs w:val="20"/>
              </w:rPr>
              <w:t xml:space="preserve">≤ </w:t>
            </w:r>
            <w:r w:rsidRPr="002E28EB">
              <w:rPr>
                <w:rFonts w:ascii="Times New Roman" w:hAnsi="Times New Roman" w:cs="Times New Roman"/>
                <w:sz w:val="20"/>
                <w:szCs w:val="20"/>
              </w:rPr>
              <w:t xml:space="preserve">14 с шагом </w:t>
            </w:r>
            <w:r w:rsidRPr="002E28EB">
              <w:rPr>
                <w:rFonts w:ascii="Times New Roman" w:eastAsia="Times New Roman" w:hAnsi="Times New Roman" w:cs="Times New Roman"/>
                <w:color w:val="000000"/>
                <w:sz w:val="20"/>
                <w:szCs w:val="20"/>
              </w:rPr>
              <w:t>≥</w:t>
            </w:r>
            <w:r w:rsidRPr="002E28EB">
              <w:rPr>
                <w:rFonts w:ascii="Times New Roman" w:hAnsi="Times New Roman" w:cs="Times New Roman"/>
                <w:sz w:val="20"/>
                <w:szCs w:val="20"/>
              </w:rPr>
              <w:t xml:space="preserve"> 2</w:t>
            </w:r>
          </w:p>
        </w:tc>
        <w:tc>
          <w:tcPr>
            <w:tcW w:w="1559" w:type="dxa"/>
            <w:tcBorders>
              <w:top w:val="single" w:sz="4" w:space="0" w:color="auto"/>
              <w:left w:val="single" w:sz="4" w:space="0" w:color="auto"/>
              <w:right w:val="single" w:sz="4" w:space="0" w:color="auto"/>
            </w:tcBorders>
            <w:vAlign w:val="center"/>
          </w:tcPr>
          <w:p w14:paraId="310EAF38"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мм</w:t>
            </w:r>
          </w:p>
        </w:tc>
        <w:tc>
          <w:tcPr>
            <w:tcW w:w="1701" w:type="dxa"/>
            <w:tcBorders>
              <w:top w:val="single" w:sz="4" w:space="0" w:color="auto"/>
              <w:left w:val="single" w:sz="4" w:space="0" w:color="auto"/>
              <w:right w:val="single" w:sz="4" w:space="0" w:color="auto"/>
            </w:tcBorders>
            <w:vAlign w:val="center"/>
          </w:tcPr>
          <w:p w14:paraId="1B64B709"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01CE96E3"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Участник закупки указывает в заявке диапазон значений характеристики</w:t>
            </w:r>
          </w:p>
        </w:tc>
        <w:tc>
          <w:tcPr>
            <w:tcW w:w="992" w:type="dxa"/>
            <w:gridSpan w:val="2"/>
            <w:vMerge/>
            <w:shd w:val="clear" w:color="auto" w:fill="auto"/>
          </w:tcPr>
          <w:p w14:paraId="6D7F21EF"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4145B2C1"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2E28EB" w14:paraId="480E5FA8" w14:textId="77777777" w:rsidTr="0072292B">
        <w:trPr>
          <w:trHeight w:val="20"/>
        </w:trPr>
        <w:tc>
          <w:tcPr>
            <w:tcW w:w="567" w:type="dxa"/>
            <w:vMerge/>
            <w:shd w:val="clear" w:color="auto" w:fill="auto"/>
            <w:vAlign w:val="center"/>
          </w:tcPr>
          <w:p w14:paraId="304B6377"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560" w:type="dxa"/>
            <w:vMerge/>
            <w:tcBorders>
              <w:right w:val="single" w:sz="4" w:space="0" w:color="000000"/>
            </w:tcBorders>
            <w:shd w:val="clear" w:color="auto" w:fill="auto"/>
            <w:vAlign w:val="center"/>
          </w:tcPr>
          <w:p w14:paraId="5733AC5D"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000000"/>
              <w:right w:val="single" w:sz="4" w:space="0" w:color="000000"/>
            </w:tcBorders>
            <w:shd w:val="clear" w:color="auto" w:fill="auto"/>
            <w:vAlign w:val="center"/>
          </w:tcPr>
          <w:p w14:paraId="74684758"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1417" w:type="dxa"/>
            <w:gridSpan w:val="2"/>
            <w:vMerge/>
            <w:tcBorders>
              <w:left w:val="single" w:sz="4" w:space="0" w:color="000000"/>
              <w:right w:val="single" w:sz="4" w:space="0" w:color="auto"/>
            </w:tcBorders>
            <w:shd w:val="clear" w:color="auto" w:fill="auto"/>
            <w:vAlign w:val="center"/>
          </w:tcPr>
          <w:p w14:paraId="5F85F9D2" w14:textId="77777777" w:rsidR="0072292B" w:rsidRPr="002E28EB" w:rsidRDefault="0072292B" w:rsidP="001F594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DDB0F"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 xml:space="preserve">Глубина </w:t>
            </w:r>
            <w:proofErr w:type="spellStart"/>
            <w:r w:rsidRPr="002E28EB">
              <w:rPr>
                <w:rFonts w:ascii="Times New Roman" w:hAnsi="Times New Roman" w:cs="Times New Roman"/>
                <w:sz w:val="20"/>
                <w:szCs w:val="20"/>
              </w:rPr>
              <w:t>кейджа</w:t>
            </w:r>
            <w:proofErr w:type="spellEnd"/>
            <w:r w:rsidRPr="002E28EB">
              <w:rPr>
                <w:rFonts w:ascii="Times New Roman" w:hAnsi="Times New Roman" w:cs="Times New Roman"/>
                <w:sz w:val="20"/>
                <w:szCs w:val="20"/>
              </w:rPr>
              <w:t xml:space="preserve"> в диапазоне</w:t>
            </w:r>
          </w:p>
        </w:tc>
        <w:tc>
          <w:tcPr>
            <w:tcW w:w="1843" w:type="dxa"/>
            <w:tcBorders>
              <w:top w:val="single" w:sz="4" w:space="0" w:color="auto"/>
              <w:left w:val="single" w:sz="4" w:space="0" w:color="auto"/>
              <w:right w:val="single" w:sz="4" w:space="0" w:color="auto"/>
            </w:tcBorders>
            <w:vAlign w:val="center"/>
          </w:tcPr>
          <w:p w14:paraId="4159AC42"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hAnsi="Times New Roman" w:cs="Times New Roman"/>
                <w:sz w:val="20"/>
                <w:szCs w:val="20"/>
              </w:rPr>
              <w:t xml:space="preserve">От </w:t>
            </w:r>
            <w:r w:rsidRPr="002E28EB">
              <w:rPr>
                <w:rFonts w:ascii="Times New Roman" w:eastAsia="Times New Roman" w:hAnsi="Times New Roman" w:cs="Times New Roman"/>
                <w:color w:val="000000"/>
                <w:sz w:val="20"/>
                <w:szCs w:val="20"/>
              </w:rPr>
              <w:t>≥</w:t>
            </w:r>
            <w:r w:rsidRPr="002E28EB">
              <w:rPr>
                <w:rFonts w:ascii="Times New Roman" w:hAnsi="Times New Roman" w:cs="Times New Roman"/>
                <w:sz w:val="20"/>
                <w:szCs w:val="20"/>
              </w:rPr>
              <w:t xml:space="preserve"> 24 мм до </w:t>
            </w:r>
            <w:r w:rsidRPr="002E28EB">
              <w:rPr>
                <w:rFonts w:ascii="Times New Roman" w:eastAsia="Times New Roman" w:hAnsi="Times New Roman" w:cs="Times New Roman"/>
                <w:color w:val="000000"/>
                <w:sz w:val="20"/>
                <w:szCs w:val="20"/>
              </w:rPr>
              <w:t xml:space="preserve">≤ </w:t>
            </w:r>
            <w:r w:rsidRPr="002E28EB">
              <w:rPr>
                <w:rFonts w:ascii="Times New Roman" w:hAnsi="Times New Roman" w:cs="Times New Roman"/>
                <w:sz w:val="20"/>
                <w:szCs w:val="20"/>
              </w:rPr>
              <w:t>26</w:t>
            </w:r>
          </w:p>
        </w:tc>
        <w:tc>
          <w:tcPr>
            <w:tcW w:w="1559" w:type="dxa"/>
            <w:tcBorders>
              <w:top w:val="single" w:sz="4" w:space="0" w:color="auto"/>
              <w:left w:val="single" w:sz="4" w:space="0" w:color="auto"/>
              <w:right w:val="single" w:sz="4" w:space="0" w:color="auto"/>
            </w:tcBorders>
            <w:vAlign w:val="center"/>
          </w:tcPr>
          <w:p w14:paraId="283249B4"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мм</w:t>
            </w:r>
          </w:p>
        </w:tc>
        <w:tc>
          <w:tcPr>
            <w:tcW w:w="1701" w:type="dxa"/>
            <w:tcBorders>
              <w:top w:val="single" w:sz="4" w:space="0" w:color="auto"/>
              <w:left w:val="single" w:sz="4" w:space="0" w:color="auto"/>
              <w:right w:val="single" w:sz="4" w:space="0" w:color="auto"/>
            </w:tcBorders>
            <w:vAlign w:val="center"/>
          </w:tcPr>
          <w:p w14:paraId="2C423D2F" w14:textId="77777777" w:rsidR="0072292B" w:rsidRPr="002E28EB" w:rsidRDefault="0072292B" w:rsidP="001F5942">
            <w:pPr>
              <w:spacing w:after="0"/>
              <w:jc w:val="center"/>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0431EFCC" w14:textId="77777777" w:rsidR="0072292B" w:rsidRPr="002E28EB" w:rsidRDefault="0072292B" w:rsidP="001F5942">
            <w:pPr>
              <w:spacing w:after="0"/>
              <w:jc w:val="center"/>
              <w:rPr>
                <w:rFonts w:ascii="Times New Roman" w:eastAsia="Times New Roman" w:hAnsi="Times New Roman" w:cs="Times New Roman"/>
                <w:color w:val="000000"/>
                <w:sz w:val="20"/>
                <w:szCs w:val="20"/>
              </w:rPr>
            </w:pPr>
            <w:r w:rsidRPr="002E28EB">
              <w:rPr>
                <w:rFonts w:ascii="Times New Roman" w:eastAsia="Times New Roman" w:hAnsi="Times New Roman" w:cs="Times New Roman"/>
                <w:color w:val="000000"/>
                <w:sz w:val="20"/>
                <w:szCs w:val="20"/>
              </w:rPr>
              <w:t>Участник закупки указывает в заявке диапазон значений характеристики</w:t>
            </w:r>
          </w:p>
        </w:tc>
        <w:tc>
          <w:tcPr>
            <w:tcW w:w="992" w:type="dxa"/>
            <w:gridSpan w:val="2"/>
            <w:vMerge/>
            <w:shd w:val="clear" w:color="auto" w:fill="auto"/>
          </w:tcPr>
          <w:p w14:paraId="0AC90FAC"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9" w:type="dxa"/>
            <w:gridSpan w:val="2"/>
            <w:vMerge/>
            <w:shd w:val="clear" w:color="auto" w:fill="auto"/>
          </w:tcPr>
          <w:p w14:paraId="5E6AF38D" w14:textId="77777777" w:rsidR="0072292B" w:rsidRPr="002E28EB" w:rsidRDefault="0072292B" w:rsidP="001F59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72292B" w:rsidRPr="0092624F" w14:paraId="503D6BBE" w14:textId="77777777" w:rsidTr="0072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98" w:type="dxa"/>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FE521D"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A115C7"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Наименование объекта закупки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CD34B5"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Calibri" w:hAnsi="Times New Roman" w:cs="Times New Roman"/>
                <w:color w:val="000000"/>
                <w:sz w:val="20"/>
                <w:szCs w:val="20"/>
                <w:lang w:eastAsia="ru-RU"/>
              </w:rPr>
              <w:t>Код ОКПД2</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6BCD2E"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Calibri" w:hAnsi="Times New Roman" w:cs="Times New Roman"/>
                <w:color w:val="000000"/>
                <w:sz w:val="20"/>
                <w:szCs w:val="20"/>
                <w:lang w:eastAsia="ru-RU"/>
              </w:rPr>
              <w:t>Позиция КТРУ</w:t>
            </w:r>
          </w:p>
        </w:tc>
        <w:tc>
          <w:tcPr>
            <w:tcW w:w="7384" w:type="dxa"/>
            <w:gridSpan w:val="5"/>
            <w:tcBorders>
              <w:top w:val="single" w:sz="4" w:space="0" w:color="auto"/>
              <w:left w:val="nil"/>
              <w:bottom w:val="single" w:sz="4" w:space="0" w:color="auto"/>
              <w:right w:val="single" w:sz="4" w:space="0" w:color="auto"/>
            </w:tcBorders>
            <w:shd w:val="clear" w:color="auto" w:fill="auto"/>
            <w:hideMark/>
          </w:tcPr>
          <w:p w14:paraId="260C0B2D" w14:textId="77777777" w:rsidR="0072292B" w:rsidRDefault="0072292B" w:rsidP="001F5942">
            <w:pPr>
              <w:spacing w:after="0" w:line="240" w:lineRule="auto"/>
              <w:jc w:val="center"/>
              <w:rPr>
                <w:rFonts w:ascii="Times New Roman" w:eastAsia="Calibri" w:hAnsi="Times New Roman" w:cs="Times New Roman"/>
                <w:color w:val="000000"/>
                <w:sz w:val="20"/>
                <w:szCs w:val="20"/>
                <w:lang w:eastAsia="ru-RU"/>
              </w:rPr>
            </w:pPr>
          </w:p>
          <w:p w14:paraId="72AB5E36" w14:textId="3B2C1AC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bookmarkStart w:id="0" w:name="_GoBack"/>
            <w:bookmarkEnd w:id="0"/>
            <w:r w:rsidRPr="0092624F">
              <w:rPr>
                <w:rFonts w:ascii="Times New Roman" w:eastAsia="Calibri" w:hAnsi="Times New Roman" w:cs="Times New Roman"/>
                <w:color w:val="000000"/>
                <w:sz w:val="20"/>
                <w:szCs w:val="20"/>
                <w:lang w:eastAsia="ru-RU"/>
              </w:rPr>
              <w:t>Характеристики товара</w:t>
            </w:r>
          </w:p>
        </w:tc>
        <w:tc>
          <w:tcPr>
            <w:tcW w:w="191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50CF43" w14:textId="77777777" w:rsidR="0072292B" w:rsidRDefault="0072292B" w:rsidP="001F5942">
            <w:pPr>
              <w:spacing w:after="0" w:line="240" w:lineRule="auto"/>
              <w:jc w:val="center"/>
              <w:rPr>
                <w:rFonts w:ascii="Times New Roman" w:eastAsia="Times New Roman" w:hAnsi="Times New Roman" w:cs="Times New Roman"/>
                <w:color w:val="000000"/>
                <w:sz w:val="20"/>
                <w:szCs w:val="20"/>
                <w:lang w:eastAsia="ru-RU"/>
              </w:rPr>
            </w:pPr>
          </w:p>
          <w:p w14:paraId="334A2B3D" w14:textId="418CDEEC"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Ед. изм.</w:t>
            </w:r>
          </w:p>
        </w:tc>
        <w:tc>
          <w:tcPr>
            <w:tcW w:w="79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F69931C"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Кол-во</w:t>
            </w:r>
          </w:p>
        </w:tc>
      </w:tr>
      <w:tr w:rsidR="0072292B" w:rsidRPr="0092624F" w14:paraId="3298BC97" w14:textId="77777777" w:rsidTr="0072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98" w:type="dxa"/>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5B384E"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8BF1D6"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8C96EFE"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14:paraId="02B3CE5C"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2281" w:type="dxa"/>
            <w:gridSpan w:val="2"/>
            <w:tcBorders>
              <w:top w:val="nil"/>
              <w:left w:val="nil"/>
              <w:bottom w:val="single" w:sz="4" w:space="0" w:color="auto"/>
              <w:right w:val="single" w:sz="4" w:space="0" w:color="auto"/>
            </w:tcBorders>
            <w:shd w:val="clear" w:color="auto" w:fill="auto"/>
            <w:hideMark/>
          </w:tcPr>
          <w:p w14:paraId="470048DB"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Наименование характеристики</w:t>
            </w:r>
          </w:p>
        </w:tc>
        <w:tc>
          <w:tcPr>
            <w:tcW w:w="1843" w:type="dxa"/>
            <w:tcBorders>
              <w:top w:val="nil"/>
              <w:left w:val="nil"/>
              <w:bottom w:val="single" w:sz="4" w:space="0" w:color="auto"/>
              <w:right w:val="single" w:sz="4" w:space="0" w:color="auto"/>
            </w:tcBorders>
            <w:shd w:val="clear" w:color="auto" w:fill="auto"/>
            <w:hideMark/>
          </w:tcPr>
          <w:p w14:paraId="70F7E48E"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Значение характеристики</w:t>
            </w:r>
          </w:p>
        </w:tc>
        <w:tc>
          <w:tcPr>
            <w:tcW w:w="1559" w:type="dxa"/>
            <w:tcBorders>
              <w:top w:val="nil"/>
              <w:left w:val="nil"/>
              <w:bottom w:val="single" w:sz="4" w:space="0" w:color="auto"/>
              <w:right w:val="single" w:sz="4" w:space="0" w:color="auto"/>
            </w:tcBorders>
            <w:shd w:val="clear" w:color="auto" w:fill="auto"/>
            <w:hideMark/>
          </w:tcPr>
          <w:p w14:paraId="71081B1C"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Ед. изм. характеристики</w:t>
            </w:r>
          </w:p>
        </w:tc>
        <w:tc>
          <w:tcPr>
            <w:tcW w:w="1701" w:type="dxa"/>
            <w:tcBorders>
              <w:top w:val="nil"/>
              <w:left w:val="nil"/>
              <w:bottom w:val="single" w:sz="4" w:space="0" w:color="auto"/>
              <w:right w:val="single" w:sz="4" w:space="0" w:color="auto"/>
            </w:tcBorders>
            <w:shd w:val="clear" w:color="auto" w:fill="auto"/>
            <w:hideMark/>
          </w:tcPr>
          <w:p w14:paraId="5F05075E"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1914" w:type="dxa"/>
            <w:gridSpan w:val="2"/>
            <w:vMerge/>
            <w:tcBorders>
              <w:top w:val="single" w:sz="4" w:space="0" w:color="auto"/>
              <w:left w:val="single" w:sz="4" w:space="0" w:color="auto"/>
              <w:bottom w:val="single" w:sz="4" w:space="0" w:color="auto"/>
              <w:right w:val="single" w:sz="4" w:space="0" w:color="auto"/>
            </w:tcBorders>
            <w:vAlign w:val="center"/>
            <w:hideMark/>
          </w:tcPr>
          <w:p w14:paraId="5EF88746"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790" w:type="dxa"/>
            <w:gridSpan w:val="2"/>
            <w:vMerge/>
            <w:tcBorders>
              <w:top w:val="single" w:sz="4" w:space="0" w:color="auto"/>
              <w:left w:val="single" w:sz="4" w:space="0" w:color="auto"/>
              <w:bottom w:val="single" w:sz="4" w:space="0" w:color="auto"/>
              <w:right w:val="single" w:sz="4" w:space="0" w:color="auto"/>
            </w:tcBorders>
            <w:vAlign w:val="center"/>
            <w:hideMark/>
          </w:tcPr>
          <w:p w14:paraId="7F6A785E"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r>
      <w:tr w:rsidR="0072292B" w:rsidRPr="0092624F" w14:paraId="1583ABD0" w14:textId="77777777" w:rsidTr="0072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98" w:type="dxa"/>
          <w:trHeight w:val="102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2887ABDF"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val="en-US" w:eastAsia="ru-RU"/>
              </w:rPr>
              <w:t>1</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77D95AA2"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Материал на основе костного коллагена</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876E3C6"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21.10.60.191</w:t>
            </w:r>
          </w:p>
        </w:tc>
        <w:tc>
          <w:tcPr>
            <w:tcW w:w="1404" w:type="dxa"/>
            <w:vMerge w:val="restart"/>
            <w:tcBorders>
              <w:top w:val="nil"/>
              <w:left w:val="single" w:sz="4" w:space="0" w:color="auto"/>
              <w:bottom w:val="single" w:sz="4" w:space="0" w:color="auto"/>
              <w:right w:val="single" w:sz="4" w:space="0" w:color="auto"/>
            </w:tcBorders>
            <w:shd w:val="clear" w:color="auto" w:fill="auto"/>
            <w:hideMark/>
          </w:tcPr>
          <w:p w14:paraId="340D0490"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w:t>
            </w:r>
          </w:p>
        </w:tc>
        <w:tc>
          <w:tcPr>
            <w:tcW w:w="2281" w:type="dxa"/>
            <w:gridSpan w:val="2"/>
            <w:tcBorders>
              <w:top w:val="nil"/>
              <w:left w:val="nil"/>
              <w:bottom w:val="single" w:sz="4" w:space="0" w:color="auto"/>
              <w:right w:val="single" w:sz="4" w:space="0" w:color="auto"/>
            </w:tcBorders>
            <w:shd w:val="clear" w:color="auto" w:fill="auto"/>
            <w:hideMark/>
          </w:tcPr>
          <w:p w14:paraId="7274D5C9"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 xml:space="preserve">Материал выпускается </w:t>
            </w:r>
            <w:proofErr w:type="spellStart"/>
            <w:r w:rsidRPr="0092624F">
              <w:rPr>
                <w:rFonts w:ascii="Times New Roman" w:eastAsia="Times New Roman" w:hAnsi="Times New Roman" w:cs="Times New Roman"/>
                <w:color w:val="000000"/>
                <w:sz w:val="20"/>
                <w:szCs w:val="20"/>
                <w:lang w:eastAsia="ru-RU"/>
              </w:rPr>
              <w:t>стерильным,для</w:t>
            </w:r>
            <w:proofErr w:type="spellEnd"/>
            <w:r w:rsidRPr="0092624F">
              <w:rPr>
                <w:rFonts w:ascii="Times New Roman" w:eastAsia="Times New Roman" w:hAnsi="Times New Roman" w:cs="Times New Roman"/>
                <w:color w:val="000000"/>
                <w:sz w:val="20"/>
                <w:szCs w:val="20"/>
                <w:lang w:eastAsia="ru-RU"/>
              </w:rPr>
              <w:t xml:space="preserve"> однократного использования</w:t>
            </w:r>
          </w:p>
        </w:tc>
        <w:tc>
          <w:tcPr>
            <w:tcW w:w="1843" w:type="dxa"/>
            <w:tcBorders>
              <w:top w:val="nil"/>
              <w:left w:val="nil"/>
              <w:bottom w:val="single" w:sz="4" w:space="0" w:color="auto"/>
              <w:right w:val="single" w:sz="4" w:space="0" w:color="auto"/>
            </w:tcBorders>
            <w:shd w:val="clear" w:color="auto" w:fill="auto"/>
            <w:hideMark/>
          </w:tcPr>
          <w:p w14:paraId="073A792F"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Соответствие</w:t>
            </w:r>
          </w:p>
        </w:tc>
        <w:tc>
          <w:tcPr>
            <w:tcW w:w="1559" w:type="dxa"/>
            <w:tcBorders>
              <w:top w:val="nil"/>
              <w:left w:val="nil"/>
              <w:bottom w:val="single" w:sz="4" w:space="0" w:color="auto"/>
              <w:right w:val="single" w:sz="4" w:space="0" w:color="auto"/>
            </w:tcBorders>
            <w:shd w:val="clear" w:color="auto" w:fill="auto"/>
            <w:hideMark/>
          </w:tcPr>
          <w:p w14:paraId="6947A89C"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7D1C4CC6"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14" w:type="dxa"/>
            <w:gridSpan w:val="2"/>
            <w:vMerge w:val="restart"/>
            <w:tcBorders>
              <w:top w:val="nil"/>
              <w:left w:val="single" w:sz="4" w:space="0" w:color="auto"/>
              <w:bottom w:val="single" w:sz="4" w:space="0" w:color="auto"/>
              <w:right w:val="single" w:sz="4" w:space="0" w:color="auto"/>
            </w:tcBorders>
            <w:shd w:val="clear" w:color="auto" w:fill="auto"/>
            <w:hideMark/>
          </w:tcPr>
          <w:p w14:paraId="41BA3B8B"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Штука (Шт.)</w:t>
            </w:r>
          </w:p>
        </w:tc>
        <w:tc>
          <w:tcPr>
            <w:tcW w:w="790" w:type="dxa"/>
            <w:gridSpan w:val="2"/>
            <w:vMerge w:val="restart"/>
            <w:tcBorders>
              <w:top w:val="nil"/>
              <w:left w:val="single" w:sz="4" w:space="0" w:color="auto"/>
              <w:bottom w:val="single" w:sz="4" w:space="0" w:color="auto"/>
              <w:right w:val="single" w:sz="4" w:space="0" w:color="auto"/>
            </w:tcBorders>
            <w:shd w:val="clear" w:color="auto" w:fill="auto"/>
            <w:hideMark/>
          </w:tcPr>
          <w:p w14:paraId="208B27D4"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72292B" w:rsidRPr="0092624F" w14:paraId="4F6640FB" w14:textId="77777777" w:rsidTr="0072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98" w:type="dxa"/>
          <w:trHeight w:val="1020"/>
        </w:trPr>
        <w:tc>
          <w:tcPr>
            <w:tcW w:w="567" w:type="dxa"/>
            <w:vMerge/>
            <w:tcBorders>
              <w:top w:val="nil"/>
              <w:left w:val="single" w:sz="4" w:space="0" w:color="auto"/>
              <w:bottom w:val="single" w:sz="4" w:space="0" w:color="auto"/>
              <w:right w:val="single" w:sz="4" w:space="0" w:color="auto"/>
            </w:tcBorders>
            <w:vAlign w:val="center"/>
            <w:hideMark/>
          </w:tcPr>
          <w:p w14:paraId="7762FC16"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2B6DDAAB"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06AA392"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04" w:type="dxa"/>
            <w:vMerge/>
            <w:tcBorders>
              <w:top w:val="nil"/>
              <w:left w:val="single" w:sz="4" w:space="0" w:color="auto"/>
              <w:bottom w:val="single" w:sz="4" w:space="0" w:color="auto"/>
              <w:right w:val="single" w:sz="4" w:space="0" w:color="auto"/>
            </w:tcBorders>
            <w:vAlign w:val="center"/>
            <w:hideMark/>
          </w:tcPr>
          <w:p w14:paraId="0611DC87"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2281" w:type="dxa"/>
            <w:gridSpan w:val="2"/>
            <w:tcBorders>
              <w:top w:val="nil"/>
              <w:left w:val="nil"/>
              <w:bottom w:val="single" w:sz="4" w:space="0" w:color="auto"/>
              <w:right w:val="single" w:sz="4" w:space="0" w:color="auto"/>
            </w:tcBorders>
            <w:shd w:val="clear" w:color="auto" w:fill="auto"/>
            <w:hideMark/>
          </w:tcPr>
          <w:p w14:paraId="7645DB44"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Материал  представляет собой гидроксиапатит биологического происхождения</w:t>
            </w:r>
          </w:p>
        </w:tc>
        <w:tc>
          <w:tcPr>
            <w:tcW w:w="1843" w:type="dxa"/>
            <w:tcBorders>
              <w:top w:val="nil"/>
              <w:left w:val="nil"/>
              <w:bottom w:val="single" w:sz="4" w:space="0" w:color="auto"/>
              <w:right w:val="single" w:sz="4" w:space="0" w:color="auto"/>
            </w:tcBorders>
            <w:shd w:val="clear" w:color="auto" w:fill="auto"/>
            <w:hideMark/>
          </w:tcPr>
          <w:p w14:paraId="70F9B0B1"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Соответствие</w:t>
            </w:r>
          </w:p>
        </w:tc>
        <w:tc>
          <w:tcPr>
            <w:tcW w:w="1559" w:type="dxa"/>
            <w:tcBorders>
              <w:top w:val="nil"/>
              <w:left w:val="nil"/>
              <w:bottom w:val="single" w:sz="4" w:space="0" w:color="auto"/>
              <w:right w:val="single" w:sz="4" w:space="0" w:color="auto"/>
            </w:tcBorders>
            <w:shd w:val="clear" w:color="auto" w:fill="auto"/>
            <w:hideMark/>
          </w:tcPr>
          <w:p w14:paraId="35FC7335"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30DC8A4D"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14" w:type="dxa"/>
            <w:gridSpan w:val="2"/>
            <w:vMerge/>
            <w:tcBorders>
              <w:top w:val="nil"/>
              <w:left w:val="single" w:sz="4" w:space="0" w:color="auto"/>
              <w:bottom w:val="single" w:sz="4" w:space="0" w:color="auto"/>
              <w:right w:val="single" w:sz="4" w:space="0" w:color="auto"/>
            </w:tcBorders>
            <w:vAlign w:val="center"/>
            <w:hideMark/>
          </w:tcPr>
          <w:p w14:paraId="17B281D8"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790" w:type="dxa"/>
            <w:gridSpan w:val="2"/>
            <w:vMerge/>
            <w:tcBorders>
              <w:top w:val="nil"/>
              <w:left w:val="single" w:sz="4" w:space="0" w:color="auto"/>
              <w:bottom w:val="single" w:sz="4" w:space="0" w:color="auto"/>
              <w:right w:val="single" w:sz="4" w:space="0" w:color="auto"/>
            </w:tcBorders>
            <w:vAlign w:val="center"/>
            <w:hideMark/>
          </w:tcPr>
          <w:p w14:paraId="362BF517"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r>
      <w:tr w:rsidR="0072292B" w:rsidRPr="0092624F" w14:paraId="23DC0ADD" w14:textId="77777777" w:rsidTr="0072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98" w:type="dxa"/>
          <w:trHeight w:val="765"/>
        </w:trPr>
        <w:tc>
          <w:tcPr>
            <w:tcW w:w="567" w:type="dxa"/>
            <w:vMerge/>
            <w:tcBorders>
              <w:top w:val="nil"/>
              <w:left w:val="single" w:sz="4" w:space="0" w:color="auto"/>
              <w:bottom w:val="single" w:sz="4" w:space="0" w:color="auto"/>
              <w:right w:val="single" w:sz="4" w:space="0" w:color="auto"/>
            </w:tcBorders>
            <w:vAlign w:val="center"/>
            <w:hideMark/>
          </w:tcPr>
          <w:p w14:paraId="20D7BDEB"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F9DA6F5"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E1ABC87"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04" w:type="dxa"/>
            <w:vMerge/>
            <w:tcBorders>
              <w:top w:val="nil"/>
              <w:left w:val="single" w:sz="4" w:space="0" w:color="auto"/>
              <w:bottom w:val="single" w:sz="4" w:space="0" w:color="auto"/>
              <w:right w:val="single" w:sz="4" w:space="0" w:color="auto"/>
            </w:tcBorders>
            <w:vAlign w:val="center"/>
            <w:hideMark/>
          </w:tcPr>
          <w:p w14:paraId="52BF515F"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2281" w:type="dxa"/>
            <w:gridSpan w:val="2"/>
            <w:tcBorders>
              <w:top w:val="nil"/>
              <w:left w:val="nil"/>
              <w:bottom w:val="single" w:sz="4" w:space="0" w:color="auto"/>
              <w:right w:val="single" w:sz="4" w:space="0" w:color="auto"/>
            </w:tcBorders>
            <w:shd w:val="clear" w:color="auto" w:fill="auto"/>
            <w:hideMark/>
          </w:tcPr>
          <w:p w14:paraId="10A18A8C"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Материал обладает пористой структурой</w:t>
            </w:r>
          </w:p>
        </w:tc>
        <w:tc>
          <w:tcPr>
            <w:tcW w:w="1843" w:type="dxa"/>
            <w:tcBorders>
              <w:top w:val="nil"/>
              <w:left w:val="nil"/>
              <w:bottom w:val="single" w:sz="4" w:space="0" w:color="auto"/>
              <w:right w:val="single" w:sz="4" w:space="0" w:color="auto"/>
            </w:tcBorders>
            <w:shd w:val="clear" w:color="auto" w:fill="auto"/>
            <w:hideMark/>
          </w:tcPr>
          <w:p w14:paraId="204CD8F4"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Соответствие</w:t>
            </w:r>
          </w:p>
        </w:tc>
        <w:tc>
          <w:tcPr>
            <w:tcW w:w="1559" w:type="dxa"/>
            <w:tcBorders>
              <w:top w:val="nil"/>
              <w:left w:val="nil"/>
              <w:bottom w:val="single" w:sz="4" w:space="0" w:color="auto"/>
              <w:right w:val="single" w:sz="4" w:space="0" w:color="auto"/>
            </w:tcBorders>
            <w:shd w:val="clear" w:color="auto" w:fill="auto"/>
            <w:hideMark/>
          </w:tcPr>
          <w:p w14:paraId="3F2BD60B"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0FBF2FD4"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14" w:type="dxa"/>
            <w:gridSpan w:val="2"/>
            <w:vMerge/>
            <w:tcBorders>
              <w:top w:val="nil"/>
              <w:left w:val="single" w:sz="4" w:space="0" w:color="auto"/>
              <w:bottom w:val="single" w:sz="4" w:space="0" w:color="auto"/>
              <w:right w:val="single" w:sz="4" w:space="0" w:color="auto"/>
            </w:tcBorders>
            <w:vAlign w:val="center"/>
            <w:hideMark/>
          </w:tcPr>
          <w:p w14:paraId="349A8499"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790" w:type="dxa"/>
            <w:gridSpan w:val="2"/>
            <w:vMerge/>
            <w:tcBorders>
              <w:top w:val="nil"/>
              <w:left w:val="single" w:sz="4" w:space="0" w:color="auto"/>
              <w:bottom w:val="single" w:sz="4" w:space="0" w:color="auto"/>
              <w:right w:val="single" w:sz="4" w:space="0" w:color="auto"/>
            </w:tcBorders>
            <w:vAlign w:val="center"/>
            <w:hideMark/>
          </w:tcPr>
          <w:p w14:paraId="26DDBE58"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r>
      <w:tr w:rsidR="0072292B" w:rsidRPr="0092624F" w14:paraId="49471254" w14:textId="77777777" w:rsidTr="0072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98" w:type="dxa"/>
          <w:trHeight w:val="765"/>
        </w:trPr>
        <w:tc>
          <w:tcPr>
            <w:tcW w:w="567" w:type="dxa"/>
            <w:vMerge/>
            <w:tcBorders>
              <w:top w:val="nil"/>
              <w:left w:val="single" w:sz="4" w:space="0" w:color="auto"/>
              <w:bottom w:val="single" w:sz="4" w:space="0" w:color="auto"/>
              <w:right w:val="single" w:sz="4" w:space="0" w:color="auto"/>
            </w:tcBorders>
            <w:vAlign w:val="center"/>
            <w:hideMark/>
          </w:tcPr>
          <w:p w14:paraId="4B999268"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D927C9E"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7C39542"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04" w:type="dxa"/>
            <w:vMerge/>
            <w:tcBorders>
              <w:top w:val="nil"/>
              <w:left w:val="single" w:sz="4" w:space="0" w:color="auto"/>
              <w:bottom w:val="single" w:sz="4" w:space="0" w:color="auto"/>
              <w:right w:val="single" w:sz="4" w:space="0" w:color="auto"/>
            </w:tcBorders>
            <w:vAlign w:val="center"/>
            <w:hideMark/>
          </w:tcPr>
          <w:p w14:paraId="0541F958"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2281" w:type="dxa"/>
            <w:gridSpan w:val="2"/>
            <w:tcBorders>
              <w:top w:val="nil"/>
              <w:left w:val="nil"/>
              <w:bottom w:val="single" w:sz="4" w:space="0" w:color="auto"/>
              <w:right w:val="single" w:sz="4" w:space="0" w:color="auto"/>
            </w:tcBorders>
            <w:shd w:val="clear" w:color="auto" w:fill="auto"/>
            <w:hideMark/>
          </w:tcPr>
          <w:p w14:paraId="4F075BD1"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Материал обладает остеогенными свойствами</w:t>
            </w:r>
          </w:p>
        </w:tc>
        <w:tc>
          <w:tcPr>
            <w:tcW w:w="1843" w:type="dxa"/>
            <w:tcBorders>
              <w:top w:val="nil"/>
              <w:left w:val="nil"/>
              <w:bottom w:val="single" w:sz="4" w:space="0" w:color="auto"/>
              <w:right w:val="single" w:sz="4" w:space="0" w:color="auto"/>
            </w:tcBorders>
            <w:shd w:val="clear" w:color="auto" w:fill="auto"/>
            <w:hideMark/>
          </w:tcPr>
          <w:p w14:paraId="685A3944"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Соответствие</w:t>
            </w:r>
          </w:p>
        </w:tc>
        <w:tc>
          <w:tcPr>
            <w:tcW w:w="1559" w:type="dxa"/>
            <w:tcBorders>
              <w:top w:val="nil"/>
              <w:left w:val="nil"/>
              <w:bottom w:val="single" w:sz="4" w:space="0" w:color="auto"/>
              <w:right w:val="single" w:sz="4" w:space="0" w:color="auto"/>
            </w:tcBorders>
            <w:shd w:val="clear" w:color="auto" w:fill="auto"/>
            <w:hideMark/>
          </w:tcPr>
          <w:p w14:paraId="6853C576"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70CB1EF3"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14" w:type="dxa"/>
            <w:gridSpan w:val="2"/>
            <w:vMerge/>
            <w:tcBorders>
              <w:top w:val="nil"/>
              <w:left w:val="single" w:sz="4" w:space="0" w:color="auto"/>
              <w:bottom w:val="single" w:sz="4" w:space="0" w:color="auto"/>
              <w:right w:val="single" w:sz="4" w:space="0" w:color="auto"/>
            </w:tcBorders>
            <w:vAlign w:val="center"/>
            <w:hideMark/>
          </w:tcPr>
          <w:p w14:paraId="3B6F3D60"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790" w:type="dxa"/>
            <w:gridSpan w:val="2"/>
            <w:vMerge/>
            <w:tcBorders>
              <w:top w:val="nil"/>
              <w:left w:val="single" w:sz="4" w:space="0" w:color="auto"/>
              <w:bottom w:val="single" w:sz="4" w:space="0" w:color="auto"/>
              <w:right w:val="single" w:sz="4" w:space="0" w:color="auto"/>
            </w:tcBorders>
            <w:vAlign w:val="center"/>
            <w:hideMark/>
          </w:tcPr>
          <w:p w14:paraId="35925156"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r>
      <w:tr w:rsidR="0072292B" w:rsidRPr="0092624F" w14:paraId="04A8B620" w14:textId="77777777" w:rsidTr="0072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98" w:type="dxa"/>
          <w:trHeight w:val="765"/>
        </w:trPr>
        <w:tc>
          <w:tcPr>
            <w:tcW w:w="567" w:type="dxa"/>
            <w:vMerge/>
            <w:tcBorders>
              <w:top w:val="nil"/>
              <w:left w:val="single" w:sz="4" w:space="0" w:color="auto"/>
              <w:bottom w:val="single" w:sz="4" w:space="0" w:color="auto"/>
              <w:right w:val="single" w:sz="4" w:space="0" w:color="auto"/>
            </w:tcBorders>
            <w:vAlign w:val="center"/>
            <w:hideMark/>
          </w:tcPr>
          <w:p w14:paraId="4697024C"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2A3FF906"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34125BB"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04" w:type="dxa"/>
            <w:vMerge/>
            <w:tcBorders>
              <w:top w:val="nil"/>
              <w:left w:val="single" w:sz="4" w:space="0" w:color="auto"/>
              <w:bottom w:val="single" w:sz="4" w:space="0" w:color="auto"/>
              <w:right w:val="single" w:sz="4" w:space="0" w:color="auto"/>
            </w:tcBorders>
            <w:vAlign w:val="center"/>
            <w:hideMark/>
          </w:tcPr>
          <w:p w14:paraId="25516CDF"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2281" w:type="dxa"/>
            <w:gridSpan w:val="2"/>
            <w:tcBorders>
              <w:top w:val="nil"/>
              <w:left w:val="nil"/>
              <w:bottom w:val="single" w:sz="4" w:space="0" w:color="auto"/>
              <w:right w:val="single" w:sz="4" w:space="0" w:color="auto"/>
            </w:tcBorders>
            <w:shd w:val="clear" w:color="auto" w:fill="auto"/>
            <w:hideMark/>
          </w:tcPr>
          <w:p w14:paraId="3FCA7D41"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Материал обладает высокой биологической совместимостью</w:t>
            </w:r>
          </w:p>
        </w:tc>
        <w:tc>
          <w:tcPr>
            <w:tcW w:w="1843" w:type="dxa"/>
            <w:tcBorders>
              <w:top w:val="nil"/>
              <w:left w:val="nil"/>
              <w:bottom w:val="single" w:sz="4" w:space="0" w:color="auto"/>
              <w:right w:val="single" w:sz="4" w:space="0" w:color="auto"/>
            </w:tcBorders>
            <w:shd w:val="clear" w:color="auto" w:fill="auto"/>
            <w:hideMark/>
          </w:tcPr>
          <w:p w14:paraId="56340313"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Соответствие</w:t>
            </w:r>
          </w:p>
        </w:tc>
        <w:tc>
          <w:tcPr>
            <w:tcW w:w="1559" w:type="dxa"/>
            <w:tcBorders>
              <w:top w:val="nil"/>
              <w:left w:val="nil"/>
              <w:bottom w:val="single" w:sz="4" w:space="0" w:color="auto"/>
              <w:right w:val="single" w:sz="4" w:space="0" w:color="auto"/>
            </w:tcBorders>
            <w:shd w:val="clear" w:color="auto" w:fill="auto"/>
            <w:hideMark/>
          </w:tcPr>
          <w:p w14:paraId="2466CF4A"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172B0621"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14" w:type="dxa"/>
            <w:gridSpan w:val="2"/>
            <w:vMerge/>
            <w:tcBorders>
              <w:top w:val="nil"/>
              <w:left w:val="single" w:sz="4" w:space="0" w:color="auto"/>
              <w:bottom w:val="single" w:sz="4" w:space="0" w:color="auto"/>
              <w:right w:val="single" w:sz="4" w:space="0" w:color="auto"/>
            </w:tcBorders>
            <w:vAlign w:val="center"/>
            <w:hideMark/>
          </w:tcPr>
          <w:p w14:paraId="6896D4F6"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790" w:type="dxa"/>
            <w:gridSpan w:val="2"/>
            <w:vMerge/>
            <w:tcBorders>
              <w:top w:val="nil"/>
              <w:left w:val="single" w:sz="4" w:space="0" w:color="auto"/>
              <w:bottom w:val="single" w:sz="4" w:space="0" w:color="auto"/>
              <w:right w:val="single" w:sz="4" w:space="0" w:color="auto"/>
            </w:tcBorders>
            <w:vAlign w:val="center"/>
            <w:hideMark/>
          </w:tcPr>
          <w:p w14:paraId="7D74CB50"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r>
      <w:tr w:rsidR="0072292B" w:rsidRPr="0092624F" w14:paraId="03C2025A" w14:textId="77777777" w:rsidTr="0072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98" w:type="dxa"/>
          <w:trHeight w:val="1275"/>
        </w:trPr>
        <w:tc>
          <w:tcPr>
            <w:tcW w:w="567" w:type="dxa"/>
            <w:vMerge/>
            <w:tcBorders>
              <w:top w:val="nil"/>
              <w:left w:val="single" w:sz="4" w:space="0" w:color="auto"/>
              <w:bottom w:val="single" w:sz="4" w:space="0" w:color="auto"/>
              <w:right w:val="single" w:sz="4" w:space="0" w:color="auto"/>
            </w:tcBorders>
            <w:vAlign w:val="center"/>
            <w:hideMark/>
          </w:tcPr>
          <w:p w14:paraId="575F990E"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97F871B"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C6EC230"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04" w:type="dxa"/>
            <w:vMerge/>
            <w:tcBorders>
              <w:top w:val="nil"/>
              <w:left w:val="single" w:sz="4" w:space="0" w:color="auto"/>
              <w:bottom w:val="single" w:sz="4" w:space="0" w:color="auto"/>
              <w:right w:val="single" w:sz="4" w:space="0" w:color="auto"/>
            </w:tcBorders>
            <w:vAlign w:val="center"/>
            <w:hideMark/>
          </w:tcPr>
          <w:p w14:paraId="401CB229"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2281" w:type="dxa"/>
            <w:gridSpan w:val="2"/>
            <w:tcBorders>
              <w:top w:val="nil"/>
              <w:left w:val="nil"/>
              <w:bottom w:val="single" w:sz="4" w:space="0" w:color="auto"/>
              <w:right w:val="single" w:sz="4" w:space="0" w:color="auto"/>
            </w:tcBorders>
            <w:shd w:val="clear" w:color="auto" w:fill="auto"/>
            <w:hideMark/>
          </w:tcPr>
          <w:p w14:paraId="27EB9926"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 xml:space="preserve">Паста представляет собой смесь, состоящую из увлажненных гранул </w:t>
            </w:r>
            <w:proofErr w:type="spellStart"/>
            <w:r w:rsidRPr="0092624F">
              <w:rPr>
                <w:rFonts w:ascii="Times New Roman" w:eastAsia="Times New Roman" w:hAnsi="Times New Roman" w:cs="Times New Roman"/>
                <w:color w:val="000000"/>
                <w:sz w:val="20"/>
                <w:szCs w:val="20"/>
                <w:lang w:eastAsia="ru-RU"/>
              </w:rPr>
              <w:t>кортикально</w:t>
            </w:r>
            <w:proofErr w:type="spellEnd"/>
            <w:r w:rsidRPr="0092624F">
              <w:rPr>
                <w:rFonts w:ascii="Times New Roman" w:eastAsia="Times New Roman" w:hAnsi="Times New Roman" w:cs="Times New Roman"/>
                <w:color w:val="000000"/>
                <w:sz w:val="20"/>
                <w:szCs w:val="20"/>
                <w:lang w:eastAsia="ru-RU"/>
              </w:rPr>
              <w:t>-губчатой кости с размером</w:t>
            </w:r>
          </w:p>
        </w:tc>
        <w:tc>
          <w:tcPr>
            <w:tcW w:w="1843" w:type="dxa"/>
            <w:tcBorders>
              <w:top w:val="nil"/>
              <w:left w:val="nil"/>
              <w:bottom w:val="single" w:sz="4" w:space="0" w:color="auto"/>
              <w:right w:val="single" w:sz="4" w:space="0" w:color="auto"/>
            </w:tcBorders>
            <w:shd w:val="clear" w:color="auto" w:fill="auto"/>
            <w:hideMark/>
          </w:tcPr>
          <w:p w14:paraId="145F20DF"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Соответствие</w:t>
            </w:r>
          </w:p>
        </w:tc>
        <w:tc>
          <w:tcPr>
            <w:tcW w:w="1559" w:type="dxa"/>
            <w:tcBorders>
              <w:top w:val="nil"/>
              <w:left w:val="nil"/>
              <w:bottom w:val="single" w:sz="4" w:space="0" w:color="auto"/>
              <w:right w:val="single" w:sz="4" w:space="0" w:color="auto"/>
            </w:tcBorders>
            <w:shd w:val="clear" w:color="auto" w:fill="auto"/>
            <w:hideMark/>
          </w:tcPr>
          <w:p w14:paraId="207CCB3A"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6E8D3D18"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14" w:type="dxa"/>
            <w:gridSpan w:val="2"/>
            <w:vMerge/>
            <w:tcBorders>
              <w:top w:val="nil"/>
              <w:left w:val="single" w:sz="4" w:space="0" w:color="auto"/>
              <w:bottom w:val="single" w:sz="4" w:space="0" w:color="auto"/>
              <w:right w:val="single" w:sz="4" w:space="0" w:color="auto"/>
            </w:tcBorders>
            <w:vAlign w:val="center"/>
            <w:hideMark/>
          </w:tcPr>
          <w:p w14:paraId="3B6DB76F"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790" w:type="dxa"/>
            <w:gridSpan w:val="2"/>
            <w:vMerge/>
            <w:tcBorders>
              <w:top w:val="nil"/>
              <w:left w:val="single" w:sz="4" w:space="0" w:color="auto"/>
              <w:bottom w:val="single" w:sz="4" w:space="0" w:color="auto"/>
              <w:right w:val="single" w:sz="4" w:space="0" w:color="auto"/>
            </w:tcBorders>
            <w:vAlign w:val="center"/>
            <w:hideMark/>
          </w:tcPr>
          <w:p w14:paraId="7B22DE95"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r>
      <w:tr w:rsidR="0072292B" w:rsidRPr="0092624F" w14:paraId="2F31ABE0" w14:textId="77777777" w:rsidTr="0072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98" w:type="dxa"/>
          <w:trHeight w:val="765"/>
        </w:trPr>
        <w:tc>
          <w:tcPr>
            <w:tcW w:w="567" w:type="dxa"/>
            <w:vMerge/>
            <w:tcBorders>
              <w:top w:val="nil"/>
              <w:left w:val="single" w:sz="4" w:space="0" w:color="auto"/>
              <w:bottom w:val="single" w:sz="4" w:space="0" w:color="auto"/>
              <w:right w:val="single" w:sz="4" w:space="0" w:color="auto"/>
            </w:tcBorders>
            <w:vAlign w:val="center"/>
            <w:hideMark/>
          </w:tcPr>
          <w:p w14:paraId="44E0F2DD"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4D1DCA9"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20AE0BE"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04" w:type="dxa"/>
            <w:vMerge/>
            <w:tcBorders>
              <w:top w:val="nil"/>
              <w:left w:val="single" w:sz="4" w:space="0" w:color="auto"/>
              <w:bottom w:val="single" w:sz="4" w:space="0" w:color="auto"/>
              <w:right w:val="single" w:sz="4" w:space="0" w:color="auto"/>
            </w:tcBorders>
            <w:vAlign w:val="center"/>
            <w:hideMark/>
          </w:tcPr>
          <w:p w14:paraId="765C85FA"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2281" w:type="dxa"/>
            <w:gridSpan w:val="2"/>
            <w:tcBorders>
              <w:top w:val="nil"/>
              <w:left w:val="nil"/>
              <w:bottom w:val="single" w:sz="4" w:space="0" w:color="auto"/>
              <w:right w:val="single" w:sz="4" w:space="0" w:color="auto"/>
            </w:tcBorders>
            <w:shd w:val="clear" w:color="auto" w:fill="auto"/>
            <w:hideMark/>
          </w:tcPr>
          <w:p w14:paraId="568CC76D"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Размер гранул, диапазон</w:t>
            </w:r>
          </w:p>
        </w:tc>
        <w:tc>
          <w:tcPr>
            <w:tcW w:w="1843" w:type="dxa"/>
            <w:tcBorders>
              <w:top w:val="nil"/>
              <w:left w:val="nil"/>
              <w:bottom w:val="single" w:sz="4" w:space="0" w:color="auto"/>
              <w:right w:val="single" w:sz="4" w:space="0" w:color="auto"/>
            </w:tcBorders>
            <w:shd w:val="clear" w:color="auto" w:fill="auto"/>
            <w:hideMark/>
          </w:tcPr>
          <w:p w14:paraId="71CB77E3"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От ≥ 200 до ≤ 1000</w:t>
            </w:r>
          </w:p>
        </w:tc>
        <w:tc>
          <w:tcPr>
            <w:tcW w:w="1559" w:type="dxa"/>
            <w:tcBorders>
              <w:top w:val="nil"/>
              <w:left w:val="nil"/>
              <w:bottom w:val="single" w:sz="4" w:space="0" w:color="auto"/>
              <w:right w:val="single" w:sz="4" w:space="0" w:color="auto"/>
            </w:tcBorders>
            <w:shd w:val="clear" w:color="auto" w:fill="auto"/>
            <w:hideMark/>
          </w:tcPr>
          <w:p w14:paraId="25C330C2"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мкм</w:t>
            </w:r>
          </w:p>
        </w:tc>
        <w:tc>
          <w:tcPr>
            <w:tcW w:w="1701" w:type="dxa"/>
            <w:tcBorders>
              <w:top w:val="nil"/>
              <w:left w:val="nil"/>
              <w:bottom w:val="single" w:sz="4" w:space="0" w:color="auto"/>
              <w:right w:val="single" w:sz="4" w:space="0" w:color="auto"/>
            </w:tcBorders>
            <w:shd w:val="clear" w:color="auto" w:fill="auto"/>
            <w:hideMark/>
          </w:tcPr>
          <w:p w14:paraId="4C324E87"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Участник закупки указывает в заявке диапазон значений характеристики</w:t>
            </w:r>
          </w:p>
        </w:tc>
        <w:tc>
          <w:tcPr>
            <w:tcW w:w="1914" w:type="dxa"/>
            <w:gridSpan w:val="2"/>
            <w:vMerge/>
            <w:tcBorders>
              <w:top w:val="nil"/>
              <w:left w:val="single" w:sz="4" w:space="0" w:color="auto"/>
              <w:bottom w:val="single" w:sz="4" w:space="0" w:color="auto"/>
              <w:right w:val="single" w:sz="4" w:space="0" w:color="auto"/>
            </w:tcBorders>
            <w:vAlign w:val="center"/>
            <w:hideMark/>
          </w:tcPr>
          <w:p w14:paraId="40FB78E5"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790" w:type="dxa"/>
            <w:gridSpan w:val="2"/>
            <w:vMerge/>
            <w:tcBorders>
              <w:top w:val="nil"/>
              <w:left w:val="single" w:sz="4" w:space="0" w:color="auto"/>
              <w:bottom w:val="single" w:sz="4" w:space="0" w:color="auto"/>
              <w:right w:val="single" w:sz="4" w:space="0" w:color="auto"/>
            </w:tcBorders>
            <w:vAlign w:val="center"/>
            <w:hideMark/>
          </w:tcPr>
          <w:p w14:paraId="0A59B998"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r>
      <w:tr w:rsidR="0072292B" w:rsidRPr="0092624F" w14:paraId="7C585AE5" w14:textId="77777777" w:rsidTr="0072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98" w:type="dxa"/>
          <w:trHeight w:val="765"/>
        </w:trPr>
        <w:tc>
          <w:tcPr>
            <w:tcW w:w="567" w:type="dxa"/>
            <w:vMerge/>
            <w:tcBorders>
              <w:top w:val="nil"/>
              <w:left w:val="single" w:sz="4" w:space="0" w:color="auto"/>
              <w:bottom w:val="single" w:sz="4" w:space="0" w:color="auto"/>
              <w:right w:val="single" w:sz="4" w:space="0" w:color="auto"/>
            </w:tcBorders>
            <w:vAlign w:val="center"/>
            <w:hideMark/>
          </w:tcPr>
          <w:p w14:paraId="1F9B77EF"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2A54D136"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2EABFBD"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1404" w:type="dxa"/>
            <w:vMerge/>
            <w:tcBorders>
              <w:top w:val="nil"/>
              <w:left w:val="single" w:sz="4" w:space="0" w:color="auto"/>
              <w:bottom w:val="single" w:sz="4" w:space="0" w:color="auto"/>
              <w:right w:val="single" w:sz="4" w:space="0" w:color="auto"/>
            </w:tcBorders>
            <w:vAlign w:val="center"/>
            <w:hideMark/>
          </w:tcPr>
          <w:p w14:paraId="52CA7533"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2281" w:type="dxa"/>
            <w:gridSpan w:val="2"/>
            <w:tcBorders>
              <w:top w:val="nil"/>
              <w:left w:val="nil"/>
              <w:bottom w:val="single" w:sz="4" w:space="0" w:color="auto"/>
              <w:right w:val="single" w:sz="4" w:space="0" w:color="auto"/>
            </w:tcBorders>
            <w:shd w:val="clear" w:color="auto" w:fill="auto"/>
            <w:hideMark/>
          </w:tcPr>
          <w:p w14:paraId="3BFF0091"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Размер пасты</w:t>
            </w:r>
          </w:p>
        </w:tc>
        <w:tc>
          <w:tcPr>
            <w:tcW w:w="1843" w:type="dxa"/>
            <w:tcBorders>
              <w:top w:val="nil"/>
              <w:left w:val="nil"/>
              <w:bottom w:val="single" w:sz="4" w:space="0" w:color="auto"/>
              <w:right w:val="single" w:sz="4" w:space="0" w:color="auto"/>
            </w:tcBorders>
            <w:shd w:val="clear" w:color="auto" w:fill="auto"/>
            <w:hideMark/>
          </w:tcPr>
          <w:p w14:paraId="40C588C0"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 1</w:t>
            </w:r>
          </w:p>
        </w:tc>
        <w:tc>
          <w:tcPr>
            <w:tcW w:w="1559" w:type="dxa"/>
            <w:tcBorders>
              <w:top w:val="nil"/>
              <w:left w:val="nil"/>
              <w:bottom w:val="single" w:sz="4" w:space="0" w:color="auto"/>
              <w:right w:val="single" w:sz="4" w:space="0" w:color="auto"/>
            </w:tcBorders>
            <w:shd w:val="clear" w:color="auto" w:fill="auto"/>
            <w:hideMark/>
          </w:tcPr>
          <w:p w14:paraId="751C11ED"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куб. см.</w:t>
            </w:r>
          </w:p>
        </w:tc>
        <w:tc>
          <w:tcPr>
            <w:tcW w:w="1701" w:type="dxa"/>
            <w:tcBorders>
              <w:top w:val="nil"/>
              <w:left w:val="nil"/>
              <w:bottom w:val="single" w:sz="4" w:space="0" w:color="auto"/>
              <w:right w:val="single" w:sz="4" w:space="0" w:color="auto"/>
            </w:tcBorders>
            <w:shd w:val="clear" w:color="auto" w:fill="auto"/>
            <w:hideMark/>
          </w:tcPr>
          <w:p w14:paraId="50E8ABAE" w14:textId="77777777" w:rsidR="0072292B" w:rsidRPr="0092624F" w:rsidRDefault="0072292B" w:rsidP="001F5942">
            <w:pPr>
              <w:spacing w:after="0" w:line="240" w:lineRule="auto"/>
              <w:jc w:val="center"/>
              <w:rPr>
                <w:rFonts w:ascii="Times New Roman" w:eastAsia="Times New Roman" w:hAnsi="Times New Roman" w:cs="Times New Roman"/>
                <w:color w:val="000000"/>
                <w:sz w:val="20"/>
                <w:szCs w:val="20"/>
                <w:lang w:eastAsia="ru-RU"/>
              </w:rPr>
            </w:pPr>
            <w:r w:rsidRPr="0092624F">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14" w:type="dxa"/>
            <w:gridSpan w:val="2"/>
            <w:vMerge/>
            <w:tcBorders>
              <w:top w:val="nil"/>
              <w:left w:val="single" w:sz="4" w:space="0" w:color="auto"/>
              <w:bottom w:val="single" w:sz="4" w:space="0" w:color="auto"/>
              <w:right w:val="single" w:sz="4" w:space="0" w:color="auto"/>
            </w:tcBorders>
            <w:vAlign w:val="center"/>
            <w:hideMark/>
          </w:tcPr>
          <w:p w14:paraId="090F1259"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c>
          <w:tcPr>
            <w:tcW w:w="790" w:type="dxa"/>
            <w:gridSpan w:val="2"/>
            <w:vMerge/>
            <w:tcBorders>
              <w:top w:val="nil"/>
              <w:left w:val="single" w:sz="4" w:space="0" w:color="auto"/>
              <w:bottom w:val="single" w:sz="4" w:space="0" w:color="auto"/>
              <w:right w:val="single" w:sz="4" w:space="0" w:color="auto"/>
            </w:tcBorders>
            <w:vAlign w:val="center"/>
            <w:hideMark/>
          </w:tcPr>
          <w:p w14:paraId="223F9589" w14:textId="77777777" w:rsidR="0072292B" w:rsidRPr="0092624F" w:rsidRDefault="0072292B" w:rsidP="001F5942">
            <w:pPr>
              <w:spacing w:after="0" w:line="240" w:lineRule="auto"/>
              <w:rPr>
                <w:rFonts w:ascii="Times New Roman" w:eastAsia="Times New Roman" w:hAnsi="Times New Roman" w:cs="Times New Roman"/>
                <w:color w:val="000000"/>
                <w:sz w:val="20"/>
                <w:szCs w:val="20"/>
                <w:lang w:eastAsia="ru-RU"/>
              </w:rPr>
            </w:pPr>
          </w:p>
        </w:tc>
      </w:tr>
    </w:tbl>
    <w:p w14:paraId="577082B5" w14:textId="77777777" w:rsidR="0072292B" w:rsidRPr="001A58C6" w:rsidRDefault="0072292B" w:rsidP="001A58C6">
      <w:pPr>
        <w:jc w:val="center"/>
        <w:rPr>
          <w:rFonts w:ascii="Times New Roman" w:hAnsi="Times New Roman" w:cs="Times New Roman"/>
          <w:b/>
          <w:bCs/>
        </w:rPr>
      </w:pPr>
    </w:p>
    <w:p w14:paraId="5CE06FD0" w14:textId="77777777" w:rsidR="001A58C6" w:rsidRPr="001A58C6" w:rsidRDefault="001A58C6" w:rsidP="001A58C6">
      <w:pPr>
        <w:ind w:firstLine="708"/>
        <w:rPr>
          <w:rFonts w:ascii="Times New Roman" w:eastAsia="Arial" w:hAnsi="Times New Roman" w:cs="Times New Roman"/>
          <w:kern w:val="2"/>
          <w:sz w:val="20"/>
          <w:szCs w:val="20"/>
          <w:lang w:eastAsia="zh-CN" w:bidi="hi-IN"/>
        </w:rPr>
      </w:pPr>
      <w:r w:rsidRPr="001A58C6">
        <w:rPr>
          <w:rFonts w:ascii="Times New Roman" w:hAnsi="Times New Roman" w:cs="Times New Roman"/>
          <w:sz w:val="20"/>
          <w:szCs w:val="20"/>
        </w:rPr>
        <w:t>* Обоснование необходимости использования дополнительной информации: дополнительные требования (не предусмотренные КТРУ) к техническим характеристикам товара установлены Заказчиком в соответствии с положениями статьи 33 Федерального закона № 44-ФЗ.  Дополнительные характеристики обусловлены с учетом специфики деятельности Заказчика</w:t>
      </w:r>
      <w:r w:rsidRPr="001A58C6">
        <w:rPr>
          <w:rFonts w:ascii="Times New Roman" w:eastAsia="Arial" w:hAnsi="Times New Roman" w:cs="Times New Roman"/>
          <w:kern w:val="2"/>
          <w:sz w:val="20"/>
          <w:szCs w:val="20"/>
          <w:lang w:eastAsia="zh-CN" w:bidi="hi-IN"/>
        </w:rPr>
        <w:t>.</w:t>
      </w:r>
    </w:p>
    <w:p w14:paraId="292E5688" w14:textId="77777777" w:rsidR="001A58C6" w:rsidRPr="001A58C6" w:rsidRDefault="001A58C6" w:rsidP="001A58C6">
      <w:pPr>
        <w:ind w:firstLine="708"/>
        <w:rPr>
          <w:rFonts w:ascii="Times New Roman" w:eastAsia="Calibri" w:hAnsi="Times New Roman" w:cs="Times New Roman"/>
          <w:sz w:val="20"/>
          <w:szCs w:val="20"/>
        </w:rPr>
      </w:pPr>
      <w:r w:rsidRPr="001A58C6">
        <w:rPr>
          <w:rFonts w:ascii="Times New Roman" w:eastAsia="Calibri" w:hAnsi="Times New Roman" w:cs="Times New Roman"/>
          <w:b/>
          <w:sz w:val="20"/>
          <w:szCs w:val="20"/>
        </w:rPr>
        <w:t>Требования к безопасности Товара</w:t>
      </w:r>
      <w:r w:rsidRPr="001A58C6">
        <w:rPr>
          <w:rFonts w:ascii="Times New Roman" w:eastAsia="Calibri" w:hAnsi="Times New Roman" w:cs="Times New Roman"/>
          <w:sz w:val="20"/>
          <w:szCs w:val="20"/>
        </w:rPr>
        <w:t>: Весь поставляемый Товар должен соответствовать техническим регламентам, государственным и отраслевым стандартам, техническим условиям и иным документам, являющимися обязательными в отношении данного Товара в соответствии с законодательными и подзаконными актами, действующими на территории Российской Федерации.</w:t>
      </w:r>
    </w:p>
    <w:p w14:paraId="71BA5C52"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b/>
          <w:sz w:val="20"/>
          <w:szCs w:val="20"/>
        </w:rPr>
        <w:t xml:space="preserve">                 Требования к таре и упаковке:</w:t>
      </w:r>
      <w:r w:rsidRPr="001A58C6">
        <w:rPr>
          <w:rFonts w:ascii="Times New Roman" w:hAnsi="Times New Roman" w:cs="Times New Roman"/>
          <w:sz w:val="20"/>
          <w:szCs w:val="20"/>
        </w:rPr>
        <w:t xml:space="preserve"> Тара, упаковка и упаковочные материалы должны быть разрешены к применению и соответствовать требованиями нормативных документов (технических регламентов, ГОСТ, </w:t>
      </w:r>
      <w:proofErr w:type="spellStart"/>
      <w:r w:rsidRPr="001A58C6">
        <w:rPr>
          <w:rFonts w:ascii="Times New Roman" w:hAnsi="Times New Roman" w:cs="Times New Roman"/>
          <w:sz w:val="20"/>
          <w:szCs w:val="20"/>
        </w:rPr>
        <w:t>СаНПин</w:t>
      </w:r>
      <w:proofErr w:type="spellEnd"/>
      <w:r w:rsidRPr="001A58C6">
        <w:rPr>
          <w:rFonts w:ascii="Times New Roman" w:hAnsi="Times New Roman" w:cs="Times New Roman"/>
          <w:sz w:val="20"/>
          <w:szCs w:val="20"/>
        </w:rPr>
        <w:t>), действующих на территории Российской Федерации, и обеспечивать сохранность и качество продукции при транспортировке и хранении.</w:t>
      </w:r>
      <w:r w:rsidRPr="001A58C6">
        <w:rPr>
          <w:rFonts w:ascii="Times New Roman" w:hAnsi="Times New Roman" w:cs="Times New Roman"/>
          <w:sz w:val="20"/>
          <w:szCs w:val="20"/>
        </w:rPr>
        <w:tab/>
      </w:r>
    </w:p>
    <w:p w14:paraId="1574A97B" w14:textId="77777777" w:rsidR="001A58C6" w:rsidRPr="001A58C6" w:rsidRDefault="001A58C6" w:rsidP="001A58C6">
      <w:pPr>
        <w:spacing w:line="20" w:lineRule="atLeast"/>
        <w:jc w:val="both"/>
        <w:rPr>
          <w:rFonts w:ascii="Times New Roman" w:hAnsi="Times New Roman" w:cs="Times New Roman"/>
          <w:sz w:val="20"/>
          <w:szCs w:val="20"/>
        </w:rPr>
      </w:pPr>
    </w:p>
    <w:p w14:paraId="3796988B"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Инструкция по заполнению заявки на участие в аукционе.</w:t>
      </w:r>
    </w:p>
    <w:p w14:paraId="2766E391"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СИМВОЛЫ И ОБОЗНАЧЕНИЯ, ИСПОЛЬЗУЕМЫЕ В ТЕХНИЧЕСКОМ ЗАДАНИИ</w:t>
      </w:r>
    </w:p>
    <w:p w14:paraId="3134E7B3"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При описании технических и функциональных характеристик поставляемого товара нижеследующие слова и обозначения значат следующее, если иное прямо не указано:</w:t>
      </w:r>
    </w:p>
    <w:p w14:paraId="55A99671"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«Описание по классификатору» заполненный в соответствие с описанием по КТРУ состоит из показателей товара, которые должны быть указаны без изменений.</w:t>
      </w:r>
    </w:p>
    <w:p w14:paraId="65FD53C7"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При формировании первой части заявки участник размещения заказа указывает конкретное значение установленного заказчиком показателя в соответствии с требованиями настоящей инструкции. 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Участник размещения заказа в заявке в обязательном порядке указывает как конкретные значения параметров, так и единицы измерения.</w:t>
      </w:r>
    </w:p>
    <w:p w14:paraId="4283D442"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Значения должны быть точными, конкретными и не сопровождаться словами: „максимально“, „минимально“, „около“, „предпочтительно“, „или аналог“, „типа“, „в виде“, „или аналогичного типа“, „или эквивалент“, „или“, „и/или“, „либо“, „возможно“, „может“, „должен“, „в пределах“, „примерно“, „требования“, „иметь“, „следует“, „следовательно“, „желательно“, „иной (-</w:t>
      </w:r>
      <w:proofErr w:type="spellStart"/>
      <w:r w:rsidRPr="001A58C6">
        <w:rPr>
          <w:rFonts w:ascii="Times New Roman" w:hAnsi="Times New Roman" w:cs="Times New Roman"/>
          <w:sz w:val="20"/>
          <w:szCs w:val="20"/>
        </w:rPr>
        <w:t>ая</w:t>
      </w:r>
      <w:proofErr w:type="spellEnd"/>
      <w:r w:rsidRPr="001A58C6">
        <w:rPr>
          <w:rFonts w:ascii="Times New Roman" w:hAnsi="Times New Roman" w:cs="Times New Roman"/>
          <w:sz w:val="20"/>
          <w:szCs w:val="20"/>
        </w:rPr>
        <w:t>, -</w:t>
      </w:r>
      <w:proofErr w:type="spellStart"/>
      <w:r w:rsidRPr="001A58C6">
        <w:rPr>
          <w:rFonts w:ascii="Times New Roman" w:hAnsi="Times New Roman" w:cs="Times New Roman"/>
          <w:sz w:val="20"/>
          <w:szCs w:val="20"/>
        </w:rPr>
        <w:t>ые</w:t>
      </w:r>
      <w:proofErr w:type="spellEnd"/>
      <w:r w:rsidRPr="001A58C6">
        <w:rPr>
          <w:rFonts w:ascii="Times New Roman" w:hAnsi="Times New Roman" w:cs="Times New Roman"/>
          <w:sz w:val="20"/>
          <w:szCs w:val="20"/>
        </w:rPr>
        <w:t>) “, а также производными от этих слов и их математических знаковых отображений.</w:t>
      </w:r>
    </w:p>
    <w:p w14:paraId="5672AF15"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термином «от» или «до», участник размещения заказа должен указать конкретный показатель, не включая крайние значения.</w:t>
      </w:r>
    </w:p>
    <w:p w14:paraId="08B3A0EF"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lastRenderedPageBreak/>
        <w:t>При совместном употреблении частиц «от» и «до» означает диапазон значений и включает крайние значения, подлежит указанию в диапазоне, что считается указанием конкретного показателя товара. При невозможности указать значение в диапазоне участник размещения заказа должен указать конкретный показатель из указанного диапазона.</w:t>
      </w:r>
    </w:p>
    <w:p w14:paraId="6E319E4E"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знаками « ̶ » (тире), участник размещения заказа должен указать конкретный показатель из указанного диапазона, не включая крайние значения.</w:t>
      </w:r>
    </w:p>
    <w:p w14:paraId="0092F9FF"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словами «не более», «не выше», «не шире», являются максимальными значениями, при формировании первой части заявки участник указывает конкретное значение показателя, равное или менее заявленного заказчиком, но не более чем на 5%.</w:t>
      </w:r>
    </w:p>
    <w:p w14:paraId="218D4F3B"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словами «не менее», «не ниже», «не уже», являются минимальными значениями, при формировании первой части заявки участник указывает конкретное значение показателя, равное или превышающее заявленное заказчиком, но не более чем на 5%.</w:t>
      </w:r>
    </w:p>
    <w:p w14:paraId="452548A0"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«менее», «&lt;», «ниже», «уже», «максимальное значение» участник должен предложить показатель, имеющий значение меньше заявленного заказчиком, но не более чем на 5%.</w:t>
      </w:r>
    </w:p>
    <w:p w14:paraId="425FFE53"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«более», «&gt;», «выше», «шире», «превышать», «минимальное значение» участник должен предложить показатель, превышающий такое значение, но не более чем на 5%.</w:t>
      </w:r>
    </w:p>
    <w:p w14:paraId="77AC905D"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знаками «≥» (означает «более или равно»), «≤» (означает «менее или равно») участник должен предложить показатель, имеющий значение больше/меньше или равно заявленного заказчиком.</w:t>
      </w:r>
    </w:p>
    <w:p w14:paraId="322B344D"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В случае если Заказчиком указано несколько взаимоисключающих наименований, товарных знаков или характеристик товара, участник размещения заказа обязан выбрать и указать один товар и его конкретную характеристику. Такие характеристики сопровождаются символом «;», «/».</w:t>
      </w:r>
    </w:p>
    <w:p w14:paraId="3E8232D5"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знаками «+» (плюс) означает, что указанный параметр может изменяться только в сторону увеличения в пределах значения следующего за знаком.</w:t>
      </w:r>
    </w:p>
    <w:p w14:paraId="23E4EC73"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знаками «-» (минус) означает, что указанный параметр может изменяться только в сторону уменьшения в пределах значения следующего за знаком.</w:t>
      </w:r>
    </w:p>
    <w:p w14:paraId="204FADCE"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знаками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w:t>
      </w:r>
    </w:p>
    <w:p w14:paraId="2BCB69E4"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Знаки «( )» означают альтернативное значения (характеристики) товара (материала), указанным перед скобками, участник размещения заказа обязан указать одно значение (характеристику) товара (материала).</w:t>
      </w:r>
    </w:p>
    <w:p w14:paraId="35AA1031"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«или», участник должен указать конкретный показатель эквивалентности, предлагаемого к использованию при выполнении работ материала, при этом исключается возможность участника указывать одновременно несколько показателей.</w:t>
      </w:r>
    </w:p>
    <w:p w14:paraId="583C02C3"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Показатели, сопровождающиеся знаком «\», участник должен указать показатель без изменений.</w:t>
      </w:r>
    </w:p>
    <w:p w14:paraId="1142E050" w14:textId="77777777" w:rsidR="001A58C6" w:rsidRPr="001A58C6" w:rsidRDefault="001A58C6" w:rsidP="001A58C6">
      <w:pPr>
        <w:spacing w:line="20" w:lineRule="atLeast"/>
        <w:jc w:val="both"/>
        <w:rPr>
          <w:rFonts w:ascii="Times New Roman" w:hAnsi="Times New Roman" w:cs="Times New Roman"/>
          <w:sz w:val="20"/>
          <w:szCs w:val="20"/>
        </w:rPr>
      </w:pPr>
      <w:r w:rsidRPr="001A58C6">
        <w:rPr>
          <w:rFonts w:ascii="Times New Roman" w:hAnsi="Times New Roman" w:cs="Times New Roman"/>
          <w:sz w:val="20"/>
          <w:szCs w:val="20"/>
        </w:rPr>
        <w:t>Не подлежат уточнению параметры, по своей сути имеющие интервальное (диапазонное) значение (например, фракция или диапазон рабочих температур), значения в соответствии с ГОСТ и/или НПА производителя, со ссылкой на ГОСТ и/или предоставлением НПА производителя в составе второй части в соответствии с которыми установлены диапазоны значений.</w:t>
      </w:r>
    </w:p>
    <w:p w14:paraId="4DA41F00" w14:textId="77777777" w:rsidR="001A58C6" w:rsidRPr="001A58C6" w:rsidRDefault="001A58C6" w:rsidP="001A58C6">
      <w:pPr>
        <w:spacing w:line="20" w:lineRule="atLeast"/>
        <w:rPr>
          <w:rFonts w:ascii="Times New Roman" w:hAnsi="Times New Roman" w:cs="Times New Roman"/>
          <w:sz w:val="20"/>
          <w:szCs w:val="20"/>
        </w:rPr>
      </w:pPr>
      <w:r w:rsidRPr="001A58C6">
        <w:rPr>
          <w:rFonts w:ascii="Times New Roman" w:hAnsi="Times New Roman" w:cs="Times New Roman"/>
          <w:bCs/>
          <w:sz w:val="20"/>
          <w:szCs w:val="20"/>
        </w:rPr>
        <w:t xml:space="preserve">Наименование предлагаемого к поставке товара, а также наименования составляющих, заполняется согласно требованиям Росздравнадзора (уполномоченный Правительством РФ согласно ч. 10 ст. 38 Федерального закона N 323-ФЗ федеральный орган исполнительной власти, осуществляющий ведение государственного реестра медицинских изделий). Наименование товара должно быть указано в полном (строгом) соответствии с регистрационным удостоверением на медицинское </w:t>
      </w:r>
      <w:r w:rsidRPr="001A58C6">
        <w:rPr>
          <w:rFonts w:ascii="Times New Roman" w:hAnsi="Times New Roman" w:cs="Times New Roman"/>
          <w:bCs/>
          <w:sz w:val="20"/>
          <w:szCs w:val="20"/>
        </w:rPr>
        <w:lastRenderedPageBreak/>
        <w:t>изделие с указанием полного точного наименования с буквенными и цифровыми кодами, ТУ и т.д. При наличии приложения к регистрационному удостоверению, наименование указывается в точном соответствии с его написанием в приложении к регистрационному удостоверению с одновременным указанием наименования в регистрационном удостоверении. Реализация медицинского изделия должна осуществляться под тем наименованием, которое указано в регистрационном удостоверении, и с той информацией, которая имеется в регистрационном досье. Действующие регистрационные удостоверения с приложениями (при наличии приложения) должны быть приложены в составе заявки.</w:t>
      </w:r>
      <w:r w:rsidRPr="001A58C6">
        <w:rPr>
          <w:rFonts w:ascii="Times New Roman" w:hAnsi="Times New Roman" w:cs="Times New Roman"/>
          <w:sz w:val="20"/>
          <w:szCs w:val="20"/>
        </w:rPr>
        <w:t xml:space="preserve"> </w:t>
      </w:r>
    </w:p>
    <w:p w14:paraId="2C4616D9" w14:textId="77777777" w:rsidR="001A58C6" w:rsidRPr="001A58C6" w:rsidRDefault="001A58C6" w:rsidP="001A58C6">
      <w:pPr>
        <w:spacing w:line="20" w:lineRule="atLeast"/>
        <w:rPr>
          <w:rFonts w:ascii="Times New Roman" w:hAnsi="Times New Roman" w:cs="Times New Roman"/>
          <w:sz w:val="20"/>
          <w:szCs w:val="20"/>
        </w:rPr>
      </w:pPr>
      <w:r w:rsidRPr="001A58C6">
        <w:rPr>
          <w:rFonts w:ascii="Times New Roman" w:hAnsi="Times New Roman" w:cs="Times New Roman"/>
          <w:sz w:val="20"/>
          <w:szCs w:val="20"/>
        </w:rPr>
        <w:t>Наименование, размерный ряд, описание продукции, предлагаемой к поставке, должно полностью соответствовать информации, указанной в Регистрационном удостоверении на соответствующий товар, представленном в составе заявки, в составе товаросопровождающих документов и при поставке указанной продукции, а также на этикетке к товару.</w:t>
      </w:r>
    </w:p>
    <w:p w14:paraId="17E74020" w14:textId="77777777" w:rsidR="001A58C6" w:rsidRPr="001A58C6" w:rsidRDefault="001A58C6" w:rsidP="001A58C6">
      <w:pPr>
        <w:spacing w:line="20" w:lineRule="atLeast"/>
        <w:rPr>
          <w:rFonts w:ascii="Times New Roman" w:hAnsi="Times New Roman" w:cs="Times New Roman"/>
          <w:sz w:val="20"/>
          <w:szCs w:val="20"/>
        </w:rPr>
      </w:pPr>
    </w:p>
    <w:p w14:paraId="1D93D56F" w14:textId="77777777" w:rsidR="001A58C6" w:rsidRPr="001A58C6" w:rsidRDefault="001A58C6" w:rsidP="001A58C6">
      <w:pPr>
        <w:tabs>
          <w:tab w:val="left" w:pos="9630"/>
        </w:tabs>
        <w:rPr>
          <w:rFonts w:ascii="Times New Roman" w:eastAsiaTheme="minorEastAsia" w:hAnsi="Times New Roman" w:cs="Times New Roman"/>
          <w:sz w:val="20"/>
          <w:szCs w:val="20"/>
        </w:rPr>
      </w:pPr>
      <w:r w:rsidRPr="001A58C6">
        <w:rPr>
          <w:rFonts w:ascii="Times New Roman" w:eastAsiaTheme="minorEastAsia" w:hAnsi="Times New Roman" w:cs="Times New Roman"/>
          <w:sz w:val="20"/>
          <w:szCs w:val="20"/>
        </w:rPr>
        <w:t xml:space="preserve">Согласовано:   </w:t>
      </w:r>
    </w:p>
    <w:p w14:paraId="4B6FB394" w14:textId="77777777" w:rsidR="001A58C6" w:rsidRPr="001A58C6" w:rsidRDefault="001A58C6" w:rsidP="001A58C6">
      <w:pPr>
        <w:tabs>
          <w:tab w:val="left" w:pos="9630"/>
        </w:tabs>
        <w:rPr>
          <w:rFonts w:ascii="Times New Roman" w:eastAsiaTheme="minorEastAsia" w:hAnsi="Times New Roman" w:cs="Times New Roman"/>
          <w:sz w:val="20"/>
          <w:szCs w:val="20"/>
        </w:rPr>
      </w:pPr>
      <w:r w:rsidRPr="001A58C6">
        <w:rPr>
          <w:rFonts w:ascii="Times New Roman" w:eastAsiaTheme="minorEastAsia" w:hAnsi="Times New Roman" w:cs="Times New Roman"/>
          <w:sz w:val="20"/>
          <w:szCs w:val="20"/>
        </w:rPr>
        <w:t>Зав. отделением нейрохирургии Центра патологии позвоночника      ___________________________ С.М. Чупаленков</w:t>
      </w:r>
    </w:p>
    <w:p w14:paraId="17490DB5" w14:textId="77777777" w:rsidR="001A58C6" w:rsidRPr="002E3798" w:rsidRDefault="001A58C6" w:rsidP="001A58C6">
      <w:pPr>
        <w:rPr>
          <w:sz w:val="20"/>
          <w:szCs w:val="20"/>
        </w:rPr>
      </w:pPr>
    </w:p>
    <w:p w14:paraId="6A6CAB72" w14:textId="77777777" w:rsidR="00635E79" w:rsidRDefault="0072292B"/>
    <w:sectPr w:rsidR="00635E79" w:rsidSect="001A58C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DE"/>
    <w:rsid w:val="001A58C6"/>
    <w:rsid w:val="003777DE"/>
    <w:rsid w:val="0060140F"/>
    <w:rsid w:val="006B67BD"/>
    <w:rsid w:val="006C20EE"/>
    <w:rsid w:val="0072292B"/>
    <w:rsid w:val="0076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C587"/>
  <w15:chartTrackingRefBased/>
  <w15:docId w15:val="{307D12ED-9B9A-4C99-860B-5E23C699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0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1426</Words>
  <Characters>10526</Characters>
  <Application>Microsoft Office Word</Application>
  <DocSecurity>0</DocSecurity>
  <Lines>269</Lines>
  <Paragraphs>114</Paragraphs>
  <ScaleCrop>false</ScaleCrop>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Потапова Юлия Владимировна</cp:lastModifiedBy>
  <cp:revision>4</cp:revision>
  <dcterms:created xsi:type="dcterms:W3CDTF">2025-10-23T13:21:00Z</dcterms:created>
  <dcterms:modified xsi:type="dcterms:W3CDTF">2026-05-28T08:15:00Z</dcterms:modified>
</cp:coreProperties>
</file>