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  <w:t xml:space="preserve">Государственный контракт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№_____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Приобретение </w:t>
      </w:r>
      <w:r>
        <w:rPr>
          <w:rFonts w:ascii="Times New Roman" w:hAnsi="Times New Roman" w:cs="Times New Roman"/>
          <w:b/>
          <w:sz w:val="22"/>
          <w:szCs w:val="22"/>
        </w:rPr>
        <w:t xml:space="preserve">фасадных вывесок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г.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Магадан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>
        <w:rPr>
          <w:rFonts w:ascii="Liberation Serif" w:hAnsi="Liberation Serif" w:eastAsia="Liberation Serif" w:cs="Liberation Serif" w:eastAsiaTheme="minorHAnsi"/>
          <w:lang w:eastAsia="en-US"/>
        </w:rPr>
        <w:t xml:space="preserve"> «___» _______ 2026 г.</w:t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-567"/>
        <w:jc w:val="both"/>
        <w:spacing w:after="12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правление Федеральной службы государственной регистрации, кадастра и картографии по Магаданской области и Чукотскому автономному округу, именуемая в дальнейшем «Заказчик», в лице ___________________________, действующего на основании _____________________,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 одной стороны, и _______________________________, именуемое в дальнейшем «Поставщик», в лице ___________________, действующего на основании _______________, с другой стороны, вместе именуемые «Стороны», на основании Протокола закупочной сессии от _____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в целях обеспечения государственных нужд Россий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ской Ф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едерации заключили настоящий Государственный контракт (далее – Контракт) о нижеследующем: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1.1. Поставщик обязуется постав</w:t>
      </w:r>
      <w:r>
        <w:rPr>
          <w:rFonts w:ascii="Times New Roman" w:hAnsi="Times New Roman" w:cs="Times New Roman"/>
          <w:sz w:val="22"/>
          <w:szCs w:val="22"/>
        </w:rPr>
        <w:t xml:space="preserve">ить </w:t>
      </w:r>
      <w:r>
        <w:rPr>
          <w:rFonts w:ascii="Times New Roman" w:hAnsi="Times New Roman" w:cs="Times New Roman"/>
          <w:sz w:val="22"/>
          <w:szCs w:val="22"/>
        </w:rPr>
        <w:t xml:space="preserve">Заказчику фасадные вывески</w:t>
      </w:r>
      <w:r>
        <w:rPr>
          <w:rFonts w:ascii="Times New Roman" w:hAnsi="Times New Roman" w:cs="Times New Roman"/>
          <w:sz w:val="22"/>
          <w:szCs w:val="22"/>
        </w:rPr>
        <w:t xml:space="preserve">, указанны</w:t>
      </w:r>
      <w:r>
        <w:rPr>
          <w:rFonts w:ascii="Times New Roman" w:hAnsi="Times New Roman" w:cs="Times New Roman"/>
          <w:sz w:val="22"/>
          <w:szCs w:val="22"/>
        </w:rPr>
        <w:t xml:space="preserve">е</w:t>
      </w:r>
      <w:r>
        <w:rPr>
          <w:rFonts w:ascii="Times New Roman" w:hAnsi="Times New Roman" w:cs="Times New Roman"/>
          <w:sz w:val="22"/>
          <w:szCs w:val="22"/>
        </w:rPr>
        <w:t xml:space="preserve"> в Спецификации и Технического задания (Приложение № 1 и Приложение № 2 к настоящему Контракту), (далее по тексту «Товар»), а Заказчик обязуется прин</w:t>
      </w:r>
      <w:r>
        <w:rPr>
          <w:rFonts w:ascii="Times New Roman" w:hAnsi="Times New Roman" w:cs="Times New Roman"/>
          <w:sz w:val="22"/>
          <w:szCs w:val="22"/>
        </w:rPr>
        <w:t xml:space="preserve">ять </w:t>
      </w:r>
      <w:r>
        <w:rPr>
          <w:rFonts w:ascii="Times New Roman" w:hAnsi="Times New Roman" w:cs="Times New Roman"/>
          <w:sz w:val="22"/>
          <w:szCs w:val="22"/>
        </w:rPr>
        <w:t xml:space="preserve">и опла</w:t>
      </w:r>
      <w:r>
        <w:rPr>
          <w:rFonts w:ascii="Times New Roman" w:hAnsi="Times New Roman" w:cs="Times New Roman"/>
          <w:sz w:val="22"/>
          <w:szCs w:val="22"/>
        </w:rPr>
        <w:t xml:space="preserve">тить </w:t>
      </w:r>
      <w:r>
        <w:rPr>
          <w:rFonts w:ascii="Times New Roman" w:hAnsi="Times New Roman" w:cs="Times New Roman"/>
          <w:sz w:val="22"/>
          <w:szCs w:val="22"/>
        </w:rPr>
        <w:t xml:space="preserve">Товар в порядке, в размере и на условиях, установленных настоящим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1.2. Наименование (ассортимент) и количество Товара указ</w:t>
      </w:r>
      <w:r>
        <w:rPr>
          <w:rFonts w:ascii="Times New Roman" w:hAnsi="Times New Roman" w:cs="Times New Roman"/>
          <w:sz w:val="22"/>
          <w:szCs w:val="22"/>
        </w:rPr>
        <w:t xml:space="preserve">ан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Спецификации (Приложение № 1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к </w:t>
      </w:r>
      <w:r>
        <w:rPr>
          <w:rFonts w:ascii="Times New Roman" w:hAnsi="Times New Roman" w:cs="Times New Roman"/>
          <w:sz w:val="22"/>
          <w:szCs w:val="22"/>
        </w:rPr>
        <w:t xml:space="preserve">настоящему Контракту), являющейся неотъемлемой частью Контракта. </w:t>
      </w:r>
      <w:r>
        <w:rPr>
          <w:rFonts w:ascii="Times New Roman" w:hAnsi="Times New Roman" w:cs="Times New Roman"/>
          <w:sz w:val="22"/>
          <w:szCs w:val="22"/>
        </w:rPr>
        <w:t xml:space="preserve">Образцы (макеты) вывесок, а также цветовое решение предварител</w:t>
      </w:r>
      <w:r>
        <w:rPr>
          <w:rFonts w:ascii="Times New Roman" w:hAnsi="Times New Roman" w:cs="Times New Roman"/>
          <w:sz w:val="22"/>
          <w:szCs w:val="22"/>
        </w:rPr>
        <w:t xml:space="preserve">ьно согласовывается с Заказчиком.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Поставка и приемка Товара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2.1. Поставщик осуществляет поставку Товара </w:t>
      </w:r>
      <w:r>
        <w:rPr>
          <w:rFonts w:ascii="Times New Roman" w:hAnsi="Times New Roman" w:cs="Times New Roman"/>
          <w:sz w:val="22"/>
          <w:szCs w:val="22"/>
        </w:rPr>
        <w:t xml:space="preserve">с момента заключения государственного контракта в течение 5 рабочих дней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2.2.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Доставка Товара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Заказчику </w:t>
      </w:r>
      <w:r>
        <w:rPr>
          <w:rFonts w:ascii="Times New Roman" w:hAnsi="Times New Roman" w:cs="Times New Roman"/>
          <w:sz w:val="22"/>
          <w:szCs w:val="22"/>
        </w:rPr>
        <w:t xml:space="preserve">производиться по 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дресу поставки: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685000,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г. Магадан, ул. Горького, д. 15/7.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bCs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2.3. Поставка товара осуществляется  </w:t>
      </w:r>
      <w:r>
        <w:rPr>
          <w:rFonts w:ascii="Times New Roman" w:hAnsi="Times New Roman" w:cs="Times New Roman"/>
          <w:sz w:val="22"/>
          <w:szCs w:val="22"/>
        </w:rPr>
        <w:t xml:space="preserve">силами и средствами </w:t>
      </w:r>
      <w:r>
        <w:rPr>
          <w:rFonts w:ascii="Times New Roman" w:hAnsi="Times New Roman" w:cs="Times New Roman"/>
          <w:sz w:val="22"/>
          <w:szCs w:val="22"/>
        </w:rPr>
        <w:t xml:space="preserve">Поставщика. </w:t>
      </w:r>
      <w:r>
        <w:rPr>
          <w:rFonts w:ascii="Times New Roman" w:hAnsi="Times New Roman" w:cs="Times New Roman"/>
          <w:bCs/>
          <w:sz w:val="22"/>
          <w:szCs w:val="22"/>
        </w:rPr>
        <w:t xml:space="preserve">Товар поставляется одной партией, частичная поставка Товара не допускается.</w:t>
      </w:r>
      <w:r>
        <w:rPr>
          <w:rFonts w:ascii="Times New Roman" w:hAnsi="Times New Roman" w:cs="Times New Roman"/>
          <w:bCs/>
          <w:sz w:val="22"/>
          <w:szCs w:val="22"/>
        </w:rPr>
        <w:t xml:space="preserve"> Документы на поставленный Товар предоставляются Поставщиком одновременно с поставкой Товара.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</w:t>
      </w: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Приемка товара по</w:t>
      </w:r>
      <w:r>
        <w:rPr>
          <w:rFonts w:ascii="Times New Roman" w:hAnsi="Times New Roman" w:cs="Times New Roman"/>
          <w:bCs/>
          <w:sz w:val="22"/>
          <w:szCs w:val="22"/>
        </w:rPr>
        <w:t xml:space="preserve"> количеству и качеству</w:t>
      </w:r>
      <w:r>
        <w:rPr>
          <w:rFonts w:ascii="Times New Roman" w:hAnsi="Times New Roman" w:cs="Times New Roman"/>
          <w:sz w:val="22"/>
          <w:szCs w:val="22"/>
        </w:rPr>
        <w:t xml:space="preserve"> осуществляется Заказчиком </w:t>
      </w:r>
      <w:r>
        <w:rPr>
          <w:rFonts w:ascii="Times New Roman" w:hAnsi="Times New Roman" w:cs="Times New Roman"/>
          <w:sz w:val="22"/>
          <w:szCs w:val="22"/>
        </w:rPr>
        <w:t xml:space="preserve">в течение 2 (двух) рабочих дней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</w:t>
      </w:r>
      <w:r>
        <w:rPr>
          <w:rFonts w:ascii="Times New Roman" w:hAnsi="Times New Roman" w:cs="Times New Roman"/>
          <w:sz w:val="22"/>
          <w:szCs w:val="22"/>
        </w:rPr>
        <w:t xml:space="preserve">ии с товарно-транспортной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накладной и другими сопроводительными</w:t>
      </w:r>
      <w:r>
        <w:rPr>
          <w:rFonts w:ascii="Times New Roman" w:hAnsi="Times New Roman" w:cs="Times New Roman"/>
          <w:sz w:val="22"/>
          <w:szCs w:val="22"/>
        </w:rPr>
        <w:t xml:space="preserve"> документами.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Cs/>
          <w:sz w:val="22"/>
          <w:szCs w:val="22"/>
        </w:rPr>
        <w:t xml:space="preserve">В случае</w:t>
      </w:r>
      <w:r>
        <w:rPr>
          <w:rFonts w:ascii="Times New Roman" w:hAnsi="Times New Roman" w:cs="Times New Roman"/>
          <w:sz w:val="22"/>
          <w:szCs w:val="22"/>
        </w:rPr>
        <w:t xml:space="preserve"> отсутствия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претензий Заказчика</w:t>
      </w:r>
      <w:r>
        <w:rPr>
          <w:rFonts w:ascii="Times New Roman" w:hAnsi="Times New Roman" w:cs="Times New Roman"/>
          <w:sz w:val="22"/>
          <w:szCs w:val="22"/>
        </w:rPr>
        <w:t xml:space="preserve"> приёмка Товара фиксируется двухсторонним подписанием товарных накладных (акт приема-передачи или УПД), и Товар считается принятым Заказчиком по</w:t>
      </w:r>
      <w:r>
        <w:rPr>
          <w:rFonts w:ascii="Times New Roman" w:hAnsi="Times New Roman" w:cs="Times New Roman"/>
          <w:bCs/>
          <w:sz w:val="22"/>
          <w:szCs w:val="22"/>
        </w:rPr>
        <w:t xml:space="preserve"> качеству и</w:t>
      </w:r>
      <w:r>
        <w:rPr>
          <w:rFonts w:ascii="Times New Roman" w:hAnsi="Times New Roman" w:cs="Times New Roman"/>
          <w:sz w:val="22"/>
          <w:szCs w:val="22"/>
        </w:rPr>
        <w:t xml:space="preserve"> количеству в полном объеме.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</w:t>
      </w:r>
      <w:r>
        <w:rPr>
          <w:rFonts w:ascii="Times New Roman" w:hAnsi="Times New Roman" w:cs="Times New Roman"/>
          <w:sz w:val="22"/>
          <w:szCs w:val="22"/>
        </w:rPr>
        <w:t xml:space="preserve">5</w:t>
      </w:r>
      <w:r>
        <w:rPr>
          <w:rFonts w:ascii="Times New Roman" w:hAnsi="Times New Roman" w:cs="Times New Roman"/>
          <w:sz w:val="22"/>
          <w:szCs w:val="22"/>
        </w:rPr>
        <w:t xml:space="preserve">. В случаях выявления Заказчиком скрытых недостатков Товара составляется Акт об обнаружении скрытых недостатков Товара, который содержит следующую</w:t>
      </w:r>
      <w:r>
        <w:rPr>
          <w:rFonts w:ascii="Times New Roman" w:hAnsi="Times New Roman" w:cs="Times New Roman"/>
          <w:bCs/>
          <w:sz w:val="22"/>
          <w:szCs w:val="22"/>
        </w:rPr>
        <w:t xml:space="preserve"> информацию: дату поставки и данные</w:t>
      </w:r>
      <w:r>
        <w:rPr>
          <w:rFonts w:ascii="Times New Roman" w:hAnsi="Times New Roman" w:cs="Times New Roman"/>
          <w:sz w:val="22"/>
          <w:szCs w:val="22"/>
        </w:rPr>
        <w:t xml:space="preserve"> о документе поставки,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и количество Товара, данные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наружной</w:t>
      </w:r>
      <w:r>
        <w:rPr>
          <w:rFonts w:ascii="Times New Roman" w:hAnsi="Times New Roman" w:cs="Times New Roman"/>
          <w:sz w:val="22"/>
          <w:szCs w:val="22"/>
        </w:rPr>
        <w:t xml:space="preserve"> маркировки производителя</w:t>
      </w:r>
      <w:r>
        <w:rPr>
          <w:rFonts w:ascii="Times New Roman" w:hAnsi="Times New Roman" w:cs="Times New Roman"/>
          <w:bCs/>
          <w:sz w:val="22"/>
          <w:szCs w:val="22"/>
        </w:rPr>
        <w:t xml:space="preserve"> (дата</w:t>
      </w:r>
      <w:r>
        <w:rPr>
          <w:rFonts w:ascii="Times New Roman" w:hAnsi="Times New Roman" w:cs="Times New Roman"/>
          <w:sz w:val="22"/>
          <w:szCs w:val="22"/>
        </w:rPr>
        <w:t xml:space="preserve"> производства, номер партии, упаковщик), описание скрытого недостатка, список лиц, соста</w:t>
      </w:r>
      <w:r>
        <w:rPr>
          <w:rFonts w:ascii="Times New Roman" w:hAnsi="Times New Roman" w:cs="Times New Roman"/>
          <w:sz w:val="22"/>
          <w:szCs w:val="22"/>
        </w:rPr>
        <w:t xml:space="preserve">вивших Акт, с</w:t>
      </w:r>
      <w:r>
        <w:rPr>
          <w:rFonts w:ascii="Times New Roman" w:hAnsi="Times New Roman" w:cs="Times New Roman"/>
          <w:bCs/>
          <w:sz w:val="22"/>
          <w:szCs w:val="22"/>
        </w:rPr>
        <w:t xml:space="preserve"> указанием их</w:t>
      </w:r>
      <w:r>
        <w:rPr>
          <w:rFonts w:ascii="Times New Roman" w:hAnsi="Times New Roman" w:cs="Times New Roman"/>
          <w:sz w:val="22"/>
          <w:szCs w:val="22"/>
        </w:rPr>
        <w:t xml:space="preserve"> должностей и фамилий.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</w:t>
      </w:r>
      <w:r>
        <w:rPr>
          <w:rFonts w:ascii="Times New Roman" w:hAnsi="Times New Roman" w:cs="Times New Roman"/>
          <w:sz w:val="22"/>
          <w:szCs w:val="22"/>
        </w:rPr>
        <w:t xml:space="preserve">6</w:t>
      </w:r>
      <w:r>
        <w:rPr>
          <w:rFonts w:ascii="Times New Roman" w:hAnsi="Times New Roman" w:cs="Times New Roman"/>
          <w:sz w:val="22"/>
          <w:szCs w:val="22"/>
        </w:rPr>
        <w:t xml:space="preserve">. Срок для предъявления претензий по скрытым недостаткам составляет </w:t>
      </w:r>
      <w:r>
        <w:rPr>
          <w:rFonts w:ascii="Times New Roman" w:hAnsi="Times New Roman" w:cs="Times New Roman"/>
          <w:sz w:val="22"/>
          <w:szCs w:val="22"/>
        </w:rPr>
        <w:t xml:space="preserve">5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пяти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рабочих</w:t>
      </w:r>
      <w:r>
        <w:rPr>
          <w:rFonts w:ascii="Times New Roman" w:hAnsi="Times New Roman" w:cs="Times New Roman"/>
          <w:sz w:val="22"/>
          <w:szCs w:val="22"/>
        </w:rPr>
        <w:t xml:space="preserve"> дней с момента передачи Товара Заказчику.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Cs/>
          <w:sz w:val="22"/>
          <w:szCs w:val="22"/>
        </w:rPr>
        <w:t xml:space="preserve">2.</w:t>
      </w:r>
      <w:r>
        <w:rPr>
          <w:rFonts w:ascii="Times New Roman" w:hAnsi="Times New Roman" w:cs="Times New Roman"/>
          <w:bCs/>
          <w:sz w:val="22"/>
          <w:szCs w:val="22"/>
        </w:rPr>
        <w:t xml:space="preserve">7</w:t>
      </w:r>
      <w:r>
        <w:rPr>
          <w:rFonts w:ascii="Times New Roman" w:hAnsi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Риск случайной гибели или случайного повреждения Товара переходит от Поставщика к Заказчику в мом</w:t>
      </w:r>
      <w:r>
        <w:rPr>
          <w:rFonts w:ascii="Times New Roman" w:hAnsi="Times New Roman" w:cs="Times New Roman"/>
          <w:sz w:val="22"/>
          <w:szCs w:val="22"/>
        </w:rPr>
        <w:t xml:space="preserve">ент его передачи и подписания документов о приемке.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8"/>
        <w:contextualSpacing w:val="0"/>
        <w:ind w:left="-567" w:right="0" w:firstLine="0"/>
        <w:jc w:val="both"/>
        <w:spacing w:before="0" w:line="240" w:lineRule="auto"/>
        <w:widowControl w:val="off"/>
        <w:tabs>
          <w:tab w:val="left" w:pos="284" w:leader="none"/>
          <w:tab w:val="left" w:pos="426" w:leader="none"/>
        </w:tabs>
        <w:rPr>
          <w:sz w:val="22"/>
          <w:szCs w:val="22"/>
          <w:highlight w:val="none"/>
        </w:rPr>
        <w:suppressLineNumbers w:val="0"/>
      </w:pPr>
      <w:r>
        <w:rPr>
          <w:sz w:val="22"/>
          <w:szCs w:val="22"/>
        </w:rPr>
        <w:t xml:space="preserve">          2.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Факт поставки Товара подтверждается подписанными документами о приемке.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08"/>
        <w:contextualSpacing w:val="0"/>
        <w:ind w:left="-567" w:right="0" w:firstLine="0"/>
        <w:jc w:val="both"/>
        <w:spacing w:before="0" w:line="240" w:lineRule="auto"/>
        <w:widowControl w:val="off"/>
        <w:tabs>
          <w:tab w:val="left" w:pos="284" w:leader="none"/>
          <w:tab w:val="left" w:pos="426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-567" w:right="0" w:firstLine="0"/>
        <w:widowControl w:val="off"/>
        <w:tabs>
          <w:tab w:val="left" w:pos="284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Обязанности Сторон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3.1. Заказчик обязан: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3.1.1. Оплатить Товар в соответствии с условиями настоящего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3.1.2. При</w:t>
      </w:r>
      <w:r>
        <w:rPr>
          <w:rFonts w:ascii="Times New Roman" w:hAnsi="Times New Roman" w:cs="Times New Roman"/>
          <w:sz w:val="22"/>
          <w:szCs w:val="22"/>
        </w:rPr>
        <w:t xml:space="preserve">нять поставляемый Товар в соответствии с пунктом 2 настоящего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3.2. Поставщик обязан: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3.2.1. Поставить Товар в соответствии с пунктом 2 настоящег</w:t>
      </w:r>
      <w:r>
        <w:rPr>
          <w:rFonts w:ascii="Times New Roman" w:hAnsi="Times New Roman" w:cs="Times New Roman"/>
          <w:sz w:val="22"/>
          <w:szCs w:val="22"/>
        </w:rPr>
        <w:t xml:space="preserve">о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, соответствующий условиям настоящ</w:t>
      </w:r>
      <w:r>
        <w:rPr>
          <w:rFonts w:ascii="Times New Roman" w:hAnsi="Times New Roman" w:cs="Times New Roman"/>
          <w:sz w:val="22"/>
          <w:szCs w:val="22"/>
        </w:rPr>
        <w:t xml:space="preserve">его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 по ассортименту, количеству и качеству. Поставщик считается выполнившим свое обязательство по поставке Товара с момента передачи его в распоряжение Заказчика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3.2.2. Нести расходы, связанные с по</w:t>
      </w:r>
      <w:r>
        <w:rPr>
          <w:rFonts w:ascii="Times New Roman" w:hAnsi="Times New Roman" w:cs="Times New Roman"/>
          <w:sz w:val="22"/>
          <w:szCs w:val="22"/>
        </w:rPr>
        <w:t xml:space="preserve">ставкой </w:t>
      </w:r>
      <w:r>
        <w:rPr>
          <w:rFonts w:ascii="Times New Roman" w:hAnsi="Times New Roman" w:cs="Times New Roman"/>
          <w:sz w:val="22"/>
          <w:szCs w:val="22"/>
        </w:rPr>
        <w:t xml:space="preserve">Товара (упаковка, маркировка</w:t>
      </w:r>
      <w:r>
        <w:rPr>
          <w:rFonts w:ascii="Times New Roman" w:hAnsi="Times New Roman" w:cs="Times New Roman"/>
          <w:sz w:val="22"/>
          <w:szCs w:val="22"/>
        </w:rPr>
        <w:t xml:space="preserve"> и иные расходы</w:t>
      </w:r>
      <w:r>
        <w:rPr>
          <w:rFonts w:ascii="Times New Roman" w:hAnsi="Times New Roman" w:cs="Times New Roman"/>
          <w:sz w:val="22"/>
          <w:szCs w:val="22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  <w:t xml:space="preserve"> до места </w:t>
      </w:r>
      <w:r>
        <w:rPr>
          <w:rFonts w:ascii="Times New Roman" w:hAnsi="Times New Roman" w:cs="Times New Roman"/>
          <w:sz w:val="22"/>
          <w:szCs w:val="22"/>
        </w:rPr>
        <w:t xml:space="preserve">нахождения </w:t>
      </w:r>
      <w:r>
        <w:rPr>
          <w:rFonts w:ascii="Times New Roman" w:hAnsi="Times New Roman" w:cs="Times New Roman"/>
          <w:sz w:val="22"/>
          <w:szCs w:val="22"/>
        </w:rPr>
        <w:t xml:space="preserve">Заказчика: </w:t>
      </w:r>
      <w:r>
        <w:rPr>
          <w:rFonts w:ascii="Times New Roman" w:hAnsi="Times New Roman" w:cs="Times New Roman"/>
          <w:sz w:val="22"/>
          <w:szCs w:val="22"/>
        </w:rPr>
        <w:t xml:space="preserve">685000, г. Магадан, ул. Горького, д. 15/7.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Цена и порядок расчетов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4.1. Поставщик в момент передачи Товара выставляет Заказчику счёт</w:t>
      </w:r>
      <w:r>
        <w:rPr>
          <w:rFonts w:ascii="Times New Roman" w:hAnsi="Times New Roman" w:cs="Times New Roman"/>
          <w:sz w:val="22"/>
          <w:szCs w:val="22"/>
        </w:rPr>
        <w:t xml:space="preserve">, товарную накладную ил</w:t>
      </w:r>
      <w:r>
        <w:rPr>
          <w:rFonts w:ascii="Times New Roman" w:hAnsi="Times New Roman" w:cs="Times New Roman"/>
          <w:sz w:val="22"/>
          <w:szCs w:val="22"/>
        </w:rPr>
        <w:t xml:space="preserve">и УПД (универсальный передаточный документ) либо акт приема-передачи, в которых указаны: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цена Товара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количество Товара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ассо</w:t>
      </w:r>
      <w:r>
        <w:rPr>
          <w:rFonts w:ascii="Times New Roman" w:hAnsi="Times New Roman" w:cs="Times New Roman"/>
          <w:sz w:val="22"/>
          <w:szCs w:val="22"/>
        </w:rPr>
        <w:t xml:space="preserve">ртимент Товара</w:t>
      </w:r>
      <w:r>
        <w:rPr>
          <w:rFonts w:ascii="Times New Roman" w:hAnsi="Times New Roman" w:cs="Times New Roman"/>
          <w:sz w:val="22"/>
          <w:szCs w:val="22"/>
        </w:rPr>
        <w:t xml:space="preserve">, страна Производитель Товара, </w:t>
      </w:r>
      <w:r>
        <w:rPr>
          <w:rFonts w:ascii="Times New Roman" w:hAnsi="Times New Roman" w:cs="Times New Roman"/>
          <w:sz w:val="22"/>
          <w:szCs w:val="22"/>
        </w:rPr>
        <w:t xml:space="preserve">реквизиты Поставщика.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4.2. </w:t>
      </w:r>
      <w:r>
        <w:rPr>
          <w:rFonts w:ascii="Times New Roman" w:hAnsi="Times New Roman" w:cs="Times New Roman"/>
          <w:sz w:val="22"/>
          <w:szCs w:val="22"/>
        </w:rPr>
        <w:t xml:space="preserve">Цена настоящего контракта составляет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______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ру</w:t>
      </w:r>
      <w:r>
        <w:rPr>
          <w:rFonts w:ascii="Times New Roman" w:hAnsi="Times New Roman" w:cs="Times New Roman"/>
          <w:b/>
          <w:sz w:val="22"/>
          <w:szCs w:val="22"/>
        </w:rPr>
        <w:t xml:space="preserve">блей ___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копе</w:t>
      </w:r>
      <w:r>
        <w:rPr>
          <w:rFonts w:ascii="Times New Roman" w:hAnsi="Times New Roman" w:cs="Times New Roman"/>
          <w:b/>
          <w:sz w:val="22"/>
          <w:szCs w:val="22"/>
        </w:rPr>
        <w:t xml:space="preserve">ек, в том числе </w:t>
      </w:r>
      <w:r>
        <w:rPr>
          <w:rFonts w:ascii="Times New Roman" w:hAnsi="Times New Roman" w:cs="Times New Roman"/>
          <w:b/>
          <w:sz w:val="22"/>
          <w:szCs w:val="22"/>
        </w:rPr>
        <w:t xml:space="preserve">НДС-____%/Н</w:t>
      </w:r>
      <w:r>
        <w:rPr>
          <w:rFonts w:ascii="Times New Roman" w:hAnsi="Times New Roman" w:cs="Times New Roman"/>
          <w:b/>
          <w:sz w:val="22"/>
          <w:szCs w:val="22"/>
        </w:rPr>
        <w:t xml:space="preserve">ДС не облагается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Все расчеты по настоящему Договору производятся в рублях.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tabs>
          <w:tab w:val="left" w:pos="354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4.3. </w:t>
      </w:r>
      <w:r>
        <w:rPr>
          <w:rFonts w:ascii="Times New Roman" w:hAnsi="Times New Roman" w:cs="Times New Roman"/>
          <w:bCs/>
          <w:sz w:val="22"/>
          <w:szCs w:val="22"/>
        </w:rPr>
        <w:t xml:space="preserve">Ц</w:t>
      </w:r>
      <w:r>
        <w:rPr>
          <w:rFonts w:ascii="Times New Roman" w:hAnsi="Times New Roman" w:cs="Times New Roman"/>
          <w:sz w:val="22"/>
          <w:szCs w:val="22"/>
        </w:rPr>
        <w:t xml:space="preserve">ена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 включает в себя все возможные расходы, связанные с исполнением контракта, в том числе: расходы на уплату налогов, сборов, пошлин и других обязательных платежей, доставку Товара</w:t>
      </w:r>
      <w:r>
        <w:rPr>
          <w:rFonts w:ascii="Times New Roman" w:hAnsi="Times New Roman" w:cs="Times New Roman"/>
          <w:sz w:val="22"/>
          <w:szCs w:val="22"/>
        </w:rPr>
        <w:t xml:space="preserve"> до места нахождения Заказчика.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tabs>
          <w:tab w:val="left" w:pos="354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4.4. Цена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 является твердой и определяется на весь срок исполнения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4.5. Оплата за</w:t>
      </w:r>
      <w:r>
        <w:rPr>
          <w:rFonts w:ascii="Times New Roman" w:hAnsi="Times New Roman" w:cs="Times New Roman"/>
          <w:sz w:val="22"/>
          <w:szCs w:val="22"/>
        </w:rPr>
        <w:t xml:space="preserve"> поставленный Товар осуществляется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по факту поставки </w:t>
      </w:r>
      <w:r>
        <w:rPr>
          <w:rFonts w:ascii="Times New Roman" w:hAnsi="Times New Roman" w:cs="Times New Roman"/>
          <w:sz w:val="22"/>
          <w:szCs w:val="22"/>
        </w:rPr>
        <w:t xml:space="preserve">товара в течение </w:t>
      </w:r>
      <w:r>
        <w:rPr>
          <w:rFonts w:ascii="Times New Roman" w:hAnsi="Times New Roman" w:cs="Times New Roman"/>
          <w:sz w:val="22"/>
          <w:szCs w:val="22"/>
        </w:rPr>
        <w:t xml:space="preserve">5 рабочих дней после подписания сторонами универсального передаточного документа либо товарной накладной или акта приема-передачи путем перечисления Заказчиком безналичных денежных средств на расчетный счет Поставщика. Выплата аванса не предусмотрена.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.6. Источник финансирования – федеральный бюджет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0"/>
        </w:numPr>
        <w:ind w:left="-567" w:right="0" w:firstLine="567"/>
        <w:jc w:val="both"/>
        <w:rPr>
          <w:rFonts w:ascii="Times New Roman" w:hAnsi="Times New Roman" w:cs="Times New Roman"/>
          <w:sz w:val="22"/>
          <w:szCs w:val="22"/>
        </w:rPr>
        <w:outlineLvl w:val="1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5.1.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5.2.</w:t>
      </w:r>
      <w:r>
        <w:rPr>
          <w:rFonts w:ascii="Times New Roman" w:hAnsi="Times New Roman" w:cs="Times New Roman"/>
          <w:sz w:val="22"/>
          <w:szCs w:val="22"/>
        </w:rPr>
        <w:t xml:space="preserve"> Сторона, не исполнившая или ненадлежащим образом исполнившая обязательства, которые предусмотрены в Контракте, обязуется возместить другой Стороне понесенные убытки, а также выплатить неустойку.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5.3. Неустойка (пени, штрафы) по Контракту выплачивается только на основании обоснованного письменного требования Стороны Контракта.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5.4. Пеня начисляется Заказчиком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</w:t>
      </w:r>
      <w:r>
        <w:rPr>
          <w:rFonts w:ascii="Times New Roman" w:hAnsi="Times New Roman" w:cs="Times New Roman"/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5.5</w:t>
      </w:r>
      <w:r>
        <w:rPr>
          <w:rFonts w:ascii="Times New Roman" w:hAnsi="Times New Roman" w:cs="Times New Roman"/>
          <w:sz w:val="22"/>
          <w:szCs w:val="22"/>
        </w:rPr>
        <w:t xml:space="preserve">. 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</w:t>
      </w:r>
      <w:r>
        <w:rPr>
          <w:rFonts w:ascii="Times New Roman" w:hAnsi="Times New Roman" w:cs="Times New Roman"/>
          <w:sz w:val="22"/>
          <w:szCs w:val="22"/>
        </w:rPr>
        <w:t xml:space="preserve">вливается в размере 10 процентов цены Контракта в случае, если цена Контракта не превышает 3 млн. рублей.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</w:t>
      </w:r>
      <w:r>
        <w:rPr>
          <w:rFonts w:ascii="Times New Roman" w:hAnsi="Times New Roman" w:cs="Times New Roman"/>
          <w:sz w:val="22"/>
          <w:szCs w:val="22"/>
        </w:rPr>
        <w:t xml:space="preserve">.6. В случае заключения Контракта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нужд», то за каждый факт неисполнения или ненадл</w:t>
      </w:r>
      <w:r>
        <w:rPr>
          <w:rFonts w:ascii="Times New Roman" w:hAnsi="Times New Roman" w:cs="Times New Roman"/>
          <w:sz w:val="22"/>
          <w:szCs w:val="22"/>
        </w:rPr>
        <w:t xml:space="preserve">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</w:t>
      </w:r>
      <w:r>
        <w:rPr>
          <w:rFonts w:ascii="Times New Roman" w:hAnsi="Times New Roman" w:cs="Times New Roman"/>
          <w:sz w:val="22"/>
          <w:szCs w:val="22"/>
        </w:rPr>
        <w:t xml:space="preserve">ливается в размере 1 процента цены контракт</w:t>
      </w:r>
      <w:r>
        <w:rPr>
          <w:rFonts w:ascii="Times New Roman" w:hAnsi="Times New Roman" w:cs="Times New Roman"/>
          <w:sz w:val="22"/>
          <w:szCs w:val="22"/>
        </w:rPr>
        <w:t xml:space="preserve">а, но не более 5000 рублей и не менее 1000 рублей.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5.7. При наличии факта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таких обязательств) в размере 1000 рублей, если цен</w:t>
      </w:r>
      <w:r>
        <w:rPr>
          <w:rFonts w:ascii="Times New Roman" w:hAnsi="Times New Roman" w:cs="Times New Roman"/>
          <w:sz w:val="22"/>
          <w:szCs w:val="22"/>
        </w:rPr>
        <w:t xml:space="preserve">а Контракта не превышает 3 млн. рублей.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</w:t>
      </w:r>
      <w:r>
        <w:rPr>
          <w:rFonts w:ascii="Times New Roman" w:hAnsi="Times New Roman" w:cs="Times New Roman"/>
          <w:sz w:val="22"/>
          <w:szCs w:val="22"/>
        </w:rPr>
        <w:t xml:space="preserve">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рублей, если цена Контракта не превышает 3 млн. </w:t>
      </w:r>
      <w:r>
        <w:rPr>
          <w:rFonts w:ascii="Times New Roman" w:hAnsi="Times New Roman" w:cs="Times New Roman"/>
          <w:sz w:val="22"/>
          <w:szCs w:val="22"/>
        </w:rPr>
        <w:t xml:space="preserve">рублей (включительно).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5.9.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</w:t>
      </w:r>
      <w:r>
        <w:rPr>
          <w:rFonts w:ascii="Times New Roman" w:hAnsi="Times New Roman" w:cs="Times New Roman"/>
          <w:sz w:val="22"/>
          <w:szCs w:val="22"/>
        </w:rPr>
        <w:t xml:space="preserve">рактом, поставщик (подрядчик, исполнитель) вправе потребова</w:t>
      </w:r>
      <w:r>
        <w:rPr>
          <w:rFonts w:ascii="Times New Roman" w:hAnsi="Times New Roman" w:cs="Times New Roman"/>
          <w:sz w:val="22"/>
          <w:szCs w:val="22"/>
        </w:rPr>
        <w:t xml:space="preserve">т</w:t>
      </w:r>
      <w:r>
        <w:rPr>
          <w:rFonts w:ascii="Times New Roman" w:hAnsi="Times New Roman" w:cs="Times New Roman"/>
          <w:sz w:val="22"/>
          <w:szCs w:val="22"/>
        </w:rPr>
        <w:t xml:space="preserve">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</w:t>
      </w:r>
      <w:r>
        <w:rPr>
          <w:rFonts w:ascii="Times New Roman" w:hAnsi="Times New Roman" w:cs="Times New Roman"/>
          <w:sz w:val="22"/>
          <w:szCs w:val="22"/>
        </w:rPr>
        <w:t xml:space="preserve">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left="-567" w:right="0" w:firstLine="56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5.10. Общая сумма начисленных штрафов за неисполнение или ненадлежащее исполнение Поставщиком или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6. Форс-мажор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Style w:val="906"/>
          <w:sz w:val="22"/>
          <w:szCs w:val="22"/>
        </w:rPr>
        <w:t xml:space="preserve">6.1. Стороны не несут ответственности за задержки в исполнении или неисполнение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 по настоящему Контракту, если задержки или неисполнение </w:t>
      </w:r>
      <w:r>
        <w:rPr>
          <w:rFonts w:ascii="Times New Roman" w:hAnsi="Times New Roman" w:cs="Times New Roman"/>
          <w:sz w:val="22"/>
          <w:szCs w:val="22"/>
        </w:rPr>
        <w:t xml:space="preserve">произошли вследствие обстоятельств непреодолимой силы. В число таких обстоятельств входят: войны, военные действия, мятежи, саботаж, забастовки, пожары, взрывы, наводнения или иные стихийные бедствия, нормативно-правовые акт государственных органов власти.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6.2. Немедленно после получения информации о наступлении любых обстоятельств Контракта, Стороны письменно уведомляют об этом друг друга.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6.4. Если обстоятельство непреодолимой силы вызывает существенное нарушение или неисполнение обязательст</w:t>
      </w:r>
      <w:r>
        <w:rPr>
          <w:rFonts w:ascii="Times New Roman" w:hAnsi="Times New Roman" w:cs="Times New Roman"/>
          <w:sz w:val="22"/>
          <w:szCs w:val="22"/>
        </w:rPr>
        <w:t xml:space="preserve">в по настоящему Контракту, длящееся более 30 (тридцати) календарных дней, каждая Сторона имеет право прекратить действие настоящего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 после подачи другой Стороне предвари</w:t>
      </w:r>
      <w:r>
        <w:rPr>
          <w:rFonts w:ascii="Times New Roman" w:hAnsi="Times New Roman" w:cs="Times New Roman"/>
          <w:sz w:val="22"/>
          <w:szCs w:val="22"/>
        </w:rPr>
        <w:t xml:space="preserve">тельного письменного уведомления о своем намерении прекратить действие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7. Порядок рассмотрения споров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7.1. </w:t>
      </w:r>
      <w:r>
        <w:rPr>
          <w:rFonts w:ascii="Times New Roman" w:hAnsi="Times New Roman" w:cs="Times New Roman"/>
          <w:sz w:val="22"/>
          <w:szCs w:val="22"/>
        </w:rPr>
        <w:t xml:space="preserve">В случае возникновения между Заказчиком и Поставщиком любых споров или разногласий, связанных с настоящим </w:t>
      </w:r>
      <w:r>
        <w:rPr>
          <w:rFonts w:ascii="Times New Roman" w:hAnsi="Times New Roman" w:cs="Times New Roman"/>
          <w:sz w:val="22"/>
          <w:szCs w:val="22"/>
        </w:rPr>
        <w:t xml:space="preserve">Контрактом</w:t>
      </w:r>
      <w:r>
        <w:rPr>
          <w:rFonts w:ascii="Times New Roman" w:hAnsi="Times New Roman" w:cs="Times New Roman"/>
          <w:sz w:val="22"/>
          <w:szCs w:val="22"/>
        </w:rPr>
        <w:t xml:space="preserve"> или выполнением либо невыполнением любой Стороной обязательств по </w:t>
      </w:r>
      <w:r>
        <w:rPr>
          <w:rFonts w:ascii="Times New Roman" w:hAnsi="Times New Roman" w:cs="Times New Roman"/>
          <w:sz w:val="22"/>
          <w:szCs w:val="22"/>
        </w:rPr>
        <w:t xml:space="preserve">Контракту</w:t>
      </w:r>
      <w:r>
        <w:rPr>
          <w:rFonts w:ascii="Times New Roman" w:hAnsi="Times New Roman" w:cs="Times New Roman"/>
          <w:sz w:val="22"/>
          <w:szCs w:val="22"/>
        </w:rPr>
        <w:t xml:space="preserve">, Стороны приложат все усилия для их разрешения путем переговоров.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7.2. Если споры не могут быть разрешены путем переговоров, то спорные вопросы передаются на рассмотрение </w:t>
      </w:r>
      <w:r>
        <w:rPr>
          <w:rFonts w:ascii="Times New Roman" w:hAnsi="Times New Roman" w:cs="Times New Roman"/>
          <w:sz w:val="22"/>
          <w:szCs w:val="22"/>
        </w:rPr>
        <w:t xml:space="preserve">в Арбитражный суд </w:t>
      </w:r>
      <w:r>
        <w:rPr>
          <w:rFonts w:ascii="Times New Roman" w:hAnsi="Times New Roman" w:cs="Times New Roman"/>
          <w:sz w:val="22"/>
          <w:szCs w:val="22"/>
        </w:rPr>
        <w:t xml:space="preserve">Магаданской области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8. Прочие условия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8.1. Настоящий Контракт вступает в силу со дня его подписания сторонами и действует по </w:t>
      </w:r>
      <w:r>
        <w:rPr>
          <w:rFonts w:ascii="Times New Roman" w:hAnsi="Times New Roman" w:cs="Times New Roman"/>
          <w:sz w:val="22"/>
          <w:szCs w:val="22"/>
        </w:rPr>
        <w:t xml:space="preserve">3</w:t>
      </w:r>
      <w:r>
        <w:rPr>
          <w:rFonts w:ascii="Times New Roman" w:hAnsi="Times New Roman" w:cs="Times New Roman"/>
          <w:sz w:val="22"/>
          <w:szCs w:val="22"/>
        </w:rPr>
        <w:t xml:space="preserve">1.</w:t>
      </w:r>
      <w:r>
        <w:rPr>
          <w:rFonts w:ascii="Times New Roman" w:hAnsi="Times New Roman" w:cs="Times New Roman"/>
          <w:sz w:val="22"/>
          <w:szCs w:val="22"/>
        </w:rPr>
        <w:t xml:space="preserve">12.2026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>
        <w:rPr>
          <w:rFonts w:ascii="Times New Roman" w:hAnsi="Times New Roman" w:cs="Times New Roman"/>
          <w:sz w:val="22"/>
          <w:szCs w:val="22"/>
        </w:rPr>
        <w:t xml:space="preserve"> включительно, а в части оплаты до полного исполнения обязательств.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</w:t>
      </w:r>
      <w:r>
        <w:rPr>
          <w:rFonts w:ascii="Times New Roman" w:hAnsi="Times New Roman" w:cs="Times New Roman"/>
          <w:sz w:val="22"/>
          <w:szCs w:val="22"/>
        </w:rPr>
        <w:t xml:space="preserve">2</w:t>
      </w:r>
      <w:r>
        <w:rPr>
          <w:rFonts w:ascii="Times New Roman" w:hAnsi="Times New Roman" w:cs="Times New Roman"/>
          <w:sz w:val="22"/>
          <w:szCs w:val="22"/>
        </w:rPr>
        <w:t xml:space="preserve">. Настоящий </w:t>
      </w:r>
      <w:r>
        <w:rPr>
          <w:rFonts w:ascii="Times New Roman" w:hAnsi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cs="Times New Roman"/>
          <w:sz w:val="22"/>
          <w:szCs w:val="22"/>
        </w:rPr>
        <w:t xml:space="preserve"> подписан в 2 (двух) экземплярах: один - для Поставщика, другой - для Заказчика, имеющих одинаковую юридическую силу.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</w:t>
      </w:r>
      <w:r>
        <w:rPr>
          <w:rFonts w:ascii="Times New Roman" w:hAnsi="Times New Roman" w:cs="Times New Roman"/>
          <w:sz w:val="22"/>
          <w:szCs w:val="22"/>
        </w:rPr>
        <w:t xml:space="preserve">3</w:t>
      </w:r>
      <w:r>
        <w:rPr>
          <w:rFonts w:ascii="Times New Roman" w:hAnsi="Times New Roman" w:cs="Times New Roman"/>
          <w:sz w:val="22"/>
          <w:szCs w:val="22"/>
        </w:rPr>
        <w:t xml:space="preserve">. Ни одна из Сторон не будет передавать свои права и обязанности по настоящему </w:t>
      </w:r>
      <w:r>
        <w:rPr>
          <w:rFonts w:ascii="Times New Roman" w:hAnsi="Times New Roman" w:cs="Times New Roman"/>
          <w:sz w:val="22"/>
          <w:szCs w:val="22"/>
        </w:rPr>
        <w:t xml:space="preserve">Контракту</w:t>
      </w:r>
      <w:r>
        <w:rPr>
          <w:rFonts w:ascii="Times New Roman" w:hAnsi="Times New Roman" w:cs="Times New Roman"/>
          <w:sz w:val="22"/>
          <w:szCs w:val="22"/>
        </w:rPr>
        <w:t xml:space="preserve"> без предварительного письменного согласия другой Стороны.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</w:t>
      </w: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 Настоящий </w:t>
      </w:r>
      <w:r>
        <w:rPr>
          <w:rFonts w:ascii="Times New Roman" w:hAnsi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cs="Times New Roman"/>
          <w:sz w:val="22"/>
          <w:szCs w:val="22"/>
        </w:rPr>
        <w:t xml:space="preserve"> включая все Приложения и дополнения к нему, составляет один единый </w:t>
      </w:r>
      <w:r>
        <w:rPr>
          <w:rFonts w:ascii="Times New Roman" w:hAnsi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cs="Times New Roman"/>
          <w:sz w:val="22"/>
          <w:szCs w:val="22"/>
        </w:rPr>
        <w:t xml:space="preserve"> между Пос</w:t>
      </w:r>
      <w:r>
        <w:rPr>
          <w:rFonts w:ascii="Times New Roman" w:hAnsi="Times New Roman" w:cs="Times New Roman"/>
          <w:sz w:val="22"/>
          <w:szCs w:val="22"/>
        </w:rPr>
        <w:t xml:space="preserve">тавщиком и Заказчиком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bookmarkStart w:id="0" w:name="_ref_613325"/>
      <w:r>
        <w:rPr>
          <w:sz w:val="22"/>
          <w:szCs w:val="22"/>
        </w:rPr>
      </w:r>
      <w:bookmarkEnd w:id="0"/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9. </w:t>
      </w:r>
      <w:r>
        <w:rPr>
          <w:rFonts w:ascii="Times New Roman" w:hAnsi="Times New Roman" w:cs="Times New Roman"/>
          <w:b/>
          <w:sz w:val="22"/>
          <w:szCs w:val="22"/>
        </w:rPr>
        <w:t xml:space="preserve">Гарантийные обязательства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</w:t>
      </w: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 xml:space="preserve">Поставщик</w:t>
      </w:r>
      <w:r>
        <w:rPr>
          <w:rFonts w:ascii="Times New Roman" w:hAnsi="Times New Roman" w:cs="Times New Roman"/>
          <w:sz w:val="22"/>
          <w:szCs w:val="22"/>
        </w:rPr>
        <w:t xml:space="preserve"> гарантирует качество проданных товаров в течение гарантийного срока, указанного в гарантийном талоне. Если у товара в течение гарантийного периода выявляются дефекты или несоответствия Положениям и условиям настоящего Договора, </w:t>
      </w:r>
      <w:r>
        <w:rPr>
          <w:rFonts w:ascii="Times New Roman" w:hAnsi="Times New Roman" w:cs="Times New Roman"/>
          <w:sz w:val="22"/>
          <w:szCs w:val="22"/>
        </w:rPr>
        <w:t xml:space="preserve">Поставщик</w:t>
      </w:r>
      <w:r>
        <w:rPr>
          <w:rFonts w:ascii="Times New Roman" w:hAnsi="Times New Roman" w:cs="Times New Roman"/>
          <w:sz w:val="22"/>
          <w:szCs w:val="22"/>
        </w:rPr>
        <w:t xml:space="preserve"> обязан устранить дефекты или заменить неисправные элементы.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</w:t>
      </w:r>
      <w:r>
        <w:rPr>
          <w:rFonts w:ascii="Times New Roman" w:hAnsi="Times New Roman" w:cs="Times New Roman"/>
          <w:sz w:val="22"/>
          <w:szCs w:val="22"/>
        </w:rPr>
        <w:t xml:space="preserve">2. Гарантийное обслуживание производится в порядке и на условиях, установленных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в Правилах гарантийного обслуживания и условиях предоставления гарантии, если иные правила не установлены авторизованным сервисным центром производителя товара.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</w:t>
      </w:r>
      <w:r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 xml:space="preserve">Гарантийный срок на Товар составляет 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месяцев </w:t>
      </w:r>
      <w:r>
        <w:rPr>
          <w:rFonts w:ascii="Times New Roman" w:hAnsi="Times New Roman" w:cs="Times New Roman"/>
          <w:sz w:val="22"/>
          <w:szCs w:val="22"/>
        </w:rPr>
        <w:t xml:space="preserve">и исчисляется </w:t>
      </w:r>
      <w:r>
        <w:rPr>
          <w:rFonts w:ascii="Times New Roman" w:hAnsi="Times New Roman" w:cs="Times New Roman"/>
          <w:sz w:val="22"/>
          <w:szCs w:val="22"/>
        </w:rPr>
        <w:t xml:space="preserve">с момента подписания товарной накладной, акта приемки-передачи либо УПД.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9.4. Замена бракованного Товара осуществляется за счет Поставщика. Поставщик обязан обеспечить устранение недостатков или замену Товара в течение 3 рабочих дней с момента поступления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9.5. При причинении вреда имуществу Заказчика вследствие конструктивных, производственных или иных недостатков поставля</w:t>
      </w:r>
      <w:r>
        <w:rPr>
          <w:rFonts w:ascii="Times New Roman" w:hAnsi="Times New Roman" w:cs="Times New Roman"/>
          <w:sz w:val="22"/>
          <w:szCs w:val="22"/>
        </w:rPr>
        <w:t xml:space="preserve">емого товара, Поставщик возмещает убытки, понесенные Заказчиком.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10. Адреса и реквизиты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49"/>
        <w:gridCol w:w="4819"/>
      </w:tblGrid>
      <w:tr>
        <w:tblPrEx/>
        <w:trPr/>
        <w:tc>
          <w:tcPr>
            <w:shd w:val="clear" w:color="auto" w:fill="auto"/>
            <w:tcW w:w="4849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Заказчик: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  <w:p>
            <w:pPr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Управление Федеральной службы государственной регистрации, кадастра и картографии по Магаданской области и Чукотскому автономному округу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shd w:val="clear" w:color="auto" w:fill="auto"/>
            <w:tcW w:w="4819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/>
              </w:rPr>
              <w:t xml:space="preserve">Поставщик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Полное наименование организации (в соответствии с выпиской из ЕГРЮЛ):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widowControl w:val="off"/>
              <w:rPr>
                <w:rFonts w:ascii="Liberation Serif" w:hAnsi="Liberation Serif" w:cs="Liberation Serif"/>
                <w:b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Сокращенное наименование организации (в соответствии с выпиской из ЕГРЮЛ):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Юридический/фактический адрес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: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685000, Магаданская обл., г. Магадан,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ул. Горького, д.15/7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</w:rPr>
              <w:t xml:space="preserve">Телефон/ факс</w:t>
            </w:r>
            <w:r>
              <w:rPr>
                <w:rFonts w:ascii="Liberation Serif" w:hAnsi="Liberation Serif" w:eastAsia="Liberation Serif" w:cs="Liberation Serif"/>
              </w:rPr>
              <w:t xml:space="preserve">: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</w:rPr>
              <w:t xml:space="preserve">(4132) 65</w:t>
            </w:r>
            <w:r>
              <w:rPr>
                <w:rFonts w:ascii="Liberation Serif" w:hAnsi="Liberation Serif" w:eastAsia="Liberation Serif" w:cs="Liberation Serif"/>
              </w:rPr>
              <w:t xml:space="preserve">0250/</w:t>
            </w:r>
            <w:r>
              <w:rPr>
                <w:rFonts w:ascii="Liberation Serif" w:hAnsi="Liberation Serif" w:eastAsia="Liberation Serif" w:cs="Liberation Serif"/>
              </w:rPr>
              <w:t xml:space="preserve">652018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Адрес электронной почты: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br/>
            </w:r>
            <w:hyperlink r:id="rId10" w:tooltip="mailto:49_feo@rosreestr.ru" w:history="1">
              <w:r>
                <w:rPr>
                  <w:rStyle w:val="894"/>
                  <w:rFonts w:ascii="Liberation Serif" w:hAnsi="Liberation Serif" w:eastAsia="Liberation Serif" w:cs="Liberation Serif"/>
                </w:rPr>
                <w:t xml:space="preserve">49_</w:t>
              </w:r>
              <w:r>
                <w:rPr>
                  <w:rStyle w:val="894"/>
                  <w:rFonts w:ascii="Liberation Serif" w:hAnsi="Liberation Serif" w:eastAsia="Liberation Serif" w:cs="Liberation Serif"/>
                  <w:lang w:val="en-US"/>
                </w:rPr>
                <w:t xml:space="preserve">feo</w:t>
              </w:r>
              <w:r>
                <w:rPr>
                  <w:rStyle w:val="894"/>
                  <w:rFonts w:ascii="Liberation Serif" w:hAnsi="Liberation Serif" w:eastAsia="Liberation Serif" w:cs="Liberation Serif"/>
                </w:rPr>
                <w:t xml:space="preserve">@</w:t>
              </w:r>
              <w:r>
                <w:rPr>
                  <w:rStyle w:val="894"/>
                  <w:rFonts w:ascii="Liberation Serif" w:hAnsi="Liberation Serif" w:eastAsia="Liberation Serif" w:cs="Liberation Serif"/>
                  <w:lang w:val="en-US"/>
                </w:rPr>
                <w:t xml:space="preserve">rosreestr</w:t>
              </w:r>
              <w:r>
                <w:rPr>
                  <w:rStyle w:val="894"/>
                  <w:rFonts w:ascii="Liberation Serif" w:hAnsi="Liberation Serif" w:eastAsia="Liberation Serif" w:cs="Liberation Serif"/>
                </w:rPr>
                <w:t xml:space="preserve">.</w:t>
              </w:r>
              <w:r>
                <w:rPr>
                  <w:rStyle w:val="894"/>
                  <w:rFonts w:ascii="Liberation Serif" w:hAnsi="Liberation Serif" w:eastAsia="Liberation Serif" w:cs="Liberation Serif"/>
                  <w:lang w:val="en-US"/>
                </w:rPr>
                <w:t xml:space="preserve">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ИНН 4909007240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КПП 490901001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ОГРН 1044900038391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ОКПО 31632366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Наименование банка по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лучателя: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Казначейский счет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03211643000000012005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ОКЦ № 1 ДГУ Банка России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//УФК по Приморскому краю,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 г Владивосток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л/с 03471А52460 в УФК по Магаданской области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Единый казначейский счет 40102810545370000012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БИК 010507002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__________________ / /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М.П.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Юридический адрес: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Фактический адрес: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Телефон: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Эл. почта: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ИНН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КПП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ОГРН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ОКПО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ОКТМО – 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Наименование банка: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Место нахождения банка: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Расчетн.счет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Кор.счет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БИК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__________________ / /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М.П.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ind w:left="5102"/>
        <w:keepLines/>
        <w:keepNext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right"/>
        <w:keepLines/>
        <w:keepNext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lef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lef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lef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lef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</w:rPr>
        <w:t xml:space="preserve">Приложение № 1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к Контракту № </w:t>
      </w:r>
      <w:r>
        <w:rPr>
          <w:rFonts w:ascii="Times New Roman" w:hAnsi="Times New Roman" w:cs="Times New Roman"/>
          <w:sz w:val="22"/>
          <w:szCs w:val="22"/>
        </w:rPr>
        <w:t xml:space="preserve">_____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от ____________</w:t>
      </w:r>
      <w:r>
        <w:rPr>
          <w:rFonts w:ascii="Times New Roman" w:hAnsi="Times New Roman" w:cs="Times New Roman"/>
          <w:sz w:val="22"/>
          <w:szCs w:val="22"/>
        </w:rPr>
        <w:t xml:space="preserve"> 2026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right"/>
        <w:keepLines/>
        <w:keepNext/>
        <w:tabs>
          <w:tab w:val="left" w:pos="142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keepLines/>
        <w:keepNext/>
        <w:tabs>
          <w:tab w:val="left" w:pos="142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709"/>
        <w:jc w:val="center"/>
        <w:tabs>
          <w:tab w:val="left" w:pos="3345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СПЕЦИФИКАЦИЯ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tbl>
      <w:tblPr>
        <w:tblW w:w="0" w:type="auto"/>
        <w:jc w:val="center"/>
        <w:tblInd w:w="-850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8"/>
        <w:gridCol w:w="1700"/>
      </w:tblGrid>
      <w:tr>
        <w:tblPrEx/>
        <w:trPr>
          <w:jc w:val="center"/>
          <w:trHeight w:val="6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Наименование, характеристики Товара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Количество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Цена за ед. в руб.,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(в том числе НДС-____%)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Сумма в руб., (в том числе НДС-____%)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03"/>
              <w:numPr>
                <w:ilvl w:val="0"/>
                <w:numId w:val="2"/>
              </w:numPr>
              <w:ind w:left="-41" w:right="-6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Вывеска фасадная, размер - 700х500 мм, ПВХ 5 мм, плоская с накладными шрифтовыми элементами, оклейка пленками Oracal в соответствии с цветовой палитрой брендбука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6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03"/>
              <w:numPr>
                <w:ilvl w:val="0"/>
                <w:numId w:val="2"/>
              </w:numPr>
              <w:ind w:left="-41" w:right="-6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(режим работы) - </w:t>
            </w:r>
            <w:r>
              <w:rPr>
                <w:rFonts w:ascii="Liberation Serif" w:hAnsi="Liberation Serif" w:eastAsia="Liberation Serif" w:cs="Liberation Serif"/>
              </w:rPr>
              <w:t xml:space="preserve">размер - 700х500 мм, ПВХ 5 мм, плоская с накладными шрифтовыми элементами, оклейка пленками Oracal в соответствии с цветовой палитрой брендбука</w:t>
            </w:r>
            <w:r/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31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41"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2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ndale Sans UI"/>
          <w:b/>
          <w:sz w:val="22"/>
          <w:szCs w:val="22"/>
          <w:lang w:eastAsia="ru-RU"/>
        </w:rPr>
        <w:t xml:space="preserve">                  </w:t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</w:rPr>
        <w:t xml:space="preserve">Приложение № 2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6" w:line="240" w:lineRule="auto"/>
        <w:tabs>
          <w:tab w:val="left" w:pos="142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к Контракту № </w:t>
      </w:r>
      <w:r>
        <w:rPr>
          <w:rFonts w:ascii="Times New Roman" w:hAnsi="Times New Roman" w:cs="Times New Roman"/>
          <w:sz w:val="22"/>
          <w:szCs w:val="22"/>
        </w:rPr>
        <w:t xml:space="preserve">_____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right"/>
        <w:keepLines/>
        <w:keepNext/>
        <w:spacing w:before="0" w:after="6" w:line="240" w:lineRule="auto"/>
        <w:tabs>
          <w:tab w:val="left" w:pos="142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от ____________</w:t>
      </w:r>
      <w:r>
        <w:rPr>
          <w:rFonts w:ascii="Times New Roman" w:hAnsi="Times New Roman" w:cs="Times New Roman"/>
          <w:sz w:val="22"/>
          <w:szCs w:val="22"/>
        </w:rPr>
        <w:t xml:space="preserve">2026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2"/>
        <w:ind w:left="0" w:right="0" w:firstLine="0"/>
        <w:jc w:val="center"/>
        <w:shd w:val="clear" w:color="ffffff" w:fill="ffffff"/>
        <w:rPr>
          <w:rFonts w:ascii="Liberation Serif" w:hAnsi="Liberation Serif" w:cs="Liberation Serif"/>
          <w:b/>
          <w:bCs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</w: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</w:r>
    </w:p>
    <w:p>
      <w:pPr>
        <w:pStyle w:val="882"/>
        <w:ind w:left="0" w:right="0" w:firstLine="0"/>
        <w:jc w:val="left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882"/>
        <w:ind w:left="0" w:right="0" w:firstLine="0"/>
        <w:jc w:val="left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</w:p>
    <w:p>
      <w:pPr>
        <w:pStyle w:val="882"/>
        <w:ind w:left="0" w:right="0" w:firstLine="0"/>
        <w:jc w:val="center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Техническое задание</w:t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 </w:t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</w:p>
    <w:p>
      <w:pPr>
        <w:pStyle w:val="882"/>
        <w:ind w:left="0" w:right="0" w:firstLine="0"/>
        <w:jc w:val="center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Приобретение фасадных вывесок 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1. Об</w:t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щая информация</w:t>
      </w: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</w:r>
    </w:p>
    <w:p>
      <w:pPr>
        <w:pStyle w:val="903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Объект закупки: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Приобретение фасадных вывесок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Количество: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согласно Таблицы № 1 «Перечень объектов закупки».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Место поставки: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685000, г. Магадан, ул. Горького, д.15/7.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Срок поставки: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в течение 5 рабочих дней с даты заключения контракта.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Приложения к ТЗ: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Приложение № 1 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— Дизайн‑макет.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sz w:val="22"/>
          <w:szCs w:val="22"/>
          <w:highlight w:val="none"/>
        </w:rPr>
      </w:r>
      <w:r>
        <w:rPr>
          <w:rFonts w:ascii="Liberation Serif" w:hAnsi="Liberation Serif" w:cs="Liberation Serif"/>
          <w:b/>
          <w:bCs/>
          <w:sz w:val="22"/>
          <w:szCs w:val="22"/>
          <w:highlight w:val="none"/>
        </w:rPr>
        <w:t xml:space="preserve">Контактное лицо Заказчика по согласованию макетов и цветового решения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 – Сайковский Олег Викторович,  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тел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.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8-4132-650681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, 8-964-457-4900</w:t>
      </w:r>
      <w:r>
        <w:rPr>
          <w:rFonts w:ascii="Liberation Serif" w:hAnsi="Liberation Serif" w:cs="Liberation Serif"/>
          <w:sz w:val="22"/>
          <w:szCs w:val="22"/>
        </w:rPr>
        <w:t xml:space="preserve">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2. Требования к дизайну и содержанию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8"/>
        </w:numPr>
        <w:ind w:left="709" w:right="0" w:hanging="425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Логотип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Росреестра, 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текст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, шрифт, цветовая гамма в соответствии с брендбуком     ведомства.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5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Ориентация</w:t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вертикальная.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3. Технические требования к конструкции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6"/>
        </w:numPr>
        <w:ind w:right="0"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Размер: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700х500мм </w:t>
      </w:r>
      <w:r>
        <w:rPr>
          <w:rFonts w:ascii="Liberation Serif" w:hAnsi="Liberation Serif" w:cs="Liberation Serif"/>
          <w:b w:val="0"/>
          <w:bCs w:val="0"/>
          <w:sz w:val="22"/>
          <w:szCs w:val="22"/>
        </w:rPr>
        <w:t xml:space="preserve">плоская с накладными шрифтовыми элементами;</w:t>
      </w:r>
      <w:r>
        <w:rPr>
          <w:rFonts w:ascii="Liberation Serif" w:hAnsi="Liberation Serif" w:cs="Liberation Serif"/>
          <w:b w:val="0"/>
          <w:bCs w:val="0"/>
          <w:sz w:val="22"/>
          <w:szCs w:val="22"/>
        </w:rPr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</w:p>
    <w:p>
      <w:pPr>
        <w:pStyle w:val="903"/>
        <w:numPr>
          <w:ilvl w:val="0"/>
          <w:numId w:val="16"/>
        </w:numPr>
        <w:ind w:right="0"/>
        <w:jc w:val="both"/>
        <w:rPr>
          <w:rFonts w:ascii="Liberation Serif" w:hAnsi="Liberation Serif" w:cs="Liberation Serif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  <w:t xml:space="preserve">Материал: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  <w:highlight w:val="none"/>
        </w:rPr>
        <w:t xml:space="preserve">ПВХ 5 мм, оклейка пленками Oracal.</w:t>
      </w:r>
      <w:r>
        <w:rPr>
          <w:rFonts w:ascii="Liberation Serif" w:hAnsi="Liberation Serif" w:cs="Liberation Serif"/>
          <w:b w:val="0"/>
          <w:bCs w:val="0"/>
          <w:sz w:val="22"/>
          <w:szCs w:val="22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4. Требования к материалам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7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Все материалы должны быть сертифицированы для наружного применения.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7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Устойчивость к УФ‑излучению, коррозии, перепадам температур, влаге.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7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Соответствие ГОСТ 8.579‑2019, ГОСТ 17527‑2020, СП 28.13330.2012.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7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Экологическая безопасность (отсутствие токсичных выделений).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5. Порядок согласования и изготовления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9"/>
        </w:numPr>
        <w:contextualSpacing w:val="0"/>
        <w:ind w:right="0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После подписания контракта исполнитель предоставляет на 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согласование дизайн‑макеты в формате *.JPG (с указанием истинных размеров и цветового решения).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Style w:val="903"/>
        <w:numPr>
          <w:ilvl w:val="0"/>
          <w:numId w:val="19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Заказчик утверждает макет или направляет правки в течение 3 часов.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19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После согласования исполнитель изготавливает вывеску в установленные сроки.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6. Требования к поставке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0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Вывеска поставляется в защитной упаковке, обеспечивающей сохранность при                    транспортировке.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7. Гарантийные обязательства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1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Гарантия на изделие —не менее 2 лет с момента подписания документов о  приёмке.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1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 гарантийный период исполнитель устраняет дефекты материалов за свой счёт.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8. Отчётная документация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Исполнитель предоставляет: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2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сертификат соответствия / декларацию о соответствии;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2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паспорт изделия с указанием характеристик и срока службы;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2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товарную накладная, акт приема-передачи или УПД;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2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инструкцию по эксплуатации и уходу.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ind w:left="709" w:right="0" w:firstLine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715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9. Критерии приёмки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Вывеска считается принятой, если: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3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соответствует утверждённому макету и ТЗ;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3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отсутствуют механические повреждения, дефекты покрытия;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3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крепления надёжны, конструкция устойчива к ветровой нагрузке;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pStyle w:val="903"/>
        <w:numPr>
          <w:ilvl w:val="0"/>
          <w:numId w:val="23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предоставлены все документы, указанные в п. 8.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</w:rPr>
      </w:r>
    </w:p>
    <w:p>
      <w:pPr>
        <w:jc w:val="lef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right"/>
        <w:rPr>
          <w:rFonts w:ascii="Liberation Serif" w:hAnsi="Liberation Serif" w:eastAsia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Таблица № 1</w:t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i w:val="0"/>
          <w:sz w:val="24"/>
          <w:szCs w:val="24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br/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2"/>
          <w:szCs w:val="22"/>
        </w:rPr>
        <w:t xml:space="preserve">Перечень объектов закупки</w:t>
      </w:r>
      <w:r>
        <w:rPr>
          <w:rFonts w:ascii="Liberation Serif" w:hAnsi="Liberation Serif" w:cs="Liberation Serif"/>
          <w:b/>
          <w:bCs/>
          <w:i w:val="0"/>
          <w:sz w:val="22"/>
          <w:szCs w:val="22"/>
        </w:rPr>
      </w:r>
      <w:r>
        <w:rPr>
          <w:rFonts w:ascii="Liberation Serif" w:hAnsi="Liberation Serif" w:cs="Liberation Serif"/>
          <w:b/>
          <w:bCs/>
          <w:i w:val="0"/>
          <w:sz w:val="24"/>
          <w:szCs w:val="24"/>
        </w:rPr>
      </w:r>
    </w:p>
    <w:tbl>
      <w:tblPr>
        <w:tblStyle w:val="90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843"/>
        <w:gridCol w:w="184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Количество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шт.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(режим работы)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шт.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Заказчик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Поставщик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_____________                             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/>
      <w:bookmarkStart w:id="1" w:name="_GoBack"/>
      <w:r/>
      <w:bookmarkEnd w:id="1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0" w:right="851" w:bottom="709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ndale Sans UI">
    <w:panose1 w:val="02000603000000000000"/>
  </w:font>
  <w:font w:name="Segoe UI">
    <w:panose1 w:val="020B050204050402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Andale Sans UI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1"/>
    <w:next w:val="881"/>
    <w:link w:val="71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1">
    <w:name w:val="Heading 1 Char"/>
    <w:basedOn w:val="883"/>
    <w:link w:val="71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2">
    <w:name w:val="Heading 2"/>
    <w:basedOn w:val="881"/>
    <w:next w:val="881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3">
    <w:name w:val="Heading 2 Char"/>
    <w:basedOn w:val="883"/>
    <w:link w:val="712"/>
    <w:uiPriority w:val="9"/>
    <w:rPr>
      <w:rFonts w:ascii="Liberation Sans" w:hAnsi="Liberation Sans" w:eastAsia="Liberation Sans" w:cs="Liberation Sans"/>
      <w:sz w:val="34"/>
    </w:rPr>
  </w:style>
  <w:style w:type="character" w:styleId="714">
    <w:name w:val="Heading 3 Char"/>
    <w:basedOn w:val="883"/>
    <w:link w:val="88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5">
    <w:name w:val="Heading 4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6">
    <w:name w:val="Heading 4 Char"/>
    <w:basedOn w:val="883"/>
    <w:link w:val="71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7">
    <w:name w:val="Heading 5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8">
    <w:name w:val="Heading 5 Char"/>
    <w:basedOn w:val="883"/>
    <w:link w:val="71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9">
    <w:name w:val="Heading 6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0">
    <w:name w:val="Heading 6 Char"/>
    <w:basedOn w:val="883"/>
    <w:link w:val="71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1">
    <w:name w:val="Heading 7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2">
    <w:name w:val="Heading 7 Char"/>
    <w:basedOn w:val="883"/>
    <w:link w:val="72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3">
    <w:name w:val="Heading 8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4">
    <w:name w:val="Heading 8 Char"/>
    <w:basedOn w:val="883"/>
    <w:link w:val="72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5">
    <w:name w:val="Heading 9"/>
    <w:basedOn w:val="881"/>
    <w:next w:val="881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6">
    <w:name w:val="Heading 9 Char"/>
    <w:basedOn w:val="883"/>
    <w:link w:val="72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7">
    <w:name w:val="Title"/>
    <w:basedOn w:val="881"/>
    <w:next w:val="881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3"/>
    <w:link w:val="727"/>
    <w:uiPriority w:val="10"/>
    <w:rPr>
      <w:sz w:val="48"/>
      <w:szCs w:val="48"/>
    </w:rPr>
  </w:style>
  <w:style w:type="paragraph" w:styleId="729">
    <w:name w:val="Subtitle"/>
    <w:basedOn w:val="881"/>
    <w:next w:val="881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3"/>
    <w:link w:val="729"/>
    <w:uiPriority w:val="11"/>
    <w:rPr>
      <w:sz w:val="24"/>
      <w:szCs w:val="24"/>
    </w:rPr>
  </w:style>
  <w:style w:type="paragraph" w:styleId="731">
    <w:name w:val="Quote"/>
    <w:basedOn w:val="881"/>
    <w:next w:val="881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1"/>
    <w:next w:val="881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3"/>
    <w:link w:val="886"/>
    <w:uiPriority w:val="99"/>
  </w:style>
  <w:style w:type="character" w:styleId="736">
    <w:name w:val="Footer Char"/>
    <w:basedOn w:val="883"/>
    <w:link w:val="888"/>
    <w:uiPriority w:val="99"/>
  </w:style>
  <w:style w:type="paragraph" w:styleId="737">
    <w:name w:val="Caption"/>
    <w:basedOn w:val="881"/>
    <w:next w:val="881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3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3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paragraph" w:styleId="882">
    <w:name w:val="Heading 3"/>
    <w:basedOn w:val="881"/>
    <w:next w:val="881"/>
    <w:link w:val="891"/>
    <w:qFormat/>
    <w:pPr>
      <w:ind w:right="283"/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>
    <w:name w:val="Header"/>
    <w:basedOn w:val="881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83"/>
    <w:link w:val="886"/>
    <w:uiPriority w:val="99"/>
  </w:style>
  <w:style w:type="paragraph" w:styleId="888">
    <w:name w:val="Footer"/>
    <w:basedOn w:val="881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83"/>
    <w:link w:val="888"/>
    <w:uiPriority w:val="99"/>
  </w:style>
  <w:style w:type="paragraph" w:styleId="890">
    <w:name w:val="No Spacing"/>
    <w:uiPriority w:val="1"/>
    <w:qFormat/>
    <w:pPr>
      <w:spacing w:after="0" w:line="240" w:lineRule="auto"/>
    </w:pPr>
  </w:style>
  <w:style w:type="character" w:styleId="891" w:customStyle="1">
    <w:name w:val="Заголовок 3 Знак"/>
    <w:basedOn w:val="883"/>
    <w:link w:val="882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92">
    <w:name w:val="Body Text 2"/>
    <w:basedOn w:val="881"/>
    <w:link w:val="893"/>
    <w:pPr>
      <w:ind w:right="176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3" w:customStyle="1">
    <w:name w:val="Основной текст 2 Знак"/>
    <w:basedOn w:val="883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4">
    <w:name w:val="Hyperlink"/>
    <w:rPr>
      <w:color w:val="0000ff"/>
      <w:u w:val="single"/>
    </w:rPr>
  </w:style>
  <w:style w:type="paragraph" w:styleId="895" w:customStyle="1">
    <w:name w:val="Обычный + Tahoma"/>
    <w:basedOn w:val="88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89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97">
    <w:name w:val="annotation reference"/>
    <w:rPr>
      <w:sz w:val="16"/>
      <w:szCs w:val="16"/>
    </w:rPr>
  </w:style>
  <w:style w:type="paragraph" w:styleId="898">
    <w:name w:val="annotation text"/>
    <w:basedOn w:val="881"/>
    <w:link w:val="8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9" w:customStyle="1">
    <w:name w:val="Текст примечания Знак"/>
    <w:basedOn w:val="883"/>
    <w:link w:val="89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>
    <w:name w:val="Balloon Text"/>
    <w:basedOn w:val="881"/>
    <w:link w:val="90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basedOn w:val="883"/>
    <w:link w:val="900"/>
    <w:uiPriority w:val="99"/>
    <w:semiHidden/>
    <w:rPr>
      <w:rFonts w:ascii="Segoe UI" w:hAnsi="Segoe UI" w:cs="Segoe UI"/>
      <w:sz w:val="18"/>
      <w:szCs w:val="18"/>
    </w:rPr>
  </w:style>
  <w:style w:type="paragraph" w:styleId="902" w:customStyle="1">
    <w:name w:val="ConsNonformat"/>
    <w:pPr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903">
    <w:name w:val="List Paragraph"/>
    <w:basedOn w:val="881"/>
    <w:uiPriority w:val="34"/>
    <w:qFormat/>
    <w:pPr>
      <w:contextualSpacing/>
      <w:ind w:left="720"/>
    </w:pPr>
  </w:style>
  <w:style w:type="paragraph" w:styleId="904">
    <w:name w:val="Normal (Web)"/>
    <w:basedOn w:val="88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Текстыыыыыы"/>
    <w:basedOn w:val="881"/>
    <w:link w:val="906"/>
    <w:qFormat/>
    <w:pPr>
      <w:jc w:val="both"/>
    </w:pPr>
    <w:rPr>
      <w:rFonts w:ascii="Times New Roman" w:hAnsi="Times New Roman" w:cs="Times New Roman"/>
      <w:sz w:val="24"/>
      <w:szCs w:val="24"/>
    </w:rPr>
  </w:style>
  <w:style w:type="character" w:styleId="906" w:customStyle="1">
    <w:name w:val="Текстыыыыыы Знак"/>
    <w:basedOn w:val="883"/>
    <w:link w:val="905"/>
    <w:rPr>
      <w:rFonts w:ascii="Times New Roman" w:hAnsi="Times New Roman" w:cs="Times New Roman"/>
      <w:sz w:val="24"/>
      <w:szCs w:val="24"/>
    </w:rPr>
  </w:style>
  <w:style w:type="table" w:styleId="907">
    <w:name w:val="Table Grid"/>
    <w:basedOn w:val="8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8" w:customStyle="1">
    <w:name w:val="ConsNormal + Times New Roman"/>
    <w:basedOn w:val="881"/>
    <w:pPr>
      <w:ind w:left="2085" w:right="-54" w:hanging="360"/>
      <w:jc w:val="both"/>
      <w:spacing w:after="0" w:line="240" w:lineRule="auto"/>
      <w:tabs>
        <w:tab w:val="num" w:pos="208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909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49_feo@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Бойко</dc:creator>
  <cp:revision>27</cp:revision>
  <dcterms:created xsi:type="dcterms:W3CDTF">2023-12-13T23:09:00Z</dcterms:created>
  <dcterms:modified xsi:type="dcterms:W3CDTF">2026-06-01T22:54:05Z</dcterms:modified>
</cp:coreProperties>
</file>