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E1ED2" w14:textId="77777777" w:rsidR="000B38E9" w:rsidRPr="00114C66" w:rsidRDefault="000B38E9" w:rsidP="000B38E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4C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к электронному контракту на ЕАТ</w:t>
      </w:r>
    </w:p>
    <w:p w14:paraId="50F12E63" w14:textId="31E803B4" w:rsidR="000B38E9" w:rsidRPr="00114C66" w:rsidRDefault="000B38E9" w:rsidP="000B38E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4C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«___» _______2026 г. </w:t>
      </w:r>
    </w:p>
    <w:p w14:paraId="4F8D6C79" w14:textId="77777777" w:rsidR="000B38E9" w:rsidRDefault="000B38E9" w:rsidP="000B38E9">
      <w:pPr>
        <w:spacing w:after="0" w:line="0" w:lineRule="atLeast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4C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Учетный номер контракта заказчика: №</w:t>
      </w:r>
    </w:p>
    <w:p w14:paraId="7F8735FF" w14:textId="77777777" w:rsidR="000B38E9" w:rsidRDefault="000B38E9" w:rsidP="000B38E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3D6ABC" w14:textId="77777777" w:rsidR="008E3179" w:rsidRDefault="008E3179" w:rsidP="008E3179">
      <w:pPr>
        <w:spacing w:after="0" w:line="0" w:lineRule="atLeast"/>
        <w:ind w:left="424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519B6EA" w14:textId="6A8E8447" w:rsidR="00AF7BF4" w:rsidRDefault="00D544AB" w:rsidP="00AF7BF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14:paraId="7875943F" w14:textId="77777777" w:rsidR="00AF7BF4" w:rsidRDefault="00AF7BF4" w:rsidP="00AF7BF4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a"/>
        <w:tblW w:w="1034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7088"/>
      </w:tblGrid>
      <w:tr w:rsidR="00A32BC0" w14:paraId="54D973BA" w14:textId="77777777" w:rsidTr="00522781">
        <w:tc>
          <w:tcPr>
            <w:tcW w:w="567" w:type="dxa"/>
          </w:tcPr>
          <w:p w14:paraId="1EB80D47" w14:textId="7B9214E0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15E21A16" w14:textId="38B81326" w:rsidR="00A32BC0" w:rsidRDefault="00A32BC0" w:rsidP="00FA07B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закупки (если объектом закупки является приобретение товара или объектом закупки является выполнение работы, оказание услуги с использованием товара и есть указания на товарные знаки, то необходимо указать эквивалент поставляемого товара и параметры определения эквивалентности)</w:t>
            </w:r>
          </w:p>
        </w:tc>
        <w:tc>
          <w:tcPr>
            <w:tcW w:w="7088" w:type="dxa"/>
            <w:vAlign w:val="center"/>
          </w:tcPr>
          <w:p w14:paraId="1E0F87CD" w14:textId="0F4BEE39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="00CF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="004D1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матологических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Товар)</w:t>
            </w:r>
          </w:p>
        </w:tc>
      </w:tr>
      <w:tr w:rsidR="00A32BC0" w14:paraId="6796034A" w14:textId="77777777" w:rsidTr="00522781">
        <w:tc>
          <w:tcPr>
            <w:tcW w:w="567" w:type="dxa"/>
          </w:tcPr>
          <w:p w14:paraId="35397F83" w14:textId="2E37C399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79DD8F5D" w14:textId="4935221A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7088" w:type="dxa"/>
            <w:vAlign w:val="center"/>
          </w:tcPr>
          <w:p w14:paraId="43D1EDA1" w14:textId="7222AB6F" w:rsidR="004D13CB" w:rsidRPr="00082FA8" w:rsidRDefault="004D13CB" w:rsidP="000D075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риложении</w:t>
            </w:r>
            <w:r w:rsidR="00082FA8"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Техническому заданию</w:t>
            </w:r>
            <w:r w:rsid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«Спецификация»</w:t>
            </w:r>
          </w:p>
        </w:tc>
      </w:tr>
      <w:tr w:rsidR="00A32BC0" w14:paraId="7DACE4C5" w14:textId="77777777" w:rsidTr="00522781">
        <w:tc>
          <w:tcPr>
            <w:tcW w:w="567" w:type="dxa"/>
          </w:tcPr>
          <w:p w14:paraId="01092ADE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7BE3939" w14:textId="7F029B11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7088" w:type="dxa"/>
            <w:vAlign w:val="center"/>
          </w:tcPr>
          <w:p w14:paraId="37A630DA" w14:textId="7D72ACF2" w:rsidR="00A32BC0" w:rsidRDefault="001572B1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320 0901 42 406 90059 244</w:t>
            </w:r>
          </w:p>
        </w:tc>
      </w:tr>
      <w:tr w:rsidR="00A32BC0" w14:paraId="1EB1B4BD" w14:textId="77777777" w:rsidTr="00522781">
        <w:tc>
          <w:tcPr>
            <w:tcW w:w="567" w:type="dxa"/>
          </w:tcPr>
          <w:p w14:paraId="6CD16801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388FD3BE" w14:textId="0A3A5C05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ИКЗ</w:t>
            </w:r>
          </w:p>
        </w:tc>
        <w:tc>
          <w:tcPr>
            <w:tcW w:w="7088" w:type="dxa"/>
            <w:vAlign w:val="center"/>
          </w:tcPr>
          <w:p w14:paraId="00BAF0BA" w14:textId="66557AC1" w:rsidR="00A32BC0" w:rsidRDefault="002B3A29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261671401230991020100100050000000244</w:t>
            </w:r>
          </w:p>
        </w:tc>
      </w:tr>
      <w:tr w:rsidR="00A32BC0" w14:paraId="69A62E3B" w14:textId="77777777" w:rsidTr="00522781">
        <w:tc>
          <w:tcPr>
            <w:tcW w:w="567" w:type="dxa"/>
          </w:tcPr>
          <w:p w14:paraId="226F6DBC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27D197AF" w14:textId="330F8C49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поставляемого товара, объем выполняемой работы, оказываемой услуги</w:t>
            </w:r>
          </w:p>
        </w:tc>
        <w:tc>
          <w:tcPr>
            <w:tcW w:w="7088" w:type="dxa"/>
            <w:vAlign w:val="center"/>
          </w:tcPr>
          <w:p w14:paraId="2EB4D042" w14:textId="55DCB5A0" w:rsidR="00A32BC0" w:rsidRDefault="00082FA8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16AF9" w:rsidRPr="008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</w:t>
            </w:r>
            <w:r w:rsidR="008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082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к Техническому заданию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«Спецификация»</w:t>
            </w:r>
          </w:p>
        </w:tc>
      </w:tr>
      <w:tr w:rsidR="00A32BC0" w14:paraId="05FBF8EB" w14:textId="77777777" w:rsidTr="00522781">
        <w:tc>
          <w:tcPr>
            <w:tcW w:w="567" w:type="dxa"/>
          </w:tcPr>
          <w:p w14:paraId="5259883D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4FCC7A87" w14:textId="65580F3F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  <w:r w:rsidR="0081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7088" w:type="dxa"/>
            <w:vAlign w:val="center"/>
          </w:tcPr>
          <w:p w14:paraId="72857C3C" w14:textId="2D91B2A5" w:rsidR="00A32BC0" w:rsidRPr="000B38E9" w:rsidRDefault="007E3B50" w:rsidP="000D075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5 514</w:t>
            </w:r>
            <w:bookmarkStart w:id="0" w:name="_GoBack"/>
            <w:bookmarkEnd w:id="0"/>
            <w:r w:rsidR="000B38E9" w:rsidRPr="000B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81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2BC0" w14:paraId="3FD1BD18" w14:textId="77777777" w:rsidTr="00522781">
        <w:tc>
          <w:tcPr>
            <w:tcW w:w="567" w:type="dxa"/>
          </w:tcPr>
          <w:p w14:paraId="472AF8C5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69677B4" w14:textId="37721F7E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объекта закупки</w:t>
            </w:r>
          </w:p>
        </w:tc>
        <w:tc>
          <w:tcPr>
            <w:tcW w:w="7088" w:type="dxa"/>
            <w:vAlign w:val="center"/>
          </w:tcPr>
          <w:p w14:paraId="657B21EF" w14:textId="5E717396" w:rsidR="00A32BC0" w:rsidRDefault="00816AF9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 1 к Техническому заданию «Спецификация»</w:t>
            </w:r>
          </w:p>
        </w:tc>
      </w:tr>
      <w:tr w:rsidR="00A32BC0" w14:paraId="3A046BBA" w14:textId="77777777" w:rsidTr="00522781">
        <w:tc>
          <w:tcPr>
            <w:tcW w:w="567" w:type="dxa"/>
          </w:tcPr>
          <w:p w14:paraId="36E711E4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9A62E85" w14:textId="31D87CBD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Эксплуатационные характеристики объекта закупки (при необходимости)</w:t>
            </w:r>
          </w:p>
        </w:tc>
        <w:tc>
          <w:tcPr>
            <w:tcW w:w="7088" w:type="dxa"/>
            <w:vAlign w:val="center"/>
          </w:tcPr>
          <w:p w14:paraId="57538439" w14:textId="6CF48FDB" w:rsidR="00A32BC0" w:rsidRPr="0070121D" w:rsidRDefault="0070121D" w:rsidP="000D075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Эксплуатационные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Товара </w:t>
            </w:r>
            <w:r w:rsidR="0008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 соответствовать их назначению.</w:t>
            </w:r>
          </w:p>
        </w:tc>
      </w:tr>
      <w:tr w:rsidR="00A32BC0" w14:paraId="354B9135" w14:textId="77777777" w:rsidTr="00522781">
        <w:tc>
          <w:tcPr>
            <w:tcW w:w="567" w:type="dxa"/>
          </w:tcPr>
          <w:p w14:paraId="55D84B75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65D3A6A9" w14:textId="0FA99D9B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безопасности товара, работы, услуги</w:t>
            </w:r>
          </w:p>
        </w:tc>
        <w:tc>
          <w:tcPr>
            <w:tcW w:w="7088" w:type="dxa"/>
            <w:vAlign w:val="center"/>
          </w:tcPr>
          <w:p w14:paraId="03AD9576" w14:textId="0CE5B0BD" w:rsidR="00A32BC0" w:rsidRDefault="00A32BC0" w:rsidP="000D07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 обеспечить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поставку Товара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соблюдением действующих норм и правил техники безопасности на территории Российской Федерации.</w:t>
            </w:r>
            <w:r w:rsidR="0039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2BC0" w14:paraId="08FE1267" w14:textId="77777777" w:rsidTr="00522781">
        <w:tc>
          <w:tcPr>
            <w:tcW w:w="567" w:type="dxa"/>
          </w:tcPr>
          <w:p w14:paraId="260E94CF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186F872B" w14:textId="775B2D95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размерам, упаковке, отгрузке товара</w:t>
            </w:r>
          </w:p>
        </w:tc>
        <w:tc>
          <w:tcPr>
            <w:tcW w:w="7088" w:type="dxa"/>
            <w:vAlign w:val="center"/>
          </w:tcPr>
          <w:p w14:paraId="1A254BDB" w14:textId="190EF5C0" w:rsidR="00816AF9" w:rsidRPr="00816AF9" w:rsidRDefault="00816AF9" w:rsidP="00816A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осуществляется единовременно с комплектом документов на каждую партию, указанную в Приложении № 1 к Техническому заданию «Спецификация».</w:t>
            </w:r>
          </w:p>
          <w:p w14:paraId="09A1386B" w14:textId="23DBC349" w:rsidR="00A32BC0" w:rsidRDefault="00816AF9" w:rsidP="00816AF9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партия упаковывается Поставщиком отдельно с указанием партии на транспортной упаковке.</w:t>
            </w:r>
          </w:p>
        </w:tc>
      </w:tr>
      <w:tr w:rsidR="00A32BC0" w14:paraId="4CF7BFB5" w14:textId="77777777" w:rsidTr="00522781">
        <w:tc>
          <w:tcPr>
            <w:tcW w:w="567" w:type="dxa"/>
          </w:tcPr>
          <w:p w14:paraId="153CDAC4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AA15BD5" w14:textId="4C454982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результатам работ, требования к услугам</w:t>
            </w:r>
          </w:p>
        </w:tc>
        <w:tc>
          <w:tcPr>
            <w:tcW w:w="7088" w:type="dxa"/>
            <w:vAlign w:val="center"/>
          </w:tcPr>
          <w:p w14:paraId="7B4CD0EB" w14:textId="1921E635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устанавливается </w:t>
            </w:r>
          </w:p>
        </w:tc>
      </w:tr>
      <w:tr w:rsidR="00A32BC0" w14:paraId="2BEEDC69" w14:textId="77777777" w:rsidTr="00522781">
        <w:tc>
          <w:tcPr>
            <w:tcW w:w="567" w:type="dxa"/>
          </w:tcPr>
          <w:p w14:paraId="73D20CF6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C483AEB" w14:textId="44893AE6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гарантийному сроку и (или) объему 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гарантий качества товара, работы, услуги</w:t>
            </w:r>
          </w:p>
        </w:tc>
        <w:tc>
          <w:tcPr>
            <w:tcW w:w="7088" w:type="dxa"/>
            <w:vAlign w:val="center"/>
          </w:tcPr>
          <w:p w14:paraId="22AE17BD" w14:textId="77777777" w:rsidR="00397E10" w:rsidRDefault="00397E10" w:rsidP="00397E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Заказчик в случае дефектов и недостатков в течении гарантийного срока письменно уведомляет Поставщика обо всех претензиях, связанных с данным гарантийным обязательством.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Pr="0039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получения такого уведомления Поставщик в течении 5 (пяти) рабочих дней проводит замену бракованных товаров или их части расходов со стороны Заказчика.</w:t>
            </w:r>
          </w:p>
          <w:p w14:paraId="5A092575" w14:textId="792BDC44" w:rsidR="00A32BC0" w:rsidRPr="00397E10" w:rsidRDefault="00397E10" w:rsidP="00397E1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срок на товар составляет 12 (Двенадцать) месяцев с момента передачи товара получателю.</w:t>
            </w:r>
          </w:p>
        </w:tc>
      </w:tr>
      <w:tr w:rsidR="00A32BC0" w14:paraId="66286751" w14:textId="77777777" w:rsidTr="00522781">
        <w:tc>
          <w:tcPr>
            <w:tcW w:w="567" w:type="dxa"/>
          </w:tcPr>
          <w:p w14:paraId="0E5D0D32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22CFDD28" w14:textId="648186C7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товара, выполнения работы, оказания услуги.</w:t>
            </w:r>
          </w:p>
        </w:tc>
        <w:tc>
          <w:tcPr>
            <w:tcW w:w="7088" w:type="dxa"/>
            <w:vAlign w:val="center"/>
          </w:tcPr>
          <w:p w14:paraId="1B63FE88" w14:textId="258616B8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5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Крым, г. Симферополь, </w:t>
            </w:r>
            <w:r w:rsidR="001D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Элеваторный</w:t>
            </w:r>
            <w:r w:rsidR="00FA4068" w:rsidRPr="00F05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4.</w:t>
            </w:r>
          </w:p>
        </w:tc>
      </w:tr>
      <w:tr w:rsidR="00A32BC0" w14:paraId="6CBBEB11" w14:textId="77777777" w:rsidTr="00522781">
        <w:tc>
          <w:tcPr>
            <w:tcW w:w="567" w:type="dxa"/>
          </w:tcPr>
          <w:p w14:paraId="0D631676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2D6172C7" w14:textId="571BA996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приемки заказчиком товара (работ, услуг)</w:t>
            </w:r>
          </w:p>
        </w:tc>
        <w:tc>
          <w:tcPr>
            <w:tcW w:w="7088" w:type="dxa"/>
            <w:vAlign w:val="center"/>
          </w:tcPr>
          <w:p w14:paraId="3E9CC0A5" w14:textId="6DF68F5A" w:rsidR="006F0EB0" w:rsidRDefault="00A32BC0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в течение 10 (десяти) рабочих дней со дня получения документов </w:t>
            </w:r>
            <w:r w:rsidRPr="00FD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Поставщика счета и (или) счета-фактуры, Товарной накладной или УПД (универсального передаточного документа), оформленных в соответствии с действующим законодательством, проводит приемку Товара по количеству и качеству и возвращает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Поставщику подписанную</w:t>
            </w:r>
            <w:r w:rsidRPr="003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Товарную накладную или УПД (универсальный передаточный</w:t>
            </w:r>
            <w:r w:rsidRPr="00FD4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документ)</w:t>
            </w:r>
            <w:r w:rsidRPr="003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мотивированный </w:t>
            </w:r>
            <w:r w:rsidRPr="0031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его приема с изложением причин отказа и выявленных недостатков.</w:t>
            </w:r>
          </w:p>
          <w:p w14:paraId="0E7D01D4" w14:textId="70C01837" w:rsidR="006F0EB0" w:rsidRPr="006F0EB0" w:rsidRDefault="006F0EB0" w:rsidP="006F0EB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0E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Заказчик вправе принять решение об одностороннем отказе от исполнения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онтракта по истечении 10 (десяти</w:t>
            </w:r>
            <w:r w:rsidRPr="006F0E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календарных </w:t>
            </w:r>
            <w:r w:rsidRPr="006F0E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дней после наступления срока поставки Товаров в случае не поставки части Товаров,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арушения срока поставки Товаров,</w:t>
            </w:r>
            <w:r w:rsidRPr="006F0E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установления экспертизой факта поставки Товара ненадлежащего качества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2BC0" w14:paraId="14194388" w14:textId="77777777" w:rsidTr="00522781">
        <w:tc>
          <w:tcPr>
            <w:tcW w:w="567" w:type="dxa"/>
          </w:tcPr>
          <w:p w14:paraId="2C45A539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06E04EE2" w14:textId="1D6DBD58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 товара, выполнения работы, оказания услуги</w:t>
            </w:r>
          </w:p>
        </w:tc>
        <w:tc>
          <w:tcPr>
            <w:tcW w:w="7088" w:type="dxa"/>
            <w:vAlign w:val="center"/>
          </w:tcPr>
          <w:p w14:paraId="567C60C9" w14:textId="77777777" w:rsidR="00A32BC0" w:rsidRDefault="00A32BC0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за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(три) рабочих дня уведомляет Заказчика о поставке Товара. </w:t>
            </w:r>
            <w:r w:rsidRPr="0030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Товара осуществляются в рабочие 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 понедельника по пятницу с 10.00 ч. до 16</w:t>
            </w:r>
            <w:r w:rsidRPr="0030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 ч., (время местное). Дата и время поставки Товара согласовывается с Заказчиком.</w:t>
            </w:r>
          </w:p>
          <w:p w14:paraId="12A61A73" w14:textId="66DB27BC" w:rsidR="007B2B72" w:rsidRDefault="007B2B72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осуществляется единовременно с комплектом документов на каждую партию указанную в </w:t>
            </w:r>
            <w:r w:rsidRPr="007B2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Приложении № 1 к Техническому заданию «Спецификация»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63ED90A" w14:textId="225D0D7D" w:rsidR="007B2B72" w:rsidRDefault="007B2B72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партия упаковывается Поставщиком отдельно с указанием партии на транспортной упаковке.</w:t>
            </w:r>
          </w:p>
        </w:tc>
      </w:tr>
      <w:tr w:rsidR="00A32BC0" w14:paraId="470D23B9" w14:textId="77777777" w:rsidTr="00522781">
        <w:tc>
          <w:tcPr>
            <w:tcW w:w="567" w:type="dxa"/>
          </w:tcPr>
          <w:p w14:paraId="54C2552B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3E4A47BC" w14:textId="72B24BFE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поставки товара, выполнения работы, оказания услуги</w:t>
            </w:r>
          </w:p>
        </w:tc>
        <w:tc>
          <w:tcPr>
            <w:tcW w:w="7088" w:type="dxa"/>
            <w:vAlign w:val="center"/>
          </w:tcPr>
          <w:p w14:paraId="42AECD77" w14:textId="7C50C234" w:rsidR="00A32BC0" w:rsidRDefault="00397E1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32B15" w:rsidRP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(пятнад</w:t>
            </w:r>
            <w:r w:rsidR="00EB51FA" w:rsidRP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цати)</w:t>
            </w:r>
            <w:r w:rsidRP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дней с</w:t>
            </w:r>
            <w:r w:rsidR="00EB51FA" w:rsidRP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момента </w:t>
            </w:r>
            <w:r w:rsid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</w:t>
            </w:r>
            <w:r w:rsidR="00EB51FA" w:rsidRPr="00F05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  <w:r w:rsidR="00EB5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2BC0" w14:paraId="26D4D758" w14:textId="77777777" w:rsidTr="00522781">
        <w:tc>
          <w:tcPr>
            <w:tcW w:w="567" w:type="dxa"/>
          </w:tcPr>
          <w:p w14:paraId="280077FE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35081D19" w14:textId="30F58048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включенных (невключенных) в цену товара, работы, услуги расходах, в том числе на перевозку, страхование, уплату таможенных пошлин, налогов, сборов</w:t>
            </w:r>
          </w:p>
        </w:tc>
        <w:tc>
          <w:tcPr>
            <w:tcW w:w="7088" w:type="dxa"/>
            <w:vAlign w:val="center"/>
          </w:tcPr>
          <w:p w14:paraId="1351090C" w14:textId="554718D4" w:rsidR="00A32BC0" w:rsidRDefault="00A32BC0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Цена включает все расходы, связанные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поставкой Товара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том числе стоимость всех необходимых материалов, оборудования, транспортных расходов,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страхование, уплату таможенных пошлин, налогов, сборов и других обязательных платежей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законодательством Российской Федерации.</w:t>
            </w:r>
          </w:p>
        </w:tc>
      </w:tr>
      <w:tr w:rsidR="00A32BC0" w14:paraId="4F4234F7" w14:textId="77777777" w:rsidTr="00522781">
        <w:tc>
          <w:tcPr>
            <w:tcW w:w="567" w:type="dxa"/>
          </w:tcPr>
          <w:p w14:paraId="6A2AE78C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0B01E504" w14:textId="23907295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иным показателям, связанным с определением соответствия поставки товаров, выполнения работ, оказания услуг </w:t>
            </w:r>
          </w:p>
        </w:tc>
        <w:tc>
          <w:tcPr>
            <w:tcW w:w="7088" w:type="dxa"/>
            <w:vAlign w:val="center"/>
          </w:tcPr>
          <w:p w14:paraId="62BB874B" w14:textId="6353C719" w:rsidR="00F848A2" w:rsidRDefault="00A87105" w:rsidP="00F848A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обязан поставить Заказчику Товары, соответствующие по качеству действующим нормам, ГОСТ Российской Федерации. В случае, если поставляемые Товары включены в Единый перечень продукции, подлежащей обязательной сертификации или подтверждение соответствия которой осуществляется в форме принятия декларации о соответствии, установленный Правительством Российской Федерации, совместно с Товарами Поставщиком предоставляются сертификаты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регистрационные удостоверения</w:t>
            </w:r>
            <w:r w:rsidRPr="00A8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(декларации о соответствии). </w:t>
            </w:r>
          </w:p>
        </w:tc>
      </w:tr>
      <w:tr w:rsidR="00A32BC0" w14:paraId="259665BA" w14:textId="77777777" w:rsidTr="00522781">
        <w:tc>
          <w:tcPr>
            <w:tcW w:w="567" w:type="dxa"/>
          </w:tcPr>
          <w:p w14:paraId="551CFDA5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43B87DE" w14:textId="4872795E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сроках оплаты товара, работы и услуги</w:t>
            </w:r>
          </w:p>
        </w:tc>
        <w:tc>
          <w:tcPr>
            <w:tcW w:w="7088" w:type="dxa"/>
            <w:vAlign w:val="center"/>
          </w:tcPr>
          <w:p w14:paraId="0AD84331" w14:textId="241167CC" w:rsidR="00A32BC0" w:rsidRDefault="00A32BC0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Контракту осуществляется Заказчиком единовременно по факту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поставки Заказчику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основании счета и (или) счета-фактуры,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Товарной накладной или УПД (</w:t>
            </w:r>
            <w:r w:rsidRPr="00314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универсального передаточного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оформленных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действующим законодательством, в течение </w:t>
            </w:r>
            <w:r w:rsidR="00A8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A87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рабочих дней после принятия Заказчиком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перечисления Заказчиком денежных средств на расчетный счет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Поставщика</w:t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32BC0" w14:paraId="4531A295" w14:textId="77777777" w:rsidTr="00522781">
        <w:tc>
          <w:tcPr>
            <w:tcW w:w="567" w:type="dxa"/>
          </w:tcPr>
          <w:p w14:paraId="16EBCEA4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6F631A81" w14:textId="21777AE4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контракта</w:t>
            </w:r>
          </w:p>
        </w:tc>
        <w:tc>
          <w:tcPr>
            <w:tcW w:w="7088" w:type="dxa"/>
            <w:vAlign w:val="center"/>
          </w:tcPr>
          <w:p w14:paraId="47FCB828" w14:textId="2BE0E2BB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25.12.202</w:t>
            </w:r>
            <w:r w:rsidR="002B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32BC0" w14:paraId="3DF5F61C" w14:textId="77777777" w:rsidTr="00522781">
        <w:tc>
          <w:tcPr>
            <w:tcW w:w="567" w:type="dxa"/>
          </w:tcPr>
          <w:p w14:paraId="7BA0B95C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FF3EA3E" w14:textId="768E7CFB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Форс-мажорные обстоятельства</w:t>
            </w:r>
          </w:p>
        </w:tc>
        <w:tc>
          <w:tcPr>
            <w:tcW w:w="7088" w:type="dxa"/>
            <w:vAlign w:val="center"/>
          </w:tcPr>
          <w:p w14:paraId="535DA749" w14:textId="77777777" w:rsidR="00A32BC0" w:rsidRPr="00527DF3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1. 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на исполнение Контракта.</w:t>
            </w:r>
          </w:p>
          <w:p w14:paraId="4AE79055" w14:textId="77777777" w:rsidR="00A32BC0" w:rsidRPr="00527DF3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2. Сторона, для которой создалась невозможность выполнения обязательств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Контракту, обязана немедленно (в течение 3 (трех) дней) известить другую сторону                    о наступлении и прекращении вышеуказанных обстоятельств. Несвоевременное извещение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об этих обстоятельствах лишает, соответствующую сторону права ссылается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на 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будущем. </w:t>
            </w:r>
          </w:p>
          <w:p w14:paraId="75DD86BE" w14:textId="3BC85290" w:rsidR="00A32BC0" w:rsidRPr="00527DF3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3. Обязанность доказать наличие обстоятельств непреодолимой силы лежит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Стороне Контракта,</w:t>
            </w:r>
            <w:r w:rsidR="000D0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выполнившей с</w:t>
            </w:r>
            <w:r w:rsidR="000D0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вои обязательства по Контракту. </w:t>
            </w: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Доказательством наличия вышеуказанных обстоятельств и их продолжительности будут служить документы уполномоченного органа, выдающего документы о подтверждении обстоятельств непреодолимой силы.</w:t>
            </w:r>
          </w:p>
          <w:p w14:paraId="2B6E350D" w14:textId="4E872F64" w:rsidR="00A32BC0" w:rsidRDefault="00A32BC0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7DF3">
              <w:rPr>
                <w:rFonts w:ascii="Times New Roman" w:eastAsia="Times New Roman" w:hAnsi="Times New Roman" w:cs="Times New Roman"/>
                <w:sz w:val="24"/>
                <w:szCs w:val="24"/>
              </w:rPr>
              <w:t>4. 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      </w:r>
          </w:p>
        </w:tc>
      </w:tr>
      <w:tr w:rsidR="00A32BC0" w14:paraId="6F244D49" w14:textId="77777777" w:rsidTr="00522781">
        <w:tc>
          <w:tcPr>
            <w:tcW w:w="567" w:type="dxa"/>
          </w:tcPr>
          <w:p w14:paraId="1502FEC5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2EF4759A" w14:textId="3331FFA6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сторон</w:t>
            </w:r>
          </w:p>
        </w:tc>
        <w:tc>
          <w:tcPr>
            <w:tcW w:w="7088" w:type="dxa"/>
            <w:vAlign w:val="center"/>
          </w:tcPr>
          <w:p w14:paraId="2029417F" w14:textId="77777777" w:rsidR="00A32BC0" w:rsidRPr="00A179DC" w:rsidRDefault="00A32BC0" w:rsidP="000D0754">
            <w:pPr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</w:t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30.08.2017 № 1042 «Об утверждении Правил определения размера штрафа, начисляемого в случае ненадлежащего исполнения заказчиком, неисполнения                                  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и размера пени, начисляемой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2017г. № 570 и признании утратившим силу постановления Правительства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от 25 ноября 2013г. № 1063».</w:t>
            </w:r>
          </w:p>
          <w:p w14:paraId="69C275D5" w14:textId="77777777" w:rsidR="00A32BC0" w:rsidRDefault="00A32BC0" w:rsidP="000D075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 Возмещение ущерба, убытков и уплата штрафов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и пеней не освобождает виновную Сторону от выполнения своих обязательств по настоящему Контракту.</w:t>
            </w:r>
          </w:p>
          <w:p w14:paraId="642F5E45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</w:rPr>
              <w:t>3. В случае просрочки исполнения Государственным заказчиком обязательств, предусмотренных контрактом,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а также в иных случаях неисполнения или ненадлежащего исполнения заказчиком обязательств, предусмотренных контрактом, поставщик (подрядчик, исполнитель) вправе потребовать уплаты неустоек (штрафов, пеней).</w:t>
            </w:r>
          </w:p>
          <w:p w14:paraId="08405A81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</w:rPr>
      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от не уплаченной в срок суммы.</w:t>
            </w:r>
          </w:p>
          <w:p w14:paraId="27DCCDBF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79DC">
              <w:rPr>
                <w:rFonts w:ascii="Times New Roman" w:eastAsia="Calibri" w:hAnsi="Times New Roman" w:cs="Times New Roman"/>
                <w:sz w:val="24"/>
              </w:rPr>
              <w:t>4. 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179DC">
              <w:rPr>
                <w:rFonts w:ascii="Times New Roman" w:eastAsia="Calibri" w:hAnsi="Times New Roman" w:cs="Times New Roman"/>
                <w:sz w:val="24"/>
              </w:rPr>
              <w:t>в виде фиксированной суммы.</w:t>
            </w:r>
          </w:p>
          <w:p w14:paraId="5CCDEBC8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</w:rPr>
              <w:t>За каждый факт неисполнения Государственным заказчиком обязательств, предусмотренных контрактом,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за исключением просрочки исполнения обязательств, размер штрафа устанавливается в виде фиксированной суммы: 1 000,00 (одна тысяча) рублей 00 коп.</w:t>
            </w:r>
          </w:p>
          <w:p w14:paraId="62DB37DD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A179DC">
              <w:rPr>
                <w:rFonts w:ascii="Times New Roman" w:eastAsia="Calibri" w:hAnsi="Times New Roman" w:cs="Times New Roman"/>
                <w:sz w:val="24"/>
              </w:rPr>
              <w:t>. 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                    а также в иных случаях неисполнения или ненадлежащего исполнения поставщиком (подрядчиком, исполнителем) обязательств, предусмотренных контрактом, Государственный заказчик направляет поставщику (подрядчику, исполнителю) требование об уплате неустоек (штрафов, пеней).</w:t>
            </w:r>
          </w:p>
          <w:p w14:paraId="0EFAFBD2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79DC">
              <w:rPr>
                <w:rFonts w:ascii="Times New Roman" w:eastAsia="Calibri" w:hAnsi="Times New Roman" w:cs="Times New Roman"/>
                <w:sz w:val="24"/>
              </w:rPr>
              <w:t>6. 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                на сумму, пропорциональную объему обязательств, предусмотренных контрактом и фактически исполненных поставщиком (подрядчиком, исполнителем).</w:t>
            </w:r>
          </w:p>
          <w:p w14:paraId="4D9B554B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79DC">
              <w:rPr>
                <w:rFonts w:ascii="Times New Roman" w:eastAsia="Calibri" w:hAnsi="Times New Roman" w:cs="Times New Roman"/>
                <w:sz w:val="24"/>
              </w:rPr>
              <w:t>7. 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 – 10 процентов цены контракта (этапа) в случае, если цена контракта (этапа) не превышает 3 млн. рублей.</w:t>
            </w:r>
          </w:p>
          <w:p w14:paraId="5B240C50" w14:textId="77777777" w:rsidR="00A32BC0" w:rsidRPr="00A179DC" w:rsidRDefault="00A32BC0" w:rsidP="000D075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179DC">
              <w:rPr>
                <w:rFonts w:ascii="Times New Roman" w:eastAsia="Calibri" w:hAnsi="Times New Roman" w:cs="Times New Roman"/>
                <w:sz w:val="24"/>
              </w:rPr>
              <w:lastRenderedPageBreak/>
              <w:t>8. При расторжении Контракта в связи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</w:r>
            <w:r w:rsidRPr="00A179DC">
              <w:rPr>
                <w:rFonts w:ascii="Times New Roman" w:eastAsia="Calibri" w:hAnsi="Times New Roman" w:cs="Times New Roman"/>
                <w:sz w:val="24"/>
              </w:rPr>
              <w:t>с односторонним отказом стороны Контракта</w:t>
            </w:r>
            <w:r w:rsidRPr="00A179DC">
              <w:rPr>
                <w:rFonts w:ascii="Times New Roman" w:eastAsia="Calibri" w:hAnsi="Times New Roman" w:cs="Times New Roman"/>
                <w:sz w:val="24"/>
              </w:rPr>
              <w:br/>
      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</w:r>
            <w:r w:rsidRPr="00A179DC">
              <w:rPr>
                <w:rFonts w:ascii="Times New Roman" w:eastAsia="Calibri" w:hAnsi="Times New Roman" w:cs="Times New Roman"/>
                <w:sz w:val="24"/>
              </w:rPr>
              <w:t>об одностороннем отказе от исполнения Контракта.</w:t>
            </w:r>
          </w:p>
          <w:p w14:paraId="10F952C0" w14:textId="77777777" w:rsidR="00A32BC0" w:rsidRPr="00A179DC" w:rsidRDefault="00A32BC0" w:rsidP="000D0754">
            <w:pPr>
              <w:widowControl w:val="0"/>
              <w:tabs>
                <w:tab w:val="left" w:pos="1038"/>
              </w:tabs>
              <w:suppressAutoHyphens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</w:rPr>
              <w:t>9. Сторона освобождается от уплаты неустойки (штрафа, пени) если докажет,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</w:rPr>
      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47E842A0" w14:textId="77777777" w:rsidR="00A32BC0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</w:rPr>
              <w:t>10. Вред, причиненный третьим лицам по вине поставщика (подрядчика, исполнителя) при исполнении обязательств по Контракту, возмещается за его счет.</w:t>
            </w:r>
          </w:p>
          <w:p w14:paraId="3450DAC7" w14:textId="77777777" w:rsidR="00A32BC0" w:rsidRDefault="00A32BC0" w:rsidP="000D075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E2BFF">
              <w:rPr>
                <w:rFonts w:ascii="Times New Roman" w:eastAsia="Calibri" w:hAnsi="Times New Roman" w:cs="Times New Roman"/>
                <w:sz w:val="24"/>
              </w:rPr>
              <w:t>11.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</w:t>
            </w:r>
            <w:r w:rsidRPr="006E2BFF">
              <w:rPr>
                <w:rFonts w:ascii="Times New Roman" w:eastAsia="Calibri" w:hAnsi="Times New Roman" w:cs="Times New Roman"/>
                <w:sz w:val="24"/>
              </w:rPr>
              <w:br/>
              <w:t>не имеет стоимостного выражения, размер штрафа устанавливается (при наличии в контракте таких обязательств) 1000 рублей, если цена контракта не превышает 3 млн. рублей.</w:t>
            </w:r>
          </w:p>
          <w:p w14:paraId="73506AF6" w14:textId="77777777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BC0" w14:paraId="7D098D79" w14:textId="77777777" w:rsidTr="00522781">
        <w:tc>
          <w:tcPr>
            <w:tcW w:w="567" w:type="dxa"/>
          </w:tcPr>
          <w:p w14:paraId="0AFF86F5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07E91509" w14:textId="1CE5D84A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разрешения споров</w:t>
            </w:r>
          </w:p>
        </w:tc>
        <w:tc>
          <w:tcPr>
            <w:tcW w:w="7088" w:type="dxa"/>
            <w:vAlign w:val="center"/>
          </w:tcPr>
          <w:p w14:paraId="38A75A1D" w14:textId="0F1422F3" w:rsidR="00A32BC0" w:rsidRPr="00527DF3" w:rsidRDefault="00A32BC0" w:rsidP="000D0754">
            <w:pPr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в рамках Контракта.</w:t>
            </w:r>
          </w:p>
          <w:p w14:paraId="0738CC1A" w14:textId="77777777" w:rsidR="00A32BC0" w:rsidRPr="00527DF3" w:rsidRDefault="00A32BC0" w:rsidP="000D0754">
            <w:pPr>
              <w:ind w:firstLine="7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27DF3">
              <w:rPr>
                <w:rFonts w:ascii="Times New Roman" w:eastAsia="Times New Roman" w:hAnsi="Times New Roman" w:cs="Times New Roman"/>
                <w:sz w:val="24"/>
              </w:rPr>
              <w:t>2. Любые споры, разногласия и требования, возникающие из Контракта, решаются Сторонами путем переговоров. При невозможности достижения соглашения сторон споры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и разногласия, возникающие при исполнении Контракта, подлежат разрешению в Арбитражном суде Республики Крым в порядке, предусмотренном действующим законодательством Российской Федерации.</w:t>
            </w:r>
          </w:p>
          <w:p w14:paraId="13D8BE4F" w14:textId="28FAB273" w:rsidR="00A32BC0" w:rsidRDefault="00A32BC0" w:rsidP="000D0754">
            <w:pPr>
              <w:spacing w:line="0" w:lineRule="atLeast"/>
              <w:ind w:firstLine="7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7DF3">
              <w:rPr>
                <w:rFonts w:ascii="Times New Roman" w:eastAsia="Times New Roman" w:hAnsi="Times New Roman" w:cs="Times New Roman"/>
                <w:sz w:val="24"/>
              </w:rPr>
              <w:t>3. Досудебный порядок урегулирования споров, предусматривающий направление претензии контрагенту, является обязательным. Все возможные претензии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по Контракту должны быть направлены в адрес недобросовестной Стороны в течении 20 (двадцати) календарных дней со дня просрочки исполнения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ее обязательств по Контракту или с момента обнаружения фактов ненадлежащего исполнения ею обязательств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по Контракту. Претензии по качеству работ могут быть заявлены в течении всего гарантийного срока. Сторона, которой предъявлена претензия, обязана рассмотреть такую претензию в течении 15 (пятнадцати) календарных дней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527DF3">
              <w:rPr>
                <w:rFonts w:ascii="Times New Roman" w:eastAsia="Times New Roman" w:hAnsi="Times New Roman" w:cs="Times New Roman"/>
                <w:sz w:val="24"/>
              </w:rPr>
              <w:t>с момента ее получения и сообщить о своем решении другой Стороне путем направления ответа в письменной форме.</w:t>
            </w:r>
          </w:p>
        </w:tc>
      </w:tr>
      <w:tr w:rsidR="00A32BC0" w14:paraId="119466AC" w14:textId="77777777" w:rsidTr="00522781">
        <w:tc>
          <w:tcPr>
            <w:tcW w:w="567" w:type="dxa"/>
          </w:tcPr>
          <w:p w14:paraId="73A9B506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509292ED" w14:textId="349CB7AD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возможности и случаях одностороннего расторжения сделки в соответствии с действующим </w:t>
            </w:r>
            <w:r w:rsidRPr="00A17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законодательством Российской Федерации</w:t>
            </w:r>
          </w:p>
        </w:tc>
        <w:tc>
          <w:tcPr>
            <w:tcW w:w="7088" w:type="dxa"/>
            <w:vAlign w:val="center"/>
          </w:tcPr>
          <w:p w14:paraId="7B3F2FC7" w14:textId="77777777" w:rsidR="00A32BC0" w:rsidRPr="002F1C59" w:rsidRDefault="00A32BC0" w:rsidP="000D0754">
            <w:pPr>
              <w:pStyle w:val="a5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right="20" w:firstLine="70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1C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законодательством, при этом, со стороны Заказчика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2F1C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ообщение о расторжении контракта в одностороннем порядке считается надлежаще направленным заказчиком посредством </w:t>
            </w:r>
            <w:r w:rsidRPr="002F1C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использования функционала </w:t>
            </w:r>
            <w:r w:rsidRPr="002536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единой информационной систем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ы</w:t>
            </w:r>
            <w:r w:rsidRPr="002536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(далее – </w:t>
            </w:r>
            <w:r w:rsidRPr="002F1C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2F1C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личный кабинет поставщика (исполнителя) по контракту на ЕАТ.</w:t>
            </w:r>
          </w:p>
          <w:p w14:paraId="4218CD85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2. Расторжение Контракта по соглашению Сторон совершается в письменной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Pr="0025364E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использования функционала ЕАТ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возможно в случае наступления условий, при которых для одной из Сторон или обеих Сторон дальнейшее исполнение обязательств по Контракту не возможно, либо возникает нецелесообразность исполнения Контракта. </w:t>
            </w:r>
          </w:p>
          <w:p w14:paraId="4C913444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3. В случае расторжения Контракта по соглашению сторон, Стороны осуществляют сверку взаимных расчетов (обязательств) и проведение</w:t>
            </w:r>
            <w:r w:rsidRPr="00A179D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окончательных расчетов                                    за фактически исполненные обязательства по Контракту. </w:t>
            </w:r>
          </w:p>
          <w:p w14:paraId="798F0372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Контракт. </w:t>
            </w:r>
          </w:p>
          <w:p w14:paraId="7E841815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Заказчик вправе принять решение об одностороннем отказе от исполнения Контракта. До принятия такого решения Заказчик вправе провести экспертизу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поставленного Товара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привлечением экспертов, экспертных организаций,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уполномоченных представителей Исполнителя. </w:t>
            </w:r>
          </w:p>
          <w:p w14:paraId="2C9CDE95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 Если Заказчиком проведена экспертиза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поставленного Товара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поставленного Товара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      </w:r>
          </w:p>
          <w:p w14:paraId="1913C4D6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7. Решение Заказчика об одностороннем отказе от исполнения Контракта в течение одного рабочего дня, следующего за датой принятия указанного решения, размещается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ЕАТ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364E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считается надлежаще направленным заказчиком посредством использования функционала ЕАТ в личный кабинет поставщика (исполнителя) по контракту на ЕАТ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Заказчиком вышеуказанных требований считается надлежащим уведомлением </w:t>
            </w:r>
            <w:r w:rsidRPr="0025364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поставщика (исполнителя)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одностороннем отказе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исполнения Контракта. Датой такого надлежащего уведомления признается дата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</w:t>
            </w:r>
            <w:r w:rsidRPr="0025364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одностороннем отказе от исполнения контракта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ЕАТ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72FCE4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8. Решение Заказчика об одностороннем отказе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от исполнения Контракта вступает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силу и Контракт считается расторгнутым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календарных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направления заказчиком сообщения в личный кабинет поставщика (исполнителя) об одностороннем отказе от исполнения контракта.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5C84AE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 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      </w:r>
            <w:r w:rsidRPr="00253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поставщика (исполнителя)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принятом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применяется в случае повторного нарушения </w:t>
            </w:r>
            <w:r w:rsidRPr="002536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поставщика (исполнителя)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 Контракта, которые 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с гражданским законодательством являются основанием для одностороннего отказа Заказчика от исполнения Контракта.</w:t>
            </w:r>
          </w:p>
          <w:p w14:paraId="0C5AD67D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 Заказчик принимает решение об одностороннем отказе от исполнения Контракта, если в ходе исполнения Контракта будет установлено,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 (исполнитель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ему стать победителем определения исполнителя. </w:t>
            </w:r>
          </w:p>
          <w:p w14:paraId="13E333A2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оставщик (исполнител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вправе принять 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одностороннем отказе от исполнения Контракта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гражданским законодательством. Такое решение в течение одного рабочего дня, следующего за датой его принятия,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сполнителя) по контракту на ЕАТ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Выполнение Исполнителем вышеуказанных требований считается надлежащим уведомлением Заказчика об одностороннем отказе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исполнения Контракта. Датой такого надлежащего уведомления признается дата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 с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ообщение о расторжении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ЕАТ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408680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Решение 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поставщика (исполнителя)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одностороннем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исполнения Контракта вступает в силу и Контракт считается расторгнутым 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(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календарных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 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даты направления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поставщиком (исполнителем</w:t>
            </w:r>
            <w:r w:rsidRPr="008D35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сообщения в личный 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Заказчика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стороннем отказе от исполнения К</w:t>
            </w:r>
            <w:r w:rsidRPr="002431C4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онтракта.</w:t>
            </w:r>
          </w:p>
          <w:p w14:paraId="5C749C43" w14:textId="77777777" w:rsidR="00A32BC0" w:rsidRPr="00A179DC" w:rsidRDefault="00A32BC0" w:rsidP="000D0754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 (исполнитель</w:t>
            </w:r>
            <w:r w:rsidRPr="008D35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 отменить не вступившее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одностороннем отказе от исполнения Контракта устранены нарушения условий Контракта, послужившие основанием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принятия указанного решения. </w:t>
            </w:r>
          </w:p>
          <w:p w14:paraId="221B6F95" w14:textId="009BA649" w:rsidR="00A32BC0" w:rsidRDefault="00A32BC0" w:rsidP="000D075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. При расторжении Контракта в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7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одностороннем отказе от исполнения Контракта. </w:t>
            </w:r>
          </w:p>
        </w:tc>
      </w:tr>
      <w:tr w:rsidR="00A32BC0" w14:paraId="6870119C" w14:textId="77777777" w:rsidTr="00522781">
        <w:tc>
          <w:tcPr>
            <w:tcW w:w="567" w:type="dxa"/>
          </w:tcPr>
          <w:p w14:paraId="7EEE16A5" w14:textId="77777777" w:rsidR="00A32BC0" w:rsidRPr="00A32BC0" w:rsidRDefault="00A32BC0" w:rsidP="00A32BC0">
            <w:pPr>
              <w:pStyle w:val="a5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14:paraId="0EE7BE71" w14:textId="6E47003B" w:rsidR="00A32BC0" w:rsidRDefault="00A32BC0" w:rsidP="000D0754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7088" w:type="dxa"/>
            <w:vAlign w:val="center"/>
          </w:tcPr>
          <w:p w14:paraId="6B81AA53" w14:textId="34E0BCBD" w:rsidR="00A32BC0" w:rsidRDefault="00A32BC0" w:rsidP="00E1396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пунктом 4 части 1 статьи 93 Федерального закона от 05.04.2013 № 44-ФЗ «О контрактной системе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9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закупок товаров, работ, услуг для обеспечения государственных и муниципальных нужд»</w:t>
            </w:r>
          </w:p>
        </w:tc>
      </w:tr>
    </w:tbl>
    <w:p w14:paraId="7C9C6407" w14:textId="77777777" w:rsidR="00A32BC0" w:rsidRDefault="00A32BC0" w:rsidP="00D544A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32BC0" w:rsidSect="00FA07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B5585" w14:textId="77777777" w:rsidR="00782FFB" w:rsidRDefault="00782FFB" w:rsidP="00343FDD">
      <w:pPr>
        <w:spacing w:after="0" w:line="240" w:lineRule="auto"/>
      </w:pPr>
      <w:r>
        <w:separator/>
      </w:r>
    </w:p>
  </w:endnote>
  <w:endnote w:type="continuationSeparator" w:id="0">
    <w:p w14:paraId="7B54FE5E" w14:textId="77777777" w:rsidR="00782FFB" w:rsidRDefault="00782FFB" w:rsidP="0034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A2EF3" w14:textId="77777777" w:rsidR="00782FFB" w:rsidRDefault="00782FFB" w:rsidP="00343FDD">
      <w:pPr>
        <w:spacing w:after="0" w:line="240" w:lineRule="auto"/>
      </w:pPr>
      <w:r>
        <w:separator/>
      </w:r>
    </w:p>
  </w:footnote>
  <w:footnote w:type="continuationSeparator" w:id="0">
    <w:p w14:paraId="5E40C97B" w14:textId="77777777" w:rsidR="00782FFB" w:rsidRDefault="00782FFB" w:rsidP="0034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539D"/>
    <w:multiLevelType w:val="hybridMultilevel"/>
    <w:tmpl w:val="0660E71A"/>
    <w:lvl w:ilvl="0" w:tplc="BBF67C38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733C4"/>
    <w:multiLevelType w:val="hybridMultilevel"/>
    <w:tmpl w:val="57ACF7B2"/>
    <w:lvl w:ilvl="0" w:tplc="BBF67C38">
      <w:start w:val="1"/>
      <w:numFmt w:val="decimal"/>
      <w:lvlText w:val="%1."/>
      <w:lvlJc w:val="left"/>
      <w:pPr>
        <w:ind w:left="94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0393C49"/>
    <w:multiLevelType w:val="hybridMultilevel"/>
    <w:tmpl w:val="F37A2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D6DB8"/>
    <w:multiLevelType w:val="hybridMultilevel"/>
    <w:tmpl w:val="D2C0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C7701"/>
    <w:multiLevelType w:val="hybridMultilevel"/>
    <w:tmpl w:val="2384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E2C21"/>
    <w:multiLevelType w:val="hybridMultilevel"/>
    <w:tmpl w:val="65C47808"/>
    <w:lvl w:ilvl="0" w:tplc="A1105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8341B"/>
    <w:multiLevelType w:val="hybridMultilevel"/>
    <w:tmpl w:val="3F26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44F04"/>
    <w:multiLevelType w:val="hybridMultilevel"/>
    <w:tmpl w:val="135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BB"/>
    <w:rsid w:val="00037BBA"/>
    <w:rsid w:val="00055FE1"/>
    <w:rsid w:val="00072350"/>
    <w:rsid w:val="0007643D"/>
    <w:rsid w:val="00082FA8"/>
    <w:rsid w:val="00085557"/>
    <w:rsid w:val="00085E2F"/>
    <w:rsid w:val="00094CF0"/>
    <w:rsid w:val="000A3F7E"/>
    <w:rsid w:val="000B06F6"/>
    <w:rsid w:val="000B38E9"/>
    <w:rsid w:val="000B6507"/>
    <w:rsid w:val="000B77D6"/>
    <w:rsid w:val="000C291F"/>
    <w:rsid w:val="000D0754"/>
    <w:rsid w:val="000F225B"/>
    <w:rsid w:val="00100CE1"/>
    <w:rsid w:val="001268D8"/>
    <w:rsid w:val="00132B15"/>
    <w:rsid w:val="00141EB9"/>
    <w:rsid w:val="001572B1"/>
    <w:rsid w:val="00176487"/>
    <w:rsid w:val="00176C59"/>
    <w:rsid w:val="00192893"/>
    <w:rsid w:val="001D1209"/>
    <w:rsid w:val="002431C4"/>
    <w:rsid w:val="0024737C"/>
    <w:rsid w:val="0025364E"/>
    <w:rsid w:val="00256EE0"/>
    <w:rsid w:val="002635A6"/>
    <w:rsid w:val="0029751D"/>
    <w:rsid w:val="002B0F57"/>
    <w:rsid w:val="002B3A29"/>
    <w:rsid w:val="002C4B60"/>
    <w:rsid w:val="002F1C59"/>
    <w:rsid w:val="00300051"/>
    <w:rsid w:val="003079C0"/>
    <w:rsid w:val="00311C3B"/>
    <w:rsid w:val="003140F1"/>
    <w:rsid w:val="003262BC"/>
    <w:rsid w:val="00343FDD"/>
    <w:rsid w:val="00353C12"/>
    <w:rsid w:val="003602EF"/>
    <w:rsid w:val="003706D7"/>
    <w:rsid w:val="00390ECD"/>
    <w:rsid w:val="00391C34"/>
    <w:rsid w:val="00397E10"/>
    <w:rsid w:val="003A55C0"/>
    <w:rsid w:val="003E72DC"/>
    <w:rsid w:val="004008CA"/>
    <w:rsid w:val="00402F25"/>
    <w:rsid w:val="00413FD8"/>
    <w:rsid w:val="00432B81"/>
    <w:rsid w:val="0043784E"/>
    <w:rsid w:val="004451A2"/>
    <w:rsid w:val="00490478"/>
    <w:rsid w:val="00494409"/>
    <w:rsid w:val="004B56B0"/>
    <w:rsid w:val="004D13CB"/>
    <w:rsid w:val="004E1F59"/>
    <w:rsid w:val="004E4E3A"/>
    <w:rsid w:val="004F7CD8"/>
    <w:rsid w:val="00503C30"/>
    <w:rsid w:val="00522781"/>
    <w:rsid w:val="00527DF3"/>
    <w:rsid w:val="005428F5"/>
    <w:rsid w:val="00576887"/>
    <w:rsid w:val="005C0E60"/>
    <w:rsid w:val="005F7698"/>
    <w:rsid w:val="006167D3"/>
    <w:rsid w:val="00622049"/>
    <w:rsid w:val="00685897"/>
    <w:rsid w:val="00687F37"/>
    <w:rsid w:val="00693CF6"/>
    <w:rsid w:val="006A21D1"/>
    <w:rsid w:val="006E03AC"/>
    <w:rsid w:val="006E2BFF"/>
    <w:rsid w:val="006F0EB0"/>
    <w:rsid w:val="0070121D"/>
    <w:rsid w:val="0073559C"/>
    <w:rsid w:val="0073591C"/>
    <w:rsid w:val="007738D5"/>
    <w:rsid w:val="007741F0"/>
    <w:rsid w:val="00774505"/>
    <w:rsid w:val="00782FFB"/>
    <w:rsid w:val="007A621C"/>
    <w:rsid w:val="007B06AE"/>
    <w:rsid w:val="007B2B72"/>
    <w:rsid w:val="007D05A0"/>
    <w:rsid w:val="007E3B50"/>
    <w:rsid w:val="00816AF9"/>
    <w:rsid w:val="00844F85"/>
    <w:rsid w:val="00857DAA"/>
    <w:rsid w:val="00872368"/>
    <w:rsid w:val="008765B5"/>
    <w:rsid w:val="008A382B"/>
    <w:rsid w:val="008B09A3"/>
    <w:rsid w:val="008C187F"/>
    <w:rsid w:val="008D35EF"/>
    <w:rsid w:val="008E3179"/>
    <w:rsid w:val="008E7C06"/>
    <w:rsid w:val="00926713"/>
    <w:rsid w:val="009274B3"/>
    <w:rsid w:val="009479D5"/>
    <w:rsid w:val="00952EA2"/>
    <w:rsid w:val="00971463"/>
    <w:rsid w:val="00997C2E"/>
    <w:rsid w:val="009E0C35"/>
    <w:rsid w:val="00A179DC"/>
    <w:rsid w:val="00A32BC0"/>
    <w:rsid w:val="00A536FC"/>
    <w:rsid w:val="00A64699"/>
    <w:rsid w:val="00A72CA1"/>
    <w:rsid w:val="00A87105"/>
    <w:rsid w:val="00A9289A"/>
    <w:rsid w:val="00AA1262"/>
    <w:rsid w:val="00AC77B5"/>
    <w:rsid w:val="00AF7BF4"/>
    <w:rsid w:val="00B944D9"/>
    <w:rsid w:val="00BA135E"/>
    <w:rsid w:val="00BF567C"/>
    <w:rsid w:val="00C06E24"/>
    <w:rsid w:val="00C11C0B"/>
    <w:rsid w:val="00C201F4"/>
    <w:rsid w:val="00C24AB3"/>
    <w:rsid w:val="00C310F6"/>
    <w:rsid w:val="00C3490F"/>
    <w:rsid w:val="00C70F5F"/>
    <w:rsid w:val="00CB1F43"/>
    <w:rsid w:val="00CD2F04"/>
    <w:rsid w:val="00CE2D98"/>
    <w:rsid w:val="00CF659D"/>
    <w:rsid w:val="00CF7FF1"/>
    <w:rsid w:val="00D3423F"/>
    <w:rsid w:val="00D544AB"/>
    <w:rsid w:val="00DA0AA7"/>
    <w:rsid w:val="00DA4DE9"/>
    <w:rsid w:val="00DA4FCD"/>
    <w:rsid w:val="00DD2210"/>
    <w:rsid w:val="00DD6204"/>
    <w:rsid w:val="00DF7AC8"/>
    <w:rsid w:val="00E01532"/>
    <w:rsid w:val="00E1396C"/>
    <w:rsid w:val="00E14060"/>
    <w:rsid w:val="00E416CF"/>
    <w:rsid w:val="00E510E4"/>
    <w:rsid w:val="00E548A4"/>
    <w:rsid w:val="00E94FEC"/>
    <w:rsid w:val="00EB51FA"/>
    <w:rsid w:val="00F05A69"/>
    <w:rsid w:val="00F33234"/>
    <w:rsid w:val="00F649BB"/>
    <w:rsid w:val="00F83A20"/>
    <w:rsid w:val="00F8408B"/>
    <w:rsid w:val="00F848A2"/>
    <w:rsid w:val="00F87B72"/>
    <w:rsid w:val="00F95966"/>
    <w:rsid w:val="00FA07B2"/>
    <w:rsid w:val="00FA4068"/>
    <w:rsid w:val="00FC5324"/>
    <w:rsid w:val="00FC7BD2"/>
    <w:rsid w:val="00FD44F1"/>
    <w:rsid w:val="00FD5840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56A4"/>
  <w15:docId w15:val="{D3D98B65-E09D-4971-BF8F-C24503D5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1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18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4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3FDD"/>
  </w:style>
  <w:style w:type="paragraph" w:styleId="a8">
    <w:name w:val="footer"/>
    <w:basedOn w:val="a"/>
    <w:link w:val="a9"/>
    <w:uiPriority w:val="99"/>
    <w:semiHidden/>
    <w:unhideWhenUsed/>
    <w:rsid w:val="0034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3FDD"/>
  </w:style>
  <w:style w:type="table" w:styleId="aa">
    <w:name w:val="Table Grid"/>
    <w:basedOn w:val="a1"/>
    <w:uiPriority w:val="39"/>
    <w:rsid w:val="00A3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AF59C-7A40-4825-992E-6BAEF280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P-1018</dc:creator>
  <cp:lastModifiedBy>msch-91</cp:lastModifiedBy>
  <cp:revision>19</cp:revision>
  <cp:lastPrinted>2026-03-30T12:37:00Z</cp:lastPrinted>
  <dcterms:created xsi:type="dcterms:W3CDTF">2025-02-21T12:46:00Z</dcterms:created>
  <dcterms:modified xsi:type="dcterms:W3CDTF">2026-06-04T06:42:00Z</dcterms:modified>
</cp:coreProperties>
</file>