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06" w:rsidRDefault="003C5306" w:rsidP="00DE3359">
      <w:pPr>
        <w:jc w:val="center"/>
        <w:rPr>
          <w:sz w:val="23"/>
          <w:szCs w:val="23"/>
        </w:rPr>
      </w:pPr>
      <w:bookmarkStart w:id="0" w:name="_GoBack"/>
      <w:bookmarkEnd w:id="0"/>
      <w:r w:rsidRPr="00D82001">
        <w:rPr>
          <w:sz w:val="23"/>
          <w:szCs w:val="23"/>
        </w:rPr>
        <w:t>Техническое задание</w:t>
      </w:r>
    </w:p>
    <w:p w:rsidR="003C5306" w:rsidRPr="00D82001" w:rsidRDefault="003C5306" w:rsidP="003C5306">
      <w:pPr>
        <w:jc w:val="center"/>
        <w:rPr>
          <w:sz w:val="23"/>
          <w:szCs w:val="23"/>
        </w:rPr>
      </w:pPr>
    </w:p>
    <w:p w:rsidR="005D6E00" w:rsidRDefault="005D6E00" w:rsidP="005D6E00">
      <w:pPr>
        <w:jc w:val="center"/>
      </w:pPr>
      <w:r>
        <w:t xml:space="preserve">на оказание услуг </w:t>
      </w:r>
      <w:r w:rsidRPr="005D03BB">
        <w:t>по оформлению музейных предметов для</w:t>
      </w:r>
      <w:r>
        <w:t xml:space="preserve"> выставки </w:t>
      </w:r>
    </w:p>
    <w:p w:rsidR="005D6E00" w:rsidRDefault="005D6E00" w:rsidP="002A28ED">
      <w:pPr>
        <w:jc w:val="center"/>
        <w:rPr>
          <w:rFonts w:eastAsiaTheme="minorHAnsi"/>
          <w:b/>
          <w:bCs/>
          <w:lang w:eastAsia="en-US"/>
        </w:rPr>
      </w:pPr>
      <w:r w:rsidRPr="000D7D5A">
        <w:t>«</w:t>
      </w:r>
      <w:r w:rsidR="002A28ED" w:rsidRPr="00C04DF9">
        <w:rPr>
          <w:b/>
        </w:rPr>
        <w:t>ПОД ДРЕВОМ ПРОБУЖДЕНИЯ. Буддийское искусство тайских народов</w:t>
      </w:r>
      <w:r>
        <w:rPr>
          <w:rFonts w:eastAsiaTheme="minorHAnsi"/>
          <w:b/>
          <w:bCs/>
          <w:lang w:eastAsia="en-US"/>
        </w:rPr>
        <w:t>»</w:t>
      </w:r>
    </w:p>
    <w:p w:rsidR="009C6371" w:rsidRPr="001B0E82" w:rsidRDefault="009C6371" w:rsidP="005D6E00">
      <w:pPr>
        <w:pStyle w:val="Default"/>
        <w:jc w:val="center"/>
        <w:rPr>
          <w:rFonts w:eastAsia="Calibri"/>
          <w:sz w:val="23"/>
          <w:szCs w:val="23"/>
          <w:lang w:eastAsia="en-US"/>
        </w:rPr>
      </w:pPr>
    </w:p>
    <w:p w:rsidR="003C5306" w:rsidRPr="00D82001" w:rsidRDefault="0040742B" w:rsidP="00257E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1. Место оказания услуг</w:t>
      </w:r>
      <w:r w:rsidR="003C5306" w:rsidRPr="00D82001">
        <w:rPr>
          <w:b/>
          <w:bCs/>
          <w:sz w:val="23"/>
          <w:szCs w:val="23"/>
        </w:rPr>
        <w:t xml:space="preserve">: </w:t>
      </w:r>
    </w:p>
    <w:p w:rsidR="0040742B" w:rsidRPr="00946309" w:rsidRDefault="00DC6B59" w:rsidP="0094630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="003C5306" w:rsidRPr="00BF2175">
        <w:rPr>
          <w:bCs/>
          <w:sz w:val="23"/>
          <w:szCs w:val="23"/>
        </w:rPr>
        <w:t xml:space="preserve">Российская Федерация, </w:t>
      </w:r>
      <w:r w:rsidR="003C5306" w:rsidRPr="00BF2175">
        <w:rPr>
          <w:sz w:val="23"/>
          <w:szCs w:val="23"/>
        </w:rPr>
        <w:t>г. Москва,</w:t>
      </w:r>
      <w:r w:rsidR="009A10F0" w:rsidRPr="009A10F0">
        <w:rPr>
          <w:sz w:val="23"/>
          <w:szCs w:val="23"/>
        </w:rPr>
        <w:t xml:space="preserve"> </w:t>
      </w:r>
      <w:r w:rsidR="009A10F0">
        <w:rPr>
          <w:sz w:val="23"/>
          <w:szCs w:val="23"/>
        </w:rPr>
        <w:t>Никитский бульвар 12 а</w:t>
      </w:r>
      <w:r w:rsidR="003C5306">
        <w:rPr>
          <w:sz w:val="23"/>
          <w:szCs w:val="23"/>
        </w:rPr>
        <w:t>.</w:t>
      </w:r>
    </w:p>
    <w:p w:rsidR="00257EA0" w:rsidRPr="00946309" w:rsidRDefault="00257EA0" w:rsidP="00946309">
      <w:pPr>
        <w:widowControl w:val="0"/>
        <w:tabs>
          <w:tab w:val="left" w:pos="993"/>
        </w:tabs>
        <w:contextualSpacing/>
        <w:jc w:val="both"/>
        <w:rPr>
          <w:bCs/>
          <w:kern w:val="28"/>
        </w:rPr>
      </w:pPr>
      <w:r w:rsidRPr="00710C12">
        <w:rPr>
          <w:b/>
        </w:rPr>
        <w:t>2. Срок оказания услуг:</w:t>
      </w:r>
      <w:r w:rsidRPr="00710C12">
        <w:t xml:space="preserve"> </w:t>
      </w:r>
      <w:r w:rsidR="002A28ED">
        <w:t xml:space="preserve">10 (десять) рабочих дней </w:t>
      </w:r>
      <w:r w:rsidR="00A57459">
        <w:t>с даты заключения Договора</w:t>
      </w:r>
      <w:r w:rsidR="00946309">
        <w:rPr>
          <w:bCs/>
          <w:kern w:val="28"/>
        </w:rPr>
        <w:t>.</w:t>
      </w:r>
    </w:p>
    <w:p w:rsidR="003C5306" w:rsidRPr="00DC6B59" w:rsidRDefault="00257EA0" w:rsidP="00DC6B59">
      <w:pPr>
        <w:widowControl w:val="0"/>
        <w:tabs>
          <w:tab w:val="left" w:pos="709"/>
          <w:tab w:val="left" w:pos="993"/>
        </w:tabs>
        <w:ind w:right="-8"/>
        <w:contextualSpacing/>
        <w:rPr>
          <w:sz w:val="23"/>
          <w:szCs w:val="23"/>
        </w:rPr>
      </w:pPr>
      <w:r w:rsidRPr="00257EA0">
        <w:rPr>
          <w:b/>
          <w:sz w:val="23"/>
          <w:szCs w:val="23"/>
        </w:rPr>
        <w:t>3.</w:t>
      </w:r>
      <w:r w:rsidR="00DC6B59">
        <w:rPr>
          <w:sz w:val="23"/>
          <w:szCs w:val="23"/>
        </w:rPr>
        <w:t xml:space="preserve"> </w:t>
      </w:r>
      <w:r w:rsidR="00801027">
        <w:rPr>
          <w:b/>
          <w:sz w:val="23"/>
          <w:szCs w:val="23"/>
        </w:rPr>
        <w:t>Цель и назначение оказываемых услуг</w:t>
      </w:r>
      <w:r w:rsidR="003C5306" w:rsidRPr="00D82001">
        <w:rPr>
          <w:b/>
          <w:sz w:val="23"/>
          <w:szCs w:val="23"/>
        </w:rPr>
        <w:t>:</w:t>
      </w:r>
    </w:p>
    <w:p w:rsidR="003C5306" w:rsidRPr="00057825" w:rsidRDefault="00801027" w:rsidP="003C5306">
      <w:pPr>
        <w:widowControl w:val="0"/>
        <w:tabs>
          <w:tab w:val="left" w:pos="993"/>
        </w:tabs>
        <w:ind w:firstLine="709"/>
        <w:jc w:val="both"/>
      </w:pPr>
      <w:r>
        <w:t>Оказание услуг</w:t>
      </w:r>
      <w:r w:rsidR="003C5306" w:rsidRPr="00057825">
        <w:t xml:space="preserve"> по</w:t>
      </w:r>
      <w:r w:rsidR="003C5306" w:rsidRPr="00057825">
        <w:rPr>
          <w:b/>
        </w:rPr>
        <w:t xml:space="preserve"> </w:t>
      </w:r>
      <w:r w:rsidR="003C5306" w:rsidRPr="00057825">
        <w:t>оформлению музейных предметов в соответствии с перечнем, указанным в п.4. Музейные предметы, предполагаемые к оформлению, являются частью музейного фонда Российской Федерации.</w:t>
      </w:r>
    </w:p>
    <w:p w:rsidR="003C5306" w:rsidRPr="00057825" w:rsidRDefault="003C5306" w:rsidP="003C5306">
      <w:pPr>
        <w:pStyle w:val="a3"/>
        <w:ind w:firstLine="708"/>
        <w:jc w:val="both"/>
      </w:pPr>
      <w:r w:rsidRPr="00057825">
        <w:t>Оформление музейных предметов должно соответствовать следующим требованиям:</w:t>
      </w:r>
    </w:p>
    <w:p w:rsidR="003C5306" w:rsidRPr="00057825" w:rsidRDefault="003C5306" w:rsidP="003C5306">
      <w:pPr>
        <w:pStyle w:val="a3"/>
        <w:ind w:firstLine="567"/>
        <w:jc w:val="both"/>
      </w:pPr>
      <w:r w:rsidRPr="00057825">
        <w:t>- обеспечивать сохранность при экспонировании, транспортировке и хранении в фондах музея;</w:t>
      </w:r>
    </w:p>
    <w:p w:rsidR="003C5306" w:rsidRPr="00057825" w:rsidRDefault="003C5306" w:rsidP="003C5306">
      <w:pPr>
        <w:pStyle w:val="a3"/>
        <w:ind w:firstLine="567"/>
        <w:jc w:val="both"/>
      </w:pPr>
      <w:r w:rsidRPr="00057825">
        <w:t>-  соответствовать эстетическим особенностям оформляемого произведения по стилю, форме, колориту, размеру, пропорциям;</w:t>
      </w:r>
    </w:p>
    <w:p w:rsidR="00522D0C" w:rsidRPr="00522D0C" w:rsidRDefault="00522D0C" w:rsidP="00156D59">
      <w:pPr>
        <w:rPr>
          <w:b/>
          <w:i/>
        </w:rPr>
      </w:pPr>
      <w:r>
        <w:t xml:space="preserve">        </w:t>
      </w:r>
      <w:r w:rsidR="00BA69A4">
        <w:t xml:space="preserve"> - отвеч</w:t>
      </w:r>
      <w:r w:rsidR="003C5306" w:rsidRPr="00057825">
        <w:t>ать требованиям Приказ</w:t>
      </w:r>
      <w:r w:rsidR="00BA69A4">
        <w:t>а</w:t>
      </w:r>
      <w:r w:rsidR="003C5306" w:rsidRPr="00057825">
        <w:t xml:space="preserve"> Минкультуры России (Министерство культуры РФ) от 23 июля 2020 г. №827 "Об утверждении Единых правил организации комплектования, учета, хранения и использования музейных предметов и музейных коллекций";</w:t>
      </w:r>
    </w:p>
    <w:p w:rsidR="00522D0C" w:rsidRPr="00522D0C" w:rsidRDefault="00522D0C" w:rsidP="00522D0C">
      <w:pPr>
        <w:ind w:firstLine="567"/>
      </w:pPr>
      <w:r>
        <w:t xml:space="preserve">- багет, используемый в работе, должен быть изготовлен из традиционных материалов – специальных пород дерева, таких как тис, кипарис, африканский </w:t>
      </w:r>
      <w:proofErr w:type="spellStart"/>
      <w:r>
        <w:t>айос</w:t>
      </w:r>
      <w:proofErr w:type="spellEnd"/>
      <w:r>
        <w:t>, индонезийский рамп, имеющих необходимую плотность, структуру, устойчивость к деформации;</w:t>
      </w:r>
    </w:p>
    <w:p w:rsidR="00017B59" w:rsidRPr="00057825" w:rsidRDefault="00522D0C" w:rsidP="00522D0C">
      <w:pPr>
        <w:ind w:firstLine="567"/>
      </w:pPr>
      <w:r>
        <w:t xml:space="preserve"> </w:t>
      </w:r>
      <w:r w:rsidR="00BA69A4">
        <w:t xml:space="preserve">- </w:t>
      </w:r>
      <w:r>
        <w:t xml:space="preserve">рама должна </w:t>
      </w:r>
      <w:r w:rsidR="00BA69A4">
        <w:t>изготавливаться из багета с применением</w:t>
      </w:r>
      <w:r w:rsidR="00017B59" w:rsidRPr="00057825">
        <w:t xml:space="preserve"> экологически чистых материалов, выполненных на деревянной основе по совре</w:t>
      </w:r>
      <w:r w:rsidR="00BA69A4">
        <w:t>менным технологиям с использованием</w:t>
      </w:r>
      <w:r w:rsidR="00017B59" w:rsidRPr="00057825">
        <w:t xml:space="preserve"> покрытий различных цветов и фактур;</w:t>
      </w:r>
    </w:p>
    <w:p w:rsidR="00057825" w:rsidRDefault="00522D0C" w:rsidP="00522D0C">
      <w:r>
        <w:t xml:space="preserve">          </w:t>
      </w:r>
      <w:r w:rsidR="00017B59">
        <w:t xml:space="preserve">- </w:t>
      </w:r>
      <w:r w:rsidR="00BA69A4">
        <w:t xml:space="preserve">не использовать </w:t>
      </w:r>
      <w:r w:rsidR="00017B59">
        <w:t>низкокачественные образцы багета</w:t>
      </w:r>
      <w:r w:rsidR="00BA69A4">
        <w:t>,</w:t>
      </w:r>
      <w:r w:rsidR="00017B59">
        <w:t xml:space="preserve"> не приго</w:t>
      </w:r>
      <w:r w:rsidR="00BA69A4">
        <w:t>дные</w:t>
      </w:r>
      <w:r w:rsidR="00057825">
        <w:t xml:space="preserve"> в музейной практике, а так</w:t>
      </w:r>
      <w:r w:rsidR="00BA69A4">
        <w:t>же происходящие</w:t>
      </w:r>
      <w:r w:rsidR="00017B59">
        <w:t xml:space="preserve"> из стран Ю</w:t>
      </w:r>
      <w:r w:rsidR="00BA69A4">
        <w:t>го-Восточной Азии, изготовленные</w:t>
      </w:r>
      <w:r w:rsidR="00017B59">
        <w:t xml:space="preserve"> с добавлением химически активных красителей и иных </w:t>
      </w:r>
      <w:r w:rsidR="008E362A">
        <w:t>составляющих</w:t>
      </w:r>
      <w:r w:rsidR="00017B59">
        <w:t>, угрожающих</w:t>
      </w:r>
      <w:r w:rsidR="00BA69A4">
        <w:t xml:space="preserve"> сохранности музейных предметов</w:t>
      </w:r>
      <w:r w:rsidR="00017B59">
        <w:t xml:space="preserve">; </w:t>
      </w:r>
    </w:p>
    <w:p w:rsidR="003C5306" w:rsidRDefault="00057825" w:rsidP="00946309">
      <w:pPr>
        <w:ind w:firstLine="567"/>
      </w:pPr>
      <w:r>
        <w:t>- Исполн</w:t>
      </w:r>
      <w:r w:rsidR="00522D0C">
        <w:t xml:space="preserve">итель обязан предоставить возможность </w:t>
      </w:r>
      <w:r>
        <w:t>отбора и заказа</w:t>
      </w:r>
      <w:r w:rsidR="00522D0C">
        <w:t xml:space="preserve"> багета и паспарту по каталогам.</w:t>
      </w:r>
      <w:r w:rsidR="00017B59">
        <w:t xml:space="preserve">  </w:t>
      </w:r>
    </w:p>
    <w:p w:rsidR="00D95B29" w:rsidRPr="00946309" w:rsidRDefault="00CB0AF8" w:rsidP="00946309">
      <w:pPr>
        <w:suppressAutoHyphens/>
        <w:contextualSpacing/>
        <w:rPr>
          <w:rFonts w:eastAsia="Arial"/>
          <w:b/>
          <w:sz w:val="23"/>
          <w:szCs w:val="23"/>
          <w:lang w:eastAsia="ar-SA"/>
        </w:rPr>
      </w:pPr>
      <w:r w:rsidRPr="00122D4A">
        <w:rPr>
          <w:rFonts w:eastAsia="Arial"/>
          <w:b/>
          <w:sz w:val="23"/>
          <w:szCs w:val="23"/>
          <w:lang w:eastAsia="ar-SA"/>
        </w:rPr>
        <w:t xml:space="preserve">3.1 </w:t>
      </w:r>
      <w:r w:rsidR="000F7FE1" w:rsidRPr="00CB0AF8">
        <w:rPr>
          <w:rFonts w:eastAsia="Arial"/>
          <w:b/>
          <w:sz w:val="23"/>
          <w:szCs w:val="23"/>
          <w:lang w:eastAsia="ar-SA"/>
        </w:rPr>
        <w:t>Характеристика оформительских работ</w:t>
      </w:r>
      <w:r>
        <w:rPr>
          <w:rFonts w:eastAsia="Arial"/>
          <w:b/>
          <w:sz w:val="23"/>
          <w:szCs w:val="23"/>
          <w:lang w:eastAsia="ar-SA"/>
        </w:rPr>
        <w:t xml:space="preserve"> (вид</w:t>
      </w:r>
      <w:r w:rsidR="00D95B29">
        <w:rPr>
          <w:rFonts w:eastAsia="Arial"/>
          <w:b/>
          <w:sz w:val="23"/>
          <w:szCs w:val="23"/>
          <w:lang w:eastAsia="ar-SA"/>
        </w:rPr>
        <w:t>ы</w:t>
      </w:r>
      <w:r w:rsidR="00B725D4" w:rsidRPr="00CB0AF8">
        <w:rPr>
          <w:rFonts w:eastAsia="Arial"/>
          <w:b/>
          <w:sz w:val="23"/>
          <w:szCs w:val="23"/>
          <w:lang w:eastAsia="ar-SA"/>
        </w:rPr>
        <w:t xml:space="preserve"> обрамления).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819"/>
        <w:gridCol w:w="1134"/>
      </w:tblGrid>
      <w:tr w:rsidR="00156D59" w:rsidRPr="0002732C" w:rsidTr="00C63937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 xml:space="preserve">Багетная </w:t>
            </w:r>
            <w:r>
              <w:t>рама для миниатюр</w:t>
            </w:r>
            <w:r w:rsidRPr="0002732C">
              <w:t xml:space="preserve"> с паспарту, задней стенкой (подложкой) и стеклом</w:t>
            </w:r>
          </w:p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</w:rPr>
            </w:pPr>
            <w:r w:rsidRPr="0002732C">
              <w:rPr>
                <w:rFonts w:eastAsia="Calibri"/>
              </w:rPr>
              <w:t>Внешние габариты профиля багетной рамы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Ширина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от 27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Ширина без четверти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от 21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Высота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от 40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Глубина четверти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не менее 33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Ширина четверти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t>не менее 5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156D59" w:rsidRPr="0002732C" w:rsidRDefault="00156D59" w:rsidP="00C63937">
            <w:r w:rsidRPr="0002732C">
              <w:t>Основа багетной рамы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Фрезерованный профиль из древесины, переклеенный из калиброванных заготовок – ламелей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</w:tcPr>
          <w:p w:rsidR="00156D59" w:rsidRPr="0002732C" w:rsidRDefault="00156D59" w:rsidP="00C63937">
            <w:r w:rsidRPr="0002732C">
              <w:rPr>
                <w:noProof/>
              </w:rPr>
              <w:t xml:space="preserve">Подготовка к художественному покрытию </w:t>
            </w:r>
            <w:r w:rsidRPr="0002732C">
              <w:t>багетной рамы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 xml:space="preserve">Мореное дерево, фанерованное дерево, наличие декоративной вставки, </w:t>
            </w:r>
            <w:proofErr w:type="spellStart"/>
            <w:r w:rsidRPr="0002732C">
              <w:t>ламинация</w:t>
            </w:r>
            <w:proofErr w:type="spellEnd"/>
            <w:r w:rsidRPr="0002732C">
              <w:t xml:space="preserve"> плёнкой по согласованию с Заказчиком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</w:pPr>
            <w:r w:rsidRPr="0002732C">
              <w:rPr>
                <w:noProof/>
              </w:rPr>
              <w:t xml:space="preserve">Художественное покрытие </w:t>
            </w:r>
            <w:r w:rsidRPr="0002732C">
              <w:t>багетной рамы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rPr>
                <w:bdr w:val="none" w:sz="0" w:space="0" w:color="auto" w:frame="1"/>
              </w:rPr>
              <w:t xml:space="preserve">Цвет тонировки дерева или плёнки для </w:t>
            </w:r>
            <w:proofErr w:type="spellStart"/>
            <w:r w:rsidRPr="0002732C">
              <w:rPr>
                <w:bdr w:val="none" w:sz="0" w:space="0" w:color="auto" w:frame="1"/>
              </w:rPr>
              <w:t>ламинации</w:t>
            </w:r>
            <w:proofErr w:type="spellEnd"/>
            <w:r w:rsidRPr="0002732C">
              <w:rPr>
                <w:bdr w:val="none" w:sz="0" w:space="0" w:color="auto" w:frame="1"/>
              </w:rPr>
              <w:t xml:space="preserve"> по согласованию с Заказчиком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Напыление защитного бесцветного лака с УФ-отверждением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r w:rsidRPr="0002732C">
              <w:t>Характеристики музейного картона для паспарту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Состав: 100% хлопок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proofErr w:type="spellStart"/>
            <w:r w:rsidRPr="0002732C">
              <w:t>Бескислотный</w:t>
            </w:r>
            <w:proofErr w:type="spellEnd"/>
            <w:r w:rsidRPr="0002732C">
              <w:t>, не содержит лигнина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 xml:space="preserve">Водородный показатель </w:t>
            </w:r>
            <w:proofErr w:type="spellStart"/>
            <w:r w:rsidRPr="0002732C">
              <w:t>рH</w:t>
            </w:r>
            <w:proofErr w:type="spellEnd"/>
            <w:r w:rsidRPr="0002732C">
              <w:t>: не шире 7,5 - 9,5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Буферизован карбонатом кальция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Толщина картона: не менее 1,4 мм и не более 1,8 мм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r w:rsidRPr="0002732C">
              <w:t>Цвет картона: молочный.</w:t>
            </w:r>
          </w:p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Оттенок цвета согласовывается с Заказчиком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Однотонный, матовый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sz w:val="23"/>
                <w:szCs w:val="23"/>
              </w:rPr>
            </w:pPr>
            <w:r w:rsidRPr="0002732C">
              <w:t>Цвет среза картона для паспарту: белый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Характеристики картона для задней подложки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 xml:space="preserve">Плотный картон не менее 2.2 мм толщиной, с двухсторонней </w:t>
            </w:r>
            <w:proofErr w:type="spellStart"/>
            <w:r w:rsidRPr="0002732C">
              <w:t>бескислотной</w:t>
            </w:r>
            <w:proofErr w:type="spellEnd"/>
            <w:r w:rsidRPr="0002732C">
              <w:t xml:space="preserve"> подложкой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02732C">
              <w:t>Бескислотный</w:t>
            </w:r>
            <w:proofErr w:type="spellEnd"/>
            <w:r w:rsidRPr="0002732C">
              <w:t>, не содержит лигнина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 xml:space="preserve">Водородный показатель </w:t>
            </w:r>
            <w:proofErr w:type="spellStart"/>
            <w:r w:rsidRPr="0002732C">
              <w:t>рH</w:t>
            </w:r>
            <w:proofErr w:type="spellEnd"/>
            <w:r w:rsidRPr="0002732C">
              <w:t>: не шире 7,5 - 9,5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Толщина картона: не менее 2,2 мм и не более 2,4 мм (</w:t>
            </w:r>
            <w:r w:rsidRPr="0002732C">
              <w:rPr>
                <w:bdr w:val="none" w:sz="0" w:space="0" w:color="auto" w:frame="1"/>
              </w:rPr>
              <w:t>по согласованию с Заказчиком</w:t>
            </w:r>
            <w:r w:rsidRPr="0002732C">
              <w:t>)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r w:rsidRPr="0002732C">
              <w:t>Цвет картона: теплый белый.</w:t>
            </w:r>
          </w:p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Оттенок цвета согласовывается с Заказчиком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Однотонный, матовый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r w:rsidRPr="0002732C">
              <w:t>Характеристики крепежа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Подвесные пластины с петлями – от 2 до 4 шт., каждая пластина крепится на 2 шурупа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Металлический фиксатор для стекла, картона для паспарту и задней стенки в раме (ламели) – от 10 до 18 шт. (</w:t>
            </w:r>
            <w:r w:rsidRPr="0002732C">
              <w:rPr>
                <w:bdr w:val="none" w:sz="0" w:space="0" w:color="auto" w:frame="1"/>
              </w:rPr>
              <w:t>по согласованию с Заказчиком</w:t>
            </w:r>
            <w:r w:rsidRPr="0002732C">
              <w:t>)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Все металлические элементы крепежа имеют антикоррозийное покрытие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Наличие вкладыша из музейного стекла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r w:rsidRPr="0002732C">
              <w:t>Характеристики художественного стекла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Толщина: не менее 2 мм (М1)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Цветопередача: пропускаемые цвета объектов передаются в нейтральной гамме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Антистатическое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</w:tbl>
    <w:p w:rsidR="00D95B29" w:rsidRDefault="00D95B29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4819"/>
        <w:gridCol w:w="1134"/>
      </w:tblGrid>
      <w:tr w:rsidR="00156D59" w:rsidRPr="0002732C" w:rsidTr="00C63937">
        <w:trPr>
          <w:trHeight w:val="928"/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>
              <w:t xml:space="preserve">Обрамление тканей под оргстекло на ПВХ с каркасом </w:t>
            </w:r>
          </w:p>
        </w:tc>
        <w:tc>
          <w:tcPr>
            <w:tcW w:w="2977" w:type="dxa"/>
            <w:shd w:val="clear" w:color="auto" w:fill="auto"/>
          </w:tcPr>
          <w:p w:rsidR="00156D59" w:rsidRPr="0002732C" w:rsidRDefault="00156D59" w:rsidP="00C63937">
            <w:pPr>
              <w:rPr>
                <w:b/>
              </w:rPr>
            </w:pPr>
            <w:r>
              <w:t xml:space="preserve">Основа каркаса </w:t>
            </w:r>
          </w:p>
        </w:tc>
        <w:tc>
          <w:tcPr>
            <w:tcW w:w="4819" w:type="dxa"/>
            <w:shd w:val="clear" w:color="auto" w:fill="auto"/>
          </w:tcPr>
          <w:p w:rsidR="00156D59" w:rsidRPr="00C37034" w:rsidRDefault="00156D59" w:rsidP="00C63937">
            <w:pPr>
              <w:shd w:val="clear" w:color="auto" w:fill="FFFFFF"/>
            </w:pPr>
            <w:r>
              <w:t xml:space="preserve">сосна </w:t>
            </w:r>
            <w:proofErr w:type="spellStart"/>
            <w:r>
              <w:t>клеёно</w:t>
            </w:r>
            <w:proofErr w:type="spellEnd"/>
            <w:r>
              <w:t>-сращённая, камерной сушки</w:t>
            </w:r>
          </w:p>
        </w:tc>
        <w:tc>
          <w:tcPr>
            <w:tcW w:w="1134" w:type="dxa"/>
            <w:shd w:val="clear" w:color="auto" w:fill="auto"/>
          </w:tcPr>
          <w:p w:rsidR="00156D59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Ширина 40 мм</w:t>
            </w:r>
          </w:p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Толщина 20 мм</w:t>
            </w: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>
              <w:t>Характеристики ПВХ</w:t>
            </w:r>
            <w:r w:rsidRPr="0002732C">
              <w:t xml:space="preserve"> для задней подложки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>
              <w:t>ПВХ не менее 5 мм толщиной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 xml:space="preserve">Водородный показатель </w:t>
            </w:r>
            <w:proofErr w:type="spellStart"/>
            <w:r w:rsidRPr="0002732C">
              <w:t>рH</w:t>
            </w:r>
            <w:proofErr w:type="spellEnd"/>
            <w:r w:rsidRPr="0002732C">
              <w:t>: не шире 7,5 - 9,5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r>
              <w:t xml:space="preserve">Цвет </w:t>
            </w:r>
            <w:proofErr w:type="spellStart"/>
            <w:proofErr w:type="gramStart"/>
            <w:r>
              <w:t>ПВХ:Чёрный</w:t>
            </w:r>
            <w:proofErr w:type="spellEnd"/>
            <w:proofErr w:type="gramEnd"/>
          </w:p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Оттенок цвета согласовывается с Заказчиком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Однотонный, матовый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02732C" w:rsidRDefault="00156D59" w:rsidP="00C63937">
            <w:r w:rsidRPr="0002732C">
              <w:t>Характеристики крепежа</w:t>
            </w:r>
          </w:p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Подвесные пластины с петлями – от 2 до 4 шт., каждая пластина крепится на 2 шурупа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proofErr w:type="spellStart"/>
            <w:r w:rsidRPr="0002732C">
              <w:t>Клеммерный</w:t>
            </w:r>
            <w:proofErr w:type="spellEnd"/>
            <w:r w:rsidRPr="0002732C">
              <w:t xml:space="preserve"> зажим многоразового использования – от 10 до 18 шт. (</w:t>
            </w:r>
            <w:r w:rsidRPr="0002732C">
              <w:rPr>
                <w:bdr w:val="none" w:sz="0" w:space="0" w:color="auto" w:frame="1"/>
              </w:rPr>
              <w:t>по согласованию с Заказчиком</w:t>
            </w:r>
            <w:r w:rsidRPr="0002732C">
              <w:t>)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  <w:r w:rsidRPr="0002732C">
              <w:t>Все металлические элементы крепежа имеют антикоррозийное покрытие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156D59" w:rsidRPr="00CB574F" w:rsidRDefault="00156D59" w:rsidP="00C63937">
            <w:r w:rsidRPr="00CB574F">
              <w:rPr>
                <w:lang w:eastAsia="en-US"/>
              </w:rPr>
              <w:t>Характеристики акрилового стекла</w:t>
            </w:r>
          </w:p>
        </w:tc>
        <w:tc>
          <w:tcPr>
            <w:tcW w:w="4819" w:type="dxa"/>
            <w:shd w:val="clear" w:color="auto" w:fill="auto"/>
          </w:tcPr>
          <w:p w:rsidR="00156D59" w:rsidRPr="00CB574F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</w:rPr>
            </w:pPr>
            <w:r w:rsidRPr="00CB574F">
              <w:t>Толщина: не менее 3 мм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CB574F" w:rsidRDefault="00156D59" w:rsidP="00C63937">
            <w:pPr>
              <w:widowControl w:val="0"/>
              <w:tabs>
                <w:tab w:val="right" w:pos="4328"/>
              </w:tabs>
              <w:ind w:right="-8"/>
              <w:contextualSpacing/>
              <w:jc w:val="both"/>
              <w:rPr>
                <w:b/>
                <w:color w:val="000000"/>
              </w:rPr>
            </w:pPr>
            <w:r w:rsidRPr="00CB574F">
              <w:t>Высокая оптическая прозрачность</w:t>
            </w:r>
            <w:r w:rsidRPr="00CB574F">
              <w:tab/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156D59" w:rsidRPr="0002732C" w:rsidTr="00C63937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6D59" w:rsidRPr="0002732C" w:rsidRDefault="00156D59" w:rsidP="00C63937"/>
        </w:tc>
        <w:tc>
          <w:tcPr>
            <w:tcW w:w="4819" w:type="dxa"/>
            <w:shd w:val="clear" w:color="auto" w:fill="auto"/>
          </w:tcPr>
          <w:p w:rsidR="00156D59" w:rsidRPr="00CB574F" w:rsidRDefault="00156D59" w:rsidP="00C63937">
            <w:pPr>
              <w:widowControl w:val="0"/>
              <w:tabs>
                <w:tab w:val="right" w:pos="4328"/>
              </w:tabs>
              <w:ind w:right="-8"/>
              <w:contextualSpacing/>
              <w:jc w:val="both"/>
            </w:pPr>
            <w:r w:rsidRPr="00CB574F">
              <w:t>Бесцветное, не изменяющее спектральный состав проходящего сквозь него света (не желтеющее со временем)</w:t>
            </w:r>
          </w:p>
        </w:tc>
        <w:tc>
          <w:tcPr>
            <w:tcW w:w="1134" w:type="dxa"/>
            <w:shd w:val="clear" w:color="auto" w:fill="auto"/>
          </w:tcPr>
          <w:p w:rsidR="00156D59" w:rsidRPr="0002732C" w:rsidRDefault="00156D59" w:rsidP="00C63937">
            <w:pPr>
              <w:widowControl w:val="0"/>
              <w:tabs>
                <w:tab w:val="left" w:pos="9348"/>
              </w:tabs>
              <w:ind w:right="-8"/>
              <w:contextualSpacing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</w:tbl>
    <w:p w:rsidR="00156D59" w:rsidRDefault="00156D59"/>
    <w:p w:rsidR="00D95B29" w:rsidRDefault="00D95B29"/>
    <w:p w:rsidR="009B4566" w:rsidRDefault="009B4566"/>
    <w:p w:rsidR="0070331D" w:rsidRDefault="00BD70AB" w:rsidP="0070331D">
      <w:pPr>
        <w:rPr>
          <w:b/>
        </w:rPr>
      </w:pPr>
      <w:r>
        <w:rPr>
          <w:b/>
        </w:rPr>
        <w:t>4</w:t>
      </w:r>
      <w:r w:rsidR="00A830AC" w:rsidRPr="00A830AC">
        <w:rPr>
          <w:b/>
        </w:rPr>
        <w:t>. Объём выполняемых работ</w:t>
      </w:r>
      <w:r w:rsidR="00A830AC">
        <w:rPr>
          <w:b/>
        </w:rPr>
        <w:t>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843"/>
        <w:gridCol w:w="4394"/>
      </w:tblGrid>
      <w:tr w:rsidR="00D71343" w:rsidRPr="00E94A73" w:rsidTr="00D71343">
        <w:tc>
          <w:tcPr>
            <w:tcW w:w="1134" w:type="dxa"/>
          </w:tcPr>
          <w:p w:rsidR="00D71343" w:rsidRPr="003C7389" w:rsidRDefault="00D71343" w:rsidP="00D71343">
            <w:pPr>
              <w:widowControl w:val="0"/>
              <w:rPr>
                <w:bCs/>
                <w:snapToGrid w:val="0"/>
              </w:rPr>
            </w:pPr>
            <w:r w:rsidRPr="003C7389">
              <w:rPr>
                <w:bCs/>
                <w:snapToGrid w:val="0"/>
              </w:rPr>
              <w:t>№ п/п</w:t>
            </w:r>
          </w:p>
        </w:tc>
        <w:tc>
          <w:tcPr>
            <w:tcW w:w="2977" w:type="dxa"/>
          </w:tcPr>
          <w:p w:rsidR="00D71343" w:rsidRPr="00163624" w:rsidRDefault="00D71343" w:rsidP="00D71343">
            <w:pPr>
              <w:jc w:val="center"/>
              <w:rPr>
                <w:bCs/>
                <w:snapToGrid w:val="0"/>
              </w:rPr>
            </w:pPr>
            <w:r w:rsidRPr="003C7389">
              <w:rPr>
                <w:bCs/>
                <w:snapToGrid w:val="0"/>
              </w:rPr>
              <w:t>Наименование</w:t>
            </w:r>
            <w:r>
              <w:rPr>
                <w:bCs/>
                <w:snapToGrid w:val="0"/>
              </w:rPr>
              <w:t xml:space="preserve"> и краткое описание предметов, </w:t>
            </w:r>
            <w:r w:rsidRPr="003C7389">
              <w:rPr>
                <w:bCs/>
                <w:snapToGrid w:val="0"/>
              </w:rPr>
              <w:t>датировка, материал, техника, размеры, надписи, клейма</w:t>
            </w:r>
          </w:p>
        </w:tc>
        <w:tc>
          <w:tcPr>
            <w:tcW w:w="1843" w:type="dxa"/>
          </w:tcPr>
          <w:p w:rsidR="00D71343" w:rsidRPr="003C7389" w:rsidRDefault="00D71343" w:rsidP="00D71343">
            <w:pPr>
              <w:jc w:val="center"/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</w:rPr>
              <w:t>Размеры</w:t>
            </w:r>
          </w:p>
        </w:tc>
        <w:tc>
          <w:tcPr>
            <w:tcW w:w="4394" w:type="dxa"/>
          </w:tcPr>
          <w:p w:rsidR="00D71343" w:rsidRPr="003C7389" w:rsidRDefault="00D71343" w:rsidP="00D71343">
            <w:pPr>
              <w:widowControl w:val="0"/>
              <w:jc w:val="center"/>
              <w:rPr>
                <w:bCs/>
                <w:snapToGrid w:val="0"/>
              </w:rPr>
            </w:pPr>
            <w:r w:rsidRPr="003C7389">
              <w:rPr>
                <w:bCs/>
                <w:snapToGrid w:val="0"/>
              </w:rPr>
              <w:t>Изображение</w:t>
            </w:r>
          </w:p>
        </w:tc>
      </w:tr>
      <w:tr w:rsidR="00D71343" w:rsidRPr="00E94A73" w:rsidTr="00D71343">
        <w:tc>
          <w:tcPr>
            <w:tcW w:w="1134" w:type="dxa"/>
          </w:tcPr>
          <w:p w:rsidR="00D71343" w:rsidRPr="004666AF" w:rsidRDefault="00D71343" w:rsidP="00D7134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bCs/>
                <w:snapToGrid w:val="0"/>
              </w:rPr>
            </w:pPr>
          </w:p>
        </w:tc>
        <w:tc>
          <w:tcPr>
            <w:tcW w:w="2977" w:type="dxa"/>
          </w:tcPr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/>
                <w:bCs/>
                <w:snapToGrid w:val="0"/>
              </w:rPr>
              <w:t>Благопожелательная картина</w:t>
            </w:r>
          </w:p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Cs/>
                <w:snapToGrid w:val="0"/>
              </w:rPr>
              <w:t>Таиланд. 1980-е гг.</w:t>
            </w:r>
          </w:p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Cs/>
                <w:snapToGrid w:val="0"/>
              </w:rPr>
              <w:t>Бумага, обрезная гравюра (оттиск с рельефной металлической доски)</w:t>
            </w:r>
          </w:p>
          <w:p w:rsidR="00D71343" w:rsidRPr="00D71343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</w:p>
        </w:tc>
        <w:tc>
          <w:tcPr>
            <w:tcW w:w="1843" w:type="dxa"/>
          </w:tcPr>
          <w:p w:rsidR="00D71343" w:rsidRPr="00D71343" w:rsidRDefault="00D71343" w:rsidP="00D71343">
            <w:pPr>
              <w:spacing w:line="256" w:lineRule="auto"/>
              <w:rPr>
                <w:b/>
                <w:bCs/>
                <w:snapToGrid w:val="0"/>
                <w:lang w:val="en-US"/>
              </w:rPr>
            </w:pPr>
            <w:r>
              <w:rPr>
                <w:bCs/>
                <w:snapToGrid w:val="0"/>
                <w:lang w:val="en-US"/>
              </w:rPr>
              <w:t xml:space="preserve">58х49; </w:t>
            </w:r>
            <w:proofErr w:type="spellStart"/>
            <w:r>
              <w:rPr>
                <w:bCs/>
                <w:snapToGrid w:val="0"/>
                <w:lang w:val="en-US"/>
              </w:rPr>
              <w:t>изображение</w:t>
            </w:r>
            <w:proofErr w:type="spellEnd"/>
            <w:r>
              <w:rPr>
                <w:bCs/>
                <w:snapToGrid w:val="0"/>
                <w:lang w:val="en-US"/>
              </w:rPr>
              <w:t xml:space="preserve"> – 50</w:t>
            </w:r>
            <w:proofErr w:type="gramStart"/>
            <w:r>
              <w:rPr>
                <w:bCs/>
                <w:snapToGrid w:val="0"/>
                <w:lang w:val="en-US"/>
              </w:rPr>
              <w:t>,6х40,2</w:t>
            </w:r>
            <w:proofErr w:type="gramEnd"/>
            <w:r>
              <w:rPr>
                <w:bCs/>
                <w:snapToGrid w:val="0"/>
                <w:lang w:val="en-US"/>
              </w:rPr>
              <w:t xml:space="preserve"> </w:t>
            </w:r>
            <w:proofErr w:type="spellStart"/>
            <w:r>
              <w:rPr>
                <w:bCs/>
                <w:snapToGrid w:val="0"/>
                <w:lang w:val="en-US"/>
              </w:rPr>
              <w:t>см</w:t>
            </w:r>
            <w:proofErr w:type="spellEnd"/>
            <w:r>
              <w:rPr>
                <w:bCs/>
                <w:snapToGrid w:val="0"/>
                <w:lang w:val="en-US"/>
              </w:rPr>
              <w:t>.</w:t>
            </w:r>
          </w:p>
        </w:tc>
        <w:tc>
          <w:tcPr>
            <w:tcW w:w="4394" w:type="dxa"/>
          </w:tcPr>
          <w:p w:rsidR="00D71343" w:rsidRDefault="00BE6CB0" w:rsidP="00D71343">
            <w:pPr>
              <w:spacing w:line="256" w:lineRule="auto"/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  <w:lang w:val="en-US"/>
              </w:rPr>
              <w:pict w14:anchorId="3309E4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27.5pt">
                  <v:imagedata r:id="rId6" o:title=""/>
                </v:shape>
              </w:pict>
            </w:r>
          </w:p>
        </w:tc>
      </w:tr>
      <w:tr w:rsidR="00D71343" w:rsidRPr="00E94A73" w:rsidTr="00D71343">
        <w:tc>
          <w:tcPr>
            <w:tcW w:w="1134" w:type="dxa"/>
          </w:tcPr>
          <w:p w:rsidR="00D71343" w:rsidRPr="00E94A73" w:rsidRDefault="00D71343" w:rsidP="00D7134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bCs/>
                <w:snapToGrid w:val="0"/>
                <w:lang w:val="en-US"/>
              </w:rPr>
            </w:pPr>
          </w:p>
        </w:tc>
        <w:tc>
          <w:tcPr>
            <w:tcW w:w="2977" w:type="dxa"/>
          </w:tcPr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/>
                <w:bCs/>
                <w:snapToGrid w:val="0"/>
              </w:rPr>
              <w:t xml:space="preserve">Декоративное панно с изображением ступы </w:t>
            </w:r>
            <w:proofErr w:type="spellStart"/>
            <w:r w:rsidRPr="00C04DF9">
              <w:rPr>
                <w:b/>
                <w:bCs/>
                <w:snapToGrid w:val="0"/>
              </w:rPr>
              <w:t>Тхатлуанг</w:t>
            </w:r>
            <w:proofErr w:type="spellEnd"/>
          </w:p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Cs/>
                <w:snapToGrid w:val="0"/>
              </w:rPr>
              <w:t>Лаос, конец ХХ века</w:t>
            </w:r>
          </w:p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  <w:r w:rsidRPr="00C04DF9">
              <w:rPr>
                <w:bCs/>
                <w:snapToGrid w:val="0"/>
              </w:rPr>
              <w:t>Хлопок, шелк, ручное ткачество</w:t>
            </w:r>
          </w:p>
          <w:p w:rsidR="00D71343" w:rsidRPr="00C04DF9" w:rsidRDefault="00D71343" w:rsidP="00D71343">
            <w:pPr>
              <w:widowControl w:val="0"/>
              <w:spacing w:line="256" w:lineRule="auto"/>
              <w:rPr>
                <w:bCs/>
                <w:snapToGrid w:val="0"/>
              </w:rPr>
            </w:pPr>
          </w:p>
        </w:tc>
        <w:tc>
          <w:tcPr>
            <w:tcW w:w="1843" w:type="dxa"/>
          </w:tcPr>
          <w:p w:rsidR="00D71343" w:rsidRPr="00D71343" w:rsidRDefault="00D71343" w:rsidP="00D71343">
            <w:pPr>
              <w:spacing w:line="256" w:lineRule="auto"/>
              <w:rPr>
                <w:bCs/>
                <w:snapToGrid w:val="0"/>
              </w:rPr>
            </w:pPr>
            <w:r w:rsidRPr="002A28ED">
              <w:rPr>
                <w:bCs/>
                <w:snapToGrid w:val="0"/>
              </w:rPr>
              <w:t>83х56</w:t>
            </w:r>
            <w:r>
              <w:rPr>
                <w:bCs/>
                <w:snapToGrid w:val="0"/>
              </w:rPr>
              <w:t xml:space="preserve">; </w:t>
            </w:r>
            <w:r w:rsidRPr="00C04DF9">
              <w:rPr>
                <w:bCs/>
                <w:snapToGrid w:val="0"/>
              </w:rPr>
              <w:t>В. 75,5; ш. 56; дл. кистей 7,5 см.</w:t>
            </w:r>
          </w:p>
        </w:tc>
        <w:tc>
          <w:tcPr>
            <w:tcW w:w="4394" w:type="dxa"/>
          </w:tcPr>
          <w:p w:rsidR="00D71343" w:rsidRDefault="00BE6CB0" w:rsidP="00D71343">
            <w:pPr>
              <w:spacing w:line="256" w:lineRule="auto"/>
              <w:rPr>
                <w:bCs/>
                <w:snapToGrid w:val="0"/>
                <w:lang w:val="en-US"/>
              </w:rPr>
            </w:pPr>
            <w:r>
              <w:rPr>
                <w:bCs/>
                <w:snapToGrid w:val="0"/>
                <w:lang w:val="en-US"/>
              </w:rPr>
              <w:pict w14:anchorId="11748556">
                <v:shape id="_x0000_i1026" type="#_x0000_t75" style="width:127.5pt;height:127.5pt">
                  <v:imagedata r:id="rId7" o:title=""/>
                </v:shape>
              </w:pict>
            </w:r>
          </w:p>
        </w:tc>
      </w:tr>
    </w:tbl>
    <w:p w:rsidR="00A830AC" w:rsidRPr="008725D2" w:rsidRDefault="008725D2" w:rsidP="00946309">
      <w:pPr>
        <w:pStyle w:val="a3"/>
        <w:ind w:firstLine="567"/>
        <w:rPr>
          <w:b/>
        </w:rPr>
      </w:pPr>
      <w:r w:rsidRPr="008725D2">
        <w:rPr>
          <w:b/>
        </w:rPr>
        <w:t>5</w:t>
      </w:r>
      <w:r w:rsidR="003C5306" w:rsidRPr="008725D2">
        <w:rPr>
          <w:b/>
        </w:rPr>
        <w:t>. Прочие условия</w:t>
      </w:r>
    </w:p>
    <w:p w:rsidR="00B979DC" w:rsidRPr="008725D2" w:rsidRDefault="008725D2" w:rsidP="00B979DC">
      <w:pPr>
        <w:ind w:firstLine="567"/>
        <w:contextualSpacing/>
        <w:jc w:val="both"/>
      </w:pPr>
      <w:r w:rsidRPr="008725D2">
        <w:t>5</w:t>
      </w:r>
      <w:r w:rsidR="00B979DC" w:rsidRPr="008725D2">
        <w:t xml:space="preserve">.1. В состав </w:t>
      </w:r>
      <w:r w:rsidR="00BD70AB" w:rsidRPr="008725D2">
        <w:t>оказываемых услуг</w:t>
      </w:r>
      <w:r w:rsidR="00B979DC" w:rsidRPr="008725D2">
        <w:t xml:space="preserve"> входят: замеры музейных предметов, тр</w:t>
      </w:r>
      <w:r w:rsidR="00152288" w:rsidRPr="008725D2">
        <w:t>ебующих обрамления, изготовление</w:t>
      </w:r>
      <w:r w:rsidR="00BD70AB" w:rsidRPr="008725D2">
        <w:t xml:space="preserve"> рам</w:t>
      </w:r>
      <w:r w:rsidR="00B979DC" w:rsidRPr="008725D2">
        <w:t xml:space="preserve"> упаковка и доставка </w:t>
      </w:r>
      <w:r w:rsidR="00BD70AB" w:rsidRPr="008725D2">
        <w:t>по адресу, указанному</w:t>
      </w:r>
      <w:r w:rsidR="00B979DC" w:rsidRPr="008725D2">
        <w:t xml:space="preserve"> в Техническом задании, монтаж музейных предметов на территории Заказчика. </w:t>
      </w:r>
    </w:p>
    <w:p w:rsidR="003C5306" w:rsidRPr="008725D2" w:rsidRDefault="008725D2" w:rsidP="003C5306">
      <w:pPr>
        <w:pStyle w:val="a3"/>
        <w:ind w:firstLine="567"/>
        <w:jc w:val="both"/>
      </w:pPr>
      <w:r w:rsidRPr="008725D2">
        <w:t>5</w:t>
      </w:r>
      <w:r w:rsidR="00B979DC" w:rsidRPr="008725D2">
        <w:t>.2</w:t>
      </w:r>
      <w:r w:rsidR="003C5306" w:rsidRPr="008725D2">
        <w:t>. Заказчик вправе провести независимую экспертизу с целью дет</w:t>
      </w:r>
      <w:r w:rsidR="00BD70AB" w:rsidRPr="008725D2">
        <w:t>ального исследования оказанных оформительских услуг</w:t>
      </w:r>
      <w:r w:rsidR="003C5306" w:rsidRPr="008725D2">
        <w:t xml:space="preserve"> на соответствие требованиям, установленным Договором. </w:t>
      </w:r>
    </w:p>
    <w:p w:rsidR="003C5306" w:rsidRPr="008725D2" w:rsidRDefault="008725D2" w:rsidP="003C5306">
      <w:pPr>
        <w:pStyle w:val="a3"/>
        <w:ind w:firstLine="567"/>
        <w:jc w:val="both"/>
      </w:pPr>
      <w:r w:rsidRPr="008725D2">
        <w:t>5</w:t>
      </w:r>
      <w:r w:rsidR="00775C02" w:rsidRPr="008725D2">
        <w:t>.3</w:t>
      </w:r>
      <w:r w:rsidR="003C5306" w:rsidRPr="008725D2">
        <w:t>. Оформление, не</w:t>
      </w:r>
      <w:r w:rsidR="00152288" w:rsidRPr="008725D2">
        <w:t xml:space="preserve"> </w:t>
      </w:r>
      <w:r w:rsidR="003C5306" w:rsidRPr="008725D2">
        <w:t>соответствующее требованиям технического задания, должно быть заменено Подрядчиком в 3-х-дневный срок с момента обращения Заказчика.</w:t>
      </w:r>
    </w:p>
    <w:p w:rsidR="003C5306" w:rsidRPr="008725D2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b/>
          <w:color w:val="000000"/>
        </w:rPr>
      </w:pPr>
      <w:r w:rsidRPr="008725D2">
        <w:rPr>
          <w:b/>
          <w:color w:val="000000"/>
        </w:rPr>
        <w:t>6</w:t>
      </w:r>
      <w:r w:rsidR="003C5306" w:rsidRPr="008725D2">
        <w:rPr>
          <w:b/>
          <w:color w:val="000000"/>
        </w:rPr>
        <w:t>. Дополнительные треб</w:t>
      </w:r>
      <w:r w:rsidR="00BD70AB" w:rsidRPr="008725D2">
        <w:rPr>
          <w:b/>
          <w:color w:val="000000"/>
        </w:rPr>
        <w:t>ования по организации оказания услуг</w:t>
      </w:r>
      <w:r w:rsidR="003C5306" w:rsidRPr="008725D2">
        <w:rPr>
          <w:b/>
          <w:color w:val="000000"/>
        </w:rPr>
        <w:t>:</w:t>
      </w:r>
    </w:p>
    <w:p w:rsidR="00A830AC" w:rsidRPr="008725D2" w:rsidRDefault="008725D2" w:rsidP="00A830AC">
      <w:pPr>
        <w:ind w:firstLine="567"/>
        <w:contextualSpacing/>
        <w:jc w:val="both"/>
      </w:pPr>
      <w:r w:rsidRPr="008725D2">
        <w:t>6</w:t>
      </w:r>
      <w:r w:rsidR="00A830AC" w:rsidRPr="008725D2">
        <w:t>.1 Для взаимодействия с Заказчиком Исполнитель обязан в течение 1 (одного) рабочего</w:t>
      </w:r>
      <w:r w:rsidR="00BD70AB" w:rsidRPr="008725D2">
        <w:t xml:space="preserve"> дня с даты заключения Договора</w:t>
      </w:r>
      <w:r w:rsidR="00A830AC" w:rsidRPr="008725D2">
        <w:t xml:space="preserve"> назначить контактное лицо и сообщить адрес электронной почты, номер телефона. Исполнитель обязан предоставить Заказчику информацию о лице, ответственном за </w:t>
      </w:r>
      <w:r w:rsidR="00BD70AB" w:rsidRPr="008725D2">
        <w:t>оказание услуг</w:t>
      </w:r>
      <w:r w:rsidR="00A830AC" w:rsidRPr="008725D2">
        <w:t xml:space="preserve">, с указанием предоставляемых ему полномочий и уведомить об этом Заказчика. </w:t>
      </w:r>
    </w:p>
    <w:p w:rsidR="00A830AC" w:rsidRPr="008725D2" w:rsidRDefault="00A830AC" w:rsidP="00B979DC">
      <w:pPr>
        <w:ind w:firstLine="567"/>
        <w:contextualSpacing/>
        <w:jc w:val="both"/>
        <w:rPr>
          <w:b/>
        </w:rPr>
      </w:pPr>
      <w:r w:rsidRPr="008725D2">
        <w:t>Об изменении контактной информации Исполнитель должен уведомить Заказчика в течение 1 (одного) рабочего дня со дня возникновения таких изменений.</w:t>
      </w:r>
    </w:p>
    <w:p w:rsidR="003C5306" w:rsidRPr="008725D2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color w:val="000000"/>
        </w:rPr>
      </w:pPr>
      <w:r w:rsidRPr="008725D2">
        <w:rPr>
          <w:color w:val="000000"/>
        </w:rPr>
        <w:t>6</w:t>
      </w:r>
      <w:r w:rsidR="00B979DC" w:rsidRPr="008725D2">
        <w:rPr>
          <w:color w:val="000000"/>
        </w:rPr>
        <w:t>.2</w:t>
      </w:r>
      <w:r w:rsidR="003C5306" w:rsidRPr="008725D2">
        <w:rPr>
          <w:color w:val="000000"/>
        </w:rPr>
        <w:t xml:space="preserve">. Персонал </w:t>
      </w:r>
      <w:r w:rsidR="00BD70AB" w:rsidRPr="008725D2">
        <w:rPr>
          <w:color w:val="000000"/>
        </w:rPr>
        <w:t>Исполнителя при оказании услуг</w:t>
      </w:r>
      <w:r w:rsidR="003C5306" w:rsidRPr="008725D2">
        <w:rPr>
          <w:color w:val="000000"/>
        </w:rPr>
        <w:t xml:space="preserve"> обязан строго соблюдать правила техники безопасности, противопожарной безопасности, охраны труда в соответствии с законодательством Российской Федерации.</w:t>
      </w:r>
    </w:p>
    <w:p w:rsidR="003C5306" w:rsidRPr="008725D2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color w:val="000000"/>
        </w:rPr>
      </w:pPr>
      <w:r w:rsidRPr="008725D2">
        <w:rPr>
          <w:color w:val="000000"/>
        </w:rPr>
        <w:t>6</w:t>
      </w:r>
      <w:r w:rsidR="00775C02" w:rsidRPr="008725D2">
        <w:rPr>
          <w:color w:val="000000"/>
        </w:rPr>
        <w:t>.3</w:t>
      </w:r>
      <w:r w:rsidR="003C5306" w:rsidRPr="008725D2">
        <w:rPr>
          <w:color w:val="000000"/>
        </w:rPr>
        <w:t xml:space="preserve">. Соблюдать правила внутреннего распорядка Заказчика, контрольно-пропускного </w:t>
      </w:r>
      <w:r w:rsidR="003C5306" w:rsidRPr="008725D2">
        <w:rPr>
          <w:color w:val="000000"/>
        </w:rPr>
        <w:lastRenderedPageBreak/>
        <w:t>режима, внутренних положений и инструкций, требований администрации Заказчика.</w:t>
      </w:r>
    </w:p>
    <w:p w:rsidR="00A830AC" w:rsidRPr="008725D2" w:rsidRDefault="008725D2" w:rsidP="00B979DC">
      <w:pPr>
        <w:ind w:firstLine="567"/>
        <w:contextualSpacing/>
        <w:jc w:val="both"/>
        <w:rPr>
          <w:bCs/>
        </w:rPr>
      </w:pPr>
      <w:r w:rsidRPr="008725D2">
        <w:rPr>
          <w:bCs/>
        </w:rPr>
        <w:t>6</w:t>
      </w:r>
      <w:r w:rsidR="00775C02" w:rsidRPr="008725D2">
        <w:rPr>
          <w:bCs/>
        </w:rPr>
        <w:t>.4</w:t>
      </w:r>
      <w:r w:rsidR="00A830AC" w:rsidRPr="008725D2">
        <w:rPr>
          <w:bCs/>
        </w:rPr>
        <w:t>. Исполнитель обязан уведомить Заказ</w:t>
      </w:r>
      <w:r w:rsidRPr="008725D2">
        <w:rPr>
          <w:bCs/>
        </w:rPr>
        <w:t>чика о дате и времени оказания Услуг</w:t>
      </w:r>
      <w:r w:rsidR="00A830AC" w:rsidRPr="008725D2">
        <w:rPr>
          <w:bCs/>
        </w:rPr>
        <w:t xml:space="preserve"> не позднее, чем за 12 часов до предполагаемой даты выполнения с указанием: даты, времени номера транспортного ср</w:t>
      </w:r>
      <w:r w:rsidR="00B979DC" w:rsidRPr="008725D2">
        <w:rPr>
          <w:bCs/>
        </w:rPr>
        <w:t>едства,</w:t>
      </w:r>
      <w:r w:rsidR="00A830AC" w:rsidRPr="008725D2">
        <w:rPr>
          <w:bCs/>
        </w:rPr>
        <w:t xml:space="preserve"> ФИО сопровождающего лица.</w:t>
      </w:r>
    </w:p>
    <w:p w:rsidR="003C5306" w:rsidRPr="008725D2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color w:val="000000"/>
        </w:rPr>
      </w:pPr>
      <w:r w:rsidRPr="008725D2">
        <w:rPr>
          <w:color w:val="000000"/>
        </w:rPr>
        <w:t>6</w:t>
      </w:r>
      <w:r w:rsidR="00775C02" w:rsidRPr="008725D2">
        <w:rPr>
          <w:color w:val="000000"/>
        </w:rPr>
        <w:t>.5</w:t>
      </w:r>
      <w:r w:rsidRPr="008725D2">
        <w:rPr>
          <w:color w:val="000000"/>
        </w:rPr>
        <w:t>. Услуги оказываются</w:t>
      </w:r>
      <w:r w:rsidR="003C5306" w:rsidRPr="008725D2">
        <w:rPr>
          <w:color w:val="000000"/>
        </w:rPr>
        <w:t xml:space="preserve"> в присутствии сотрудников музея (хранителей музейных предметов и реставраторов).</w:t>
      </w:r>
    </w:p>
    <w:p w:rsidR="003C5306" w:rsidRPr="008725D2" w:rsidRDefault="008725D2" w:rsidP="003C5306">
      <w:pPr>
        <w:widowControl w:val="0"/>
        <w:tabs>
          <w:tab w:val="left" w:pos="9348"/>
        </w:tabs>
        <w:ind w:right="-8" w:firstLine="567"/>
        <w:contextualSpacing/>
        <w:jc w:val="both"/>
        <w:rPr>
          <w:color w:val="000000"/>
        </w:rPr>
      </w:pPr>
      <w:r w:rsidRPr="008725D2">
        <w:rPr>
          <w:color w:val="000000"/>
        </w:rPr>
        <w:t>6</w:t>
      </w:r>
      <w:r w:rsidR="00775C02" w:rsidRPr="008725D2">
        <w:rPr>
          <w:color w:val="000000"/>
        </w:rPr>
        <w:t>.6</w:t>
      </w:r>
      <w:r w:rsidR="003C5306" w:rsidRPr="008725D2">
        <w:rPr>
          <w:color w:val="000000"/>
        </w:rPr>
        <w:t>. Исполнитель несет в полном объеме материальную ответственность в случае повреждения музейных предметов, а также совершения иных действий, повлекших причинение ущерба Заказчику.</w:t>
      </w:r>
    </w:p>
    <w:p w:rsidR="003D7BD4" w:rsidRPr="008725D2" w:rsidRDefault="008725D2" w:rsidP="006D2522">
      <w:pPr>
        <w:ind w:firstLine="567"/>
      </w:pPr>
      <w:r w:rsidRPr="008725D2">
        <w:t>6</w:t>
      </w:r>
      <w:r w:rsidR="00775C02" w:rsidRPr="008725D2">
        <w:t>.7</w:t>
      </w:r>
      <w:r w:rsidR="00B979DC" w:rsidRPr="008725D2">
        <w:t>.</w:t>
      </w:r>
      <w:r w:rsidR="003C5306" w:rsidRPr="008725D2">
        <w:t xml:space="preserve"> Исполнитель гарантирует качество и</w:t>
      </w:r>
      <w:r w:rsidRPr="008725D2">
        <w:t>спользуемых для оказания услуг</w:t>
      </w:r>
      <w:r w:rsidR="003C5306" w:rsidRPr="008725D2">
        <w:t xml:space="preserve"> материалов в соответствии с утвержденными законодательством Российской Федерации стандартами.</w:t>
      </w:r>
      <w:r w:rsidR="003C5306" w:rsidRPr="008725D2">
        <w:rPr>
          <w:color w:val="2C2D2E"/>
        </w:rPr>
        <w:tab/>
      </w:r>
      <w:r w:rsidR="006D2522" w:rsidRPr="008725D2">
        <w:rPr>
          <w:color w:val="2C2D2E"/>
        </w:rPr>
        <w:tab/>
      </w:r>
    </w:p>
    <w:p w:rsidR="003D7BD4" w:rsidRPr="008725D2" w:rsidRDefault="008725D2" w:rsidP="008725D2">
      <w:pPr>
        <w:ind w:firstLine="567"/>
        <w:contextualSpacing/>
        <w:jc w:val="both"/>
        <w:rPr>
          <w:b/>
        </w:rPr>
      </w:pPr>
      <w:r>
        <w:rPr>
          <w:b/>
        </w:rPr>
        <w:t>7</w:t>
      </w:r>
      <w:r w:rsidR="003D7BD4" w:rsidRPr="008725D2">
        <w:rPr>
          <w:b/>
        </w:rPr>
        <w:t xml:space="preserve">. Представительство сторон </w:t>
      </w:r>
    </w:p>
    <w:p w:rsidR="00DD148D" w:rsidRDefault="008725D2" w:rsidP="0070358F">
      <w:pPr>
        <w:widowControl w:val="0"/>
        <w:tabs>
          <w:tab w:val="left" w:pos="709"/>
          <w:tab w:val="left" w:pos="993"/>
        </w:tabs>
        <w:ind w:right="-8"/>
        <w:contextualSpacing/>
        <w:jc w:val="both"/>
      </w:pPr>
      <w:r>
        <w:t>7</w:t>
      </w:r>
      <w:r w:rsidR="003D7BD4" w:rsidRPr="008725D2">
        <w:t>.1. Стороны признают электронную переписку с адресов, предоставленных сторонами, в качестве надлежащего уведомления об исполн</w:t>
      </w:r>
      <w:r w:rsidR="0070358F">
        <w:t>ении обязательств по контракту.</w:t>
      </w:r>
    </w:p>
    <w:p w:rsidR="0070358F" w:rsidRPr="008725D2" w:rsidRDefault="0070358F" w:rsidP="0070358F">
      <w:pPr>
        <w:widowControl w:val="0"/>
        <w:tabs>
          <w:tab w:val="left" w:pos="709"/>
          <w:tab w:val="left" w:pos="993"/>
        </w:tabs>
        <w:ind w:right="-8"/>
        <w:contextualSpacing/>
        <w:jc w:val="both"/>
      </w:pPr>
    </w:p>
    <w:p w:rsidR="00DD148D" w:rsidRPr="008725D2" w:rsidRDefault="00DD148D" w:rsidP="00DD148D">
      <w:pPr>
        <w:shd w:val="clear" w:color="auto" w:fill="FFFFFF"/>
        <w:rPr>
          <w:color w:val="2C2D2E"/>
        </w:rPr>
      </w:pPr>
      <w:r w:rsidRPr="008725D2">
        <w:rPr>
          <w:color w:val="2C2D2E"/>
        </w:rPr>
        <w:t xml:space="preserve">Специалист по экспозиционной </w:t>
      </w:r>
    </w:p>
    <w:p w:rsidR="00B47981" w:rsidRPr="004F35B2" w:rsidRDefault="00DD148D" w:rsidP="004F35B2">
      <w:pPr>
        <w:pBdr>
          <w:top w:val="nil"/>
          <w:left w:val="nil"/>
          <w:bottom w:val="nil"/>
          <w:right w:val="nil"/>
          <w:between w:val="nil"/>
        </w:pBdr>
        <w:rPr>
          <w:color w:val="2C2D2E"/>
        </w:rPr>
      </w:pPr>
      <w:r w:rsidRPr="008725D2">
        <w:rPr>
          <w:color w:val="2C2D2E"/>
        </w:rPr>
        <w:t>и выставочн</w:t>
      </w:r>
      <w:r w:rsidR="00156D59">
        <w:rPr>
          <w:color w:val="2C2D2E"/>
        </w:rPr>
        <w:t>ой деятельности</w:t>
      </w:r>
      <w:r w:rsidR="00156D59">
        <w:rPr>
          <w:color w:val="2C2D2E"/>
        </w:rPr>
        <w:tab/>
      </w:r>
      <w:r w:rsidR="00156D59">
        <w:rPr>
          <w:color w:val="2C2D2E"/>
        </w:rPr>
        <w:tab/>
      </w:r>
      <w:r w:rsidR="00156D59">
        <w:rPr>
          <w:color w:val="2C2D2E"/>
        </w:rPr>
        <w:tab/>
      </w:r>
      <w:r w:rsidR="00156D59">
        <w:rPr>
          <w:color w:val="2C2D2E"/>
        </w:rPr>
        <w:tab/>
      </w:r>
      <w:r w:rsidR="00156D59">
        <w:rPr>
          <w:color w:val="2C2D2E"/>
        </w:rPr>
        <w:tab/>
      </w:r>
      <w:r w:rsidR="00156D59">
        <w:rPr>
          <w:color w:val="2C2D2E"/>
        </w:rPr>
        <w:tab/>
        <w:t>Е.А</w:t>
      </w:r>
      <w:r w:rsidR="001F1680">
        <w:rPr>
          <w:color w:val="2C2D2E"/>
        </w:rPr>
        <w:t xml:space="preserve">. </w:t>
      </w:r>
      <w:r w:rsidR="00156D59">
        <w:rPr>
          <w:color w:val="2C2D2E"/>
        </w:rPr>
        <w:t>Ермолаева</w:t>
      </w:r>
    </w:p>
    <w:p w:rsidR="00B47981" w:rsidRDefault="00B47981" w:rsidP="004F35B2">
      <w:pPr>
        <w:widowControl w:val="0"/>
        <w:tabs>
          <w:tab w:val="left" w:pos="2970"/>
        </w:tabs>
      </w:pPr>
    </w:p>
    <w:p w:rsidR="00037FAB" w:rsidRDefault="00037FAB" w:rsidP="004F35B2">
      <w:pPr>
        <w:widowControl w:val="0"/>
        <w:tabs>
          <w:tab w:val="left" w:pos="2970"/>
        </w:tabs>
      </w:pPr>
    </w:p>
    <w:p w:rsidR="00037FAB" w:rsidRDefault="00037FAB" w:rsidP="004F35B2">
      <w:pPr>
        <w:widowControl w:val="0"/>
        <w:tabs>
          <w:tab w:val="left" w:pos="2970"/>
        </w:tabs>
      </w:pPr>
    </w:p>
    <w:p w:rsidR="00037FAB" w:rsidRDefault="00037FAB" w:rsidP="004F35B2">
      <w:pPr>
        <w:widowControl w:val="0"/>
        <w:tabs>
          <w:tab w:val="left" w:pos="2970"/>
        </w:tabs>
      </w:pPr>
    </w:p>
    <w:p w:rsidR="000B06A6" w:rsidRDefault="000B06A6" w:rsidP="000B06A6">
      <w:pPr>
        <w:widowControl w:val="0"/>
        <w:tabs>
          <w:tab w:val="left" w:pos="2970"/>
        </w:tabs>
      </w:pPr>
    </w:p>
    <w:p w:rsidR="0070358F" w:rsidRPr="00261DA7" w:rsidRDefault="0070358F" w:rsidP="000B06A6">
      <w:pPr>
        <w:widowControl w:val="0"/>
        <w:tabs>
          <w:tab w:val="left" w:pos="2970"/>
        </w:tabs>
      </w:pPr>
    </w:p>
    <w:p w:rsidR="00156D59" w:rsidRDefault="00156D59">
      <w:pPr>
        <w:spacing w:after="160" w:line="259" w:lineRule="auto"/>
      </w:pPr>
    </w:p>
    <w:sectPr w:rsidR="0015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F75"/>
    <w:multiLevelType w:val="hybridMultilevel"/>
    <w:tmpl w:val="D1B6DB7A"/>
    <w:lvl w:ilvl="0" w:tplc="7ACA3E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93C2E"/>
    <w:multiLevelType w:val="multilevel"/>
    <w:tmpl w:val="D1CAC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6F4758"/>
    <w:multiLevelType w:val="hybridMultilevel"/>
    <w:tmpl w:val="AAD2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A2286D"/>
    <w:multiLevelType w:val="hybridMultilevel"/>
    <w:tmpl w:val="133E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6F2E"/>
    <w:multiLevelType w:val="hybridMultilevel"/>
    <w:tmpl w:val="18C0D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6278B5"/>
    <w:multiLevelType w:val="hybridMultilevel"/>
    <w:tmpl w:val="031A70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74D0AD8"/>
    <w:multiLevelType w:val="hybridMultilevel"/>
    <w:tmpl w:val="83609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4E1F"/>
    <w:multiLevelType w:val="hybridMultilevel"/>
    <w:tmpl w:val="8A26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6AD"/>
    <w:multiLevelType w:val="multilevel"/>
    <w:tmpl w:val="933C04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1CF5631"/>
    <w:multiLevelType w:val="multilevel"/>
    <w:tmpl w:val="9F5E8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7675F4"/>
    <w:multiLevelType w:val="hybridMultilevel"/>
    <w:tmpl w:val="3A588D86"/>
    <w:lvl w:ilvl="0" w:tplc="3208E298">
      <w:start w:val="89"/>
      <w:numFmt w:val="decimal"/>
      <w:lvlText w:val="%1."/>
      <w:lvlJc w:val="left"/>
      <w:pPr>
        <w:ind w:left="-227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AE"/>
    <w:rsid w:val="0001078F"/>
    <w:rsid w:val="00014C13"/>
    <w:rsid w:val="00015267"/>
    <w:rsid w:val="00017B59"/>
    <w:rsid w:val="00037FAB"/>
    <w:rsid w:val="00057825"/>
    <w:rsid w:val="000649E7"/>
    <w:rsid w:val="000A0F5A"/>
    <w:rsid w:val="000B06A6"/>
    <w:rsid w:val="000B092B"/>
    <w:rsid w:val="000E7A87"/>
    <w:rsid w:val="000F076A"/>
    <w:rsid w:val="000F1236"/>
    <w:rsid w:val="000F7FE1"/>
    <w:rsid w:val="00122D4A"/>
    <w:rsid w:val="00133EF7"/>
    <w:rsid w:val="00144671"/>
    <w:rsid w:val="00152288"/>
    <w:rsid w:val="00156D59"/>
    <w:rsid w:val="00164A03"/>
    <w:rsid w:val="00167EE4"/>
    <w:rsid w:val="0017436F"/>
    <w:rsid w:val="00186876"/>
    <w:rsid w:val="00191119"/>
    <w:rsid w:val="001B01E7"/>
    <w:rsid w:val="001C0100"/>
    <w:rsid w:val="001C3E21"/>
    <w:rsid w:val="001D366E"/>
    <w:rsid w:val="001F1680"/>
    <w:rsid w:val="00202E8C"/>
    <w:rsid w:val="0022791C"/>
    <w:rsid w:val="00243FBA"/>
    <w:rsid w:val="00247612"/>
    <w:rsid w:val="00254C72"/>
    <w:rsid w:val="00257EA0"/>
    <w:rsid w:val="00261DA7"/>
    <w:rsid w:val="0026713A"/>
    <w:rsid w:val="002748C6"/>
    <w:rsid w:val="00274F55"/>
    <w:rsid w:val="00281713"/>
    <w:rsid w:val="002A28ED"/>
    <w:rsid w:val="002C0989"/>
    <w:rsid w:val="002E3661"/>
    <w:rsid w:val="0030182D"/>
    <w:rsid w:val="003018A1"/>
    <w:rsid w:val="003114A3"/>
    <w:rsid w:val="00314EDD"/>
    <w:rsid w:val="0033034F"/>
    <w:rsid w:val="00346DFE"/>
    <w:rsid w:val="00361786"/>
    <w:rsid w:val="003676DC"/>
    <w:rsid w:val="003A0085"/>
    <w:rsid w:val="003B373E"/>
    <w:rsid w:val="003C5306"/>
    <w:rsid w:val="003D7BD4"/>
    <w:rsid w:val="003E4D48"/>
    <w:rsid w:val="0040742B"/>
    <w:rsid w:val="004113EC"/>
    <w:rsid w:val="00411A82"/>
    <w:rsid w:val="004122FF"/>
    <w:rsid w:val="00427562"/>
    <w:rsid w:val="00437223"/>
    <w:rsid w:val="00441357"/>
    <w:rsid w:val="0048602B"/>
    <w:rsid w:val="00497A18"/>
    <w:rsid w:val="004A3100"/>
    <w:rsid w:val="004A5DCB"/>
    <w:rsid w:val="004B0BED"/>
    <w:rsid w:val="004D415F"/>
    <w:rsid w:val="004F35B2"/>
    <w:rsid w:val="00522D0C"/>
    <w:rsid w:val="00526696"/>
    <w:rsid w:val="00537141"/>
    <w:rsid w:val="005501AF"/>
    <w:rsid w:val="0055039F"/>
    <w:rsid w:val="0056486E"/>
    <w:rsid w:val="005947BE"/>
    <w:rsid w:val="005A6E0B"/>
    <w:rsid w:val="005D03BB"/>
    <w:rsid w:val="005D6E00"/>
    <w:rsid w:val="005E2C5D"/>
    <w:rsid w:val="006158AD"/>
    <w:rsid w:val="00621378"/>
    <w:rsid w:val="006414C6"/>
    <w:rsid w:val="00647DA0"/>
    <w:rsid w:val="00657266"/>
    <w:rsid w:val="006645BC"/>
    <w:rsid w:val="0067023B"/>
    <w:rsid w:val="00686B18"/>
    <w:rsid w:val="00692473"/>
    <w:rsid w:val="006A0574"/>
    <w:rsid w:val="006A500B"/>
    <w:rsid w:val="006C5ED8"/>
    <w:rsid w:val="006D15EE"/>
    <w:rsid w:val="006D2522"/>
    <w:rsid w:val="006D268B"/>
    <w:rsid w:val="006E2ADD"/>
    <w:rsid w:val="006E591B"/>
    <w:rsid w:val="006F31DB"/>
    <w:rsid w:val="007007DB"/>
    <w:rsid w:val="0070331D"/>
    <w:rsid w:val="0070358F"/>
    <w:rsid w:val="00710240"/>
    <w:rsid w:val="00710C12"/>
    <w:rsid w:val="00723458"/>
    <w:rsid w:val="00740E2A"/>
    <w:rsid w:val="00742746"/>
    <w:rsid w:val="00750908"/>
    <w:rsid w:val="00767D3E"/>
    <w:rsid w:val="007731A9"/>
    <w:rsid w:val="00775C02"/>
    <w:rsid w:val="007903F7"/>
    <w:rsid w:val="00791D78"/>
    <w:rsid w:val="0079261F"/>
    <w:rsid w:val="007F7E64"/>
    <w:rsid w:val="008009A9"/>
    <w:rsid w:val="00801027"/>
    <w:rsid w:val="00815189"/>
    <w:rsid w:val="008725D2"/>
    <w:rsid w:val="008814E4"/>
    <w:rsid w:val="008A6E4B"/>
    <w:rsid w:val="008B6999"/>
    <w:rsid w:val="008B7D86"/>
    <w:rsid w:val="008B7E1A"/>
    <w:rsid w:val="008C0248"/>
    <w:rsid w:val="008C0CBC"/>
    <w:rsid w:val="008C6A82"/>
    <w:rsid w:val="008D3DD7"/>
    <w:rsid w:val="008E362A"/>
    <w:rsid w:val="008F5751"/>
    <w:rsid w:val="00926F11"/>
    <w:rsid w:val="00933729"/>
    <w:rsid w:val="00937BCA"/>
    <w:rsid w:val="00946309"/>
    <w:rsid w:val="009705E6"/>
    <w:rsid w:val="00995BDD"/>
    <w:rsid w:val="009A10F0"/>
    <w:rsid w:val="009B4566"/>
    <w:rsid w:val="009B736B"/>
    <w:rsid w:val="009C45F7"/>
    <w:rsid w:val="009C6371"/>
    <w:rsid w:val="009E57D7"/>
    <w:rsid w:val="009F711D"/>
    <w:rsid w:val="00A13854"/>
    <w:rsid w:val="00A360DC"/>
    <w:rsid w:val="00A46CA2"/>
    <w:rsid w:val="00A46DBD"/>
    <w:rsid w:val="00A57459"/>
    <w:rsid w:val="00A830AC"/>
    <w:rsid w:val="00A928F2"/>
    <w:rsid w:val="00AF24AE"/>
    <w:rsid w:val="00B11112"/>
    <w:rsid w:val="00B215AA"/>
    <w:rsid w:val="00B45918"/>
    <w:rsid w:val="00B47981"/>
    <w:rsid w:val="00B725D4"/>
    <w:rsid w:val="00B7506C"/>
    <w:rsid w:val="00B750AE"/>
    <w:rsid w:val="00B97785"/>
    <w:rsid w:val="00B979DC"/>
    <w:rsid w:val="00BA69A4"/>
    <w:rsid w:val="00BD2C35"/>
    <w:rsid w:val="00BD70AB"/>
    <w:rsid w:val="00BE472C"/>
    <w:rsid w:val="00BE6CB0"/>
    <w:rsid w:val="00BF7141"/>
    <w:rsid w:val="00C04DF9"/>
    <w:rsid w:val="00C21515"/>
    <w:rsid w:val="00C32187"/>
    <w:rsid w:val="00C47095"/>
    <w:rsid w:val="00C562AB"/>
    <w:rsid w:val="00C60208"/>
    <w:rsid w:val="00C60D97"/>
    <w:rsid w:val="00C661B3"/>
    <w:rsid w:val="00CA3D1F"/>
    <w:rsid w:val="00CA5E09"/>
    <w:rsid w:val="00CB0AF8"/>
    <w:rsid w:val="00CC6CFD"/>
    <w:rsid w:val="00CD5F32"/>
    <w:rsid w:val="00CE2BA8"/>
    <w:rsid w:val="00CF4139"/>
    <w:rsid w:val="00CF5E9A"/>
    <w:rsid w:val="00D22ED5"/>
    <w:rsid w:val="00D31DDD"/>
    <w:rsid w:val="00D432B0"/>
    <w:rsid w:val="00D71343"/>
    <w:rsid w:val="00D74E69"/>
    <w:rsid w:val="00D82742"/>
    <w:rsid w:val="00D95B29"/>
    <w:rsid w:val="00D97C90"/>
    <w:rsid w:val="00DC6B59"/>
    <w:rsid w:val="00DD148D"/>
    <w:rsid w:val="00DE3359"/>
    <w:rsid w:val="00E12336"/>
    <w:rsid w:val="00E1387F"/>
    <w:rsid w:val="00E24E34"/>
    <w:rsid w:val="00E30AC7"/>
    <w:rsid w:val="00E519F1"/>
    <w:rsid w:val="00E95F8D"/>
    <w:rsid w:val="00EA33D5"/>
    <w:rsid w:val="00EB04E7"/>
    <w:rsid w:val="00F05171"/>
    <w:rsid w:val="00F075EE"/>
    <w:rsid w:val="00F14B0C"/>
    <w:rsid w:val="00F20134"/>
    <w:rsid w:val="00F47E98"/>
    <w:rsid w:val="00F62B50"/>
    <w:rsid w:val="00FA0365"/>
    <w:rsid w:val="00FA5A4F"/>
    <w:rsid w:val="00FC49F7"/>
    <w:rsid w:val="00FC7E47"/>
    <w:rsid w:val="00FD61CA"/>
    <w:rsid w:val="00FF10F0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6D36-ECD6-442E-921B-C713EA29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15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3C53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30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3C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7FE1"/>
    <w:pPr>
      <w:ind w:left="708"/>
    </w:pPr>
  </w:style>
  <w:style w:type="table" w:styleId="a5">
    <w:name w:val="Table Grid"/>
    <w:basedOn w:val="a1"/>
    <w:uiPriority w:val="39"/>
    <w:rsid w:val="006D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5E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Верхний колонтитул Знак"/>
    <w:basedOn w:val="a0"/>
    <w:link w:val="a7"/>
    <w:uiPriority w:val="99"/>
    <w:rsid w:val="008A6E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rsid w:val="008A6E4B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8A6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8A6E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rsid w:val="008A6E4B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8A6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D03BB"/>
    <w:rPr>
      <w:color w:val="0563C1" w:themeColor="hyperlink"/>
      <w:u w:val="single"/>
    </w:rPr>
  </w:style>
  <w:style w:type="character" w:styleId="ab">
    <w:name w:val="Strong"/>
    <w:uiPriority w:val="22"/>
    <w:qFormat/>
    <w:rsid w:val="00DD148D"/>
    <w:rPr>
      <w:b/>
      <w:bCs/>
    </w:rPr>
  </w:style>
  <w:style w:type="character" w:customStyle="1" w:styleId="ac">
    <w:name w:val="Основной шрифт"/>
    <w:uiPriority w:val="99"/>
    <w:rsid w:val="00F05171"/>
  </w:style>
  <w:style w:type="character" w:styleId="ad">
    <w:name w:val="page number"/>
    <w:basedOn w:val="a0"/>
    <w:uiPriority w:val="99"/>
    <w:rsid w:val="00F05171"/>
    <w:rPr>
      <w:rFonts w:cs="Times New Roman"/>
    </w:rPr>
  </w:style>
  <w:style w:type="paragraph" w:styleId="ae">
    <w:name w:val="Body Text"/>
    <w:basedOn w:val="a"/>
    <w:link w:val="af"/>
    <w:uiPriority w:val="99"/>
    <w:rsid w:val="00F05171"/>
    <w:pPr>
      <w:autoSpaceDE w:val="0"/>
      <w:autoSpaceDN w:val="0"/>
    </w:pPr>
    <w:rPr>
      <w:rFonts w:eastAsiaTheme="minorEastAsia"/>
    </w:rPr>
  </w:style>
  <w:style w:type="character" w:customStyle="1" w:styleId="af">
    <w:name w:val="Основной текст Знак"/>
    <w:basedOn w:val="a0"/>
    <w:link w:val="ae"/>
    <w:uiPriority w:val="99"/>
    <w:rsid w:val="00F0517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05171"/>
    <w:pPr>
      <w:autoSpaceDE w:val="0"/>
      <w:autoSpaceDN w:val="0"/>
      <w:ind w:firstLine="567"/>
      <w:jc w:val="both"/>
    </w:pPr>
    <w:rPr>
      <w:rFonts w:eastAsiaTheme="minorEastAsia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0517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0517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0517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0517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17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0517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05171"/>
    <w:pPr>
      <w:autoSpaceDE w:val="0"/>
      <w:autoSpaceDN w:val="0"/>
    </w:pPr>
    <w:rPr>
      <w:rFonts w:ascii="Segoe UI" w:eastAsiaTheme="minorEastAsia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517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6645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7">
    <w:name w:val="Normal (Web)"/>
    <w:basedOn w:val="a"/>
    <w:uiPriority w:val="99"/>
    <w:unhideWhenUsed/>
    <w:qFormat/>
    <w:rsid w:val="0070331D"/>
    <w:pPr>
      <w:spacing w:before="100" w:beforeAutospacing="1" w:after="100" w:afterAutospacing="1"/>
    </w:pPr>
    <w:rPr>
      <w:rFonts w:eastAsiaTheme="minorEastAsia"/>
    </w:rPr>
  </w:style>
  <w:style w:type="paragraph" w:customStyle="1" w:styleId="docdata">
    <w:name w:val="docdata"/>
    <w:basedOn w:val="a"/>
    <w:uiPriority w:val="99"/>
    <w:qFormat/>
    <w:rsid w:val="0070331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D340-BA5D-460D-9210-45707EB3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Улитин</dc:creator>
  <cp:keywords/>
  <dc:description/>
  <cp:lastModifiedBy>Елизавета Ермолаева</cp:lastModifiedBy>
  <cp:revision>150</cp:revision>
  <cp:lastPrinted>2025-10-29T08:35:00Z</cp:lastPrinted>
  <dcterms:created xsi:type="dcterms:W3CDTF">2023-04-25T08:03:00Z</dcterms:created>
  <dcterms:modified xsi:type="dcterms:W3CDTF">2026-05-20T12:29:00Z</dcterms:modified>
</cp:coreProperties>
</file>