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1B" w:rsidRDefault="00AA5D84" w:rsidP="0066621B">
      <w:pPr>
        <w:pStyle w:val="a8"/>
        <w:jc w:val="center"/>
        <w:rPr>
          <w:sz w:val="26"/>
          <w:szCs w:val="26"/>
        </w:rPr>
      </w:pPr>
      <w:r>
        <w:rPr>
          <w:b/>
          <w:bCs/>
          <w:i w:val="0"/>
          <w:iCs w:val="0"/>
          <w:color w:val="132E2D"/>
          <w:sz w:val="26"/>
          <w:szCs w:val="26"/>
        </w:rPr>
        <w:t>Технические требования</w:t>
      </w:r>
    </w:p>
    <w:p w:rsidR="00662DFB" w:rsidRPr="0068004F" w:rsidRDefault="00662DFB" w:rsidP="00326E57">
      <w:pPr>
        <w:rPr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601"/>
        <w:gridCol w:w="6917"/>
      </w:tblGrid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Объект закупки</w:t>
            </w:r>
          </w:p>
        </w:tc>
        <w:tc>
          <w:tcPr>
            <w:tcW w:w="6917" w:type="dxa"/>
          </w:tcPr>
          <w:p w:rsidR="00077167" w:rsidRPr="0068004F" w:rsidRDefault="00FD3113" w:rsidP="0093025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color w:val="auto"/>
              </w:rPr>
              <w:t xml:space="preserve">Поставка </w:t>
            </w:r>
            <w:r w:rsidR="00930253" w:rsidRPr="00930253">
              <w:rPr>
                <w:rFonts w:ascii="Times New Roman" w:eastAsia="Times New Roman" w:hAnsi="Times New Roman" w:cs="Times New Roman"/>
                <w:color w:val="auto"/>
              </w:rPr>
              <w:t>комплектующих и запасных частей</w:t>
            </w:r>
            <w:r w:rsidR="0093025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30253" w:rsidRPr="00930253">
              <w:rPr>
                <w:rFonts w:ascii="Times New Roman" w:eastAsia="Times New Roman" w:hAnsi="Times New Roman" w:cs="Times New Roman"/>
                <w:color w:val="auto"/>
              </w:rPr>
              <w:t>для вычислительной техники</w:t>
            </w:r>
            <w:r w:rsidR="007714DE">
              <w:rPr>
                <w:rFonts w:ascii="Times New Roman" w:eastAsia="Times New Roman" w:hAnsi="Times New Roman" w:cs="Times New Roman"/>
                <w:color w:val="auto"/>
              </w:rPr>
              <w:t xml:space="preserve"> (ОТС-филиал</w:t>
            </w:r>
            <w:r w:rsidR="00B91E18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714DE">
              <w:rPr>
                <w:rFonts w:ascii="Times New Roman" w:eastAsia="Times New Roman" w:hAnsi="Times New Roman" w:cs="Times New Roman"/>
                <w:color w:val="auto"/>
              </w:rPr>
              <w:t xml:space="preserve"> РТУ РЭБОТИ (г. Санкт-Петербург))</w:t>
            </w:r>
            <w:r w:rsidRPr="0068004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ОКПД</w:t>
            </w:r>
            <w:proofErr w:type="gramStart"/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  <w:proofErr w:type="gramEnd"/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/(КТРУ)</w:t>
            </w:r>
          </w:p>
        </w:tc>
        <w:tc>
          <w:tcPr>
            <w:tcW w:w="6917" w:type="dxa"/>
          </w:tcPr>
          <w:p w:rsidR="00077167" w:rsidRPr="0068004F" w:rsidRDefault="00AC27B0" w:rsidP="00930253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68004F">
              <w:rPr>
                <w:sz w:val="24"/>
                <w:szCs w:val="24"/>
              </w:rPr>
              <w:t>26.20.40.1</w:t>
            </w:r>
            <w:r w:rsidR="00930253">
              <w:rPr>
                <w:sz w:val="24"/>
                <w:szCs w:val="24"/>
              </w:rPr>
              <w:t>9</w:t>
            </w:r>
            <w:r w:rsidRPr="0068004F">
              <w:rPr>
                <w:sz w:val="24"/>
                <w:szCs w:val="24"/>
              </w:rPr>
              <w:t>0</w:t>
            </w:r>
            <w:r w:rsidR="007714DE">
              <w:rPr>
                <w:sz w:val="24"/>
                <w:szCs w:val="24"/>
              </w:rPr>
              <w:t xml:space="preserve"> «</w:t>
            </w:r>
            <w:r w:rsidR="00930253" w:rsidRPr="00930253">
              <w:rPr>
                <w:sz w:val="24"/>
                <w:szCs w:val="24"/>
              </w:rPr>
              <w:t xml:space="preserve">Комплектующие и запасные части для </w:t>
            </w:r>
            <w:r w:rsidR="00930253">
              <w:rPr>
                <w:sz w:val="24"/>
                <w:szCs w:val="24"/>
              </w:rPr>
              <w:t xml:space="preserve">     </w:t>
            </w:r>
            <w:r w:rsidR="00930253" w:rsidRPr="00930253">
              <w:rPr>
                <w:sz w:val="24"/>
                <w:szCs w:val="24"/>
              </w:rPr>
              <w:t xml:space="preserve">вычислительных машин, принтеров </w:t>
            </w:r>
            <w:r w:rsidR="00930253">
              <w:rPr>
                <w:sz w:val="24"/>
                <w:szCs w:val="24"/>
              </w:rPr>
              <w:t xml:space="preserve">                                                  </w:t>
            </w:r>
            <w:r w:rsidR="00930253" w:rsidRPr="00930253">
              <w:rPr>
                <w:sz w:val="24"/>
                <w:szCs w:val="24"/>
              </w:rPr>
              <w:t xml:space="preserve">и </w:t>
            </w:r>
            <w:r w:rsidR="00930253">
              <w:rPr>
                <w:sz w:val="24"/>
                <w:szCs w:val="24"/>
              </w:rPr>
              <w:t>м</w:t>
            </w:r>
            <w:r w:rsidR="00930253" w:rsidRPr="00930253">
              <w:rPr>
                <w:sz w:val="24"/>
                <w:szCs w:val="24"/>
              </w:rPr>
              <w:t>ногофункциональных печатающих устрой</w:t>
            </w:r>
            <w:proofErr w:type="gramStart"/>
            <w:r w:rsidR="00930253" w:rsidRPr="00930253">
              <w:rPr>
                <w:sz w:val="24"/>
                <w:szCs w:val="24"/>
              </w:rPr>
              <w:t>ств пр</w:t>
            </w:r>
            <w:proofErr w:type="gramEnd"/>
            <w:r w:rsidR="00930253" w:rsidRPr="00930253">
              <w:rPr>
                <w:sz w:val="24"/>
                <w:szCs w:val="24"/>
              </w:rPr>
              <w:t>очие, не включенные в другие группировки</w:t>
            </w:r>
            <w:r w:rsidR="007714DE">
              <w:rPr>
                <w:sz w:val="24"/>
                <w:szCs w:val="24"/>
              </w:rPr>
              <w:t>».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1046C5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601" w:type="dxa"/>
          </w:tcPr>
          <w:p w:rsidR="001046C5" w:rsidRPr="0068004F" w:rsidRDefault="001046C5" w:rsidP="00326E5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Единица измерения</w:t>
            </w:r>
          </w:p>
        </w:tc>
        <w:tc>
          <w:tcPr>
            <w:tcW w:w="6917" w:type="dxa"/>
          </w:tcPr>
          <w:p w:rsidR="001046C5" w:rsidRPr="0068004F" w:rsidRDefault="00AC27B0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6917" w:type="dxa"/>
          </w:tcPr>
          <w:p w:rsidR="00AC27B0" w:rsidRPr="00AA5D84" w:rsidRDefault="00E9148A" w:rsidP="00326E5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</w:t>
            </w:r>
            <w:r w:rsidR="00AE66F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32F9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="00932F9A" w:rsidRPr="0068004F">
              <w:rPr>
                <w:rFonts w:ascii="Times New Roman" w:eastAsia="Times New Roman" w:hAnsi="Times New Roman" w:cs="Times New Roman"/>
                <w:color w:val="auto"/>
              </w:rPr>
              <w:t xml:space="preserve"> техническ</w:t>
            </w:r>
            <w:r w:rsidR="00932F9A">
              <w:rPr>
                <w:rFonts w:ascii="Times New Roman" w:eastAsia="Times New Roman" w:hAnsi="Times New Roman" w:cs="Times New Roman"/>
                <w:color w:val="auto"/>
              </w:rPr>
              <w:t>им требованиям</w:t>
            </w:r>
            <w:r w:rsidR="00AE66F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E66F8" w:rsidRPr="0068004F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7714D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6917" w:type="dxa"/>
          </w:tcPr>
          <w:p w:rsidR="00077167" w:rsidRPr="0068004F" w:rsidRDefault="00AE66F8" w:rsidP="00326E5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к</w:t>
            </w:r>
            <w:r w:rsidRPr="0068004F">
              <w:rPr>
                <w:rFonts w:ascii="Times New Roman" w:eastAsia="Times New Roman" w:hAnsi="Times New Roman" w:cs="Times New Roman"/>
                <w:color w:val="auto"/>
              </w:rPr>
              <w:t xml:space="preserve"> техническ</w:t>
            </w:r>
            <w:r w:rsidR="00932F9A">
              <w:rPr>
                <w:rFonts w:ascii="Times New Roman" w:eastAsia="Times New Roman" w:hAnsi="Times New Roman" w:cs="Times New Roman"/>
                <w:color w:val="auto"/>
              </w:rPr>
              <w:t>им</w:t>
            </w:r>
            <w:r w:rsidRPr="00AE66F8">
              <w:rPr>
                <w:rFonts w:ascii="Times New Roman" w:eastAsia="Times New Roman" w:hAnsi="Times New Roman" w:cs="Times New Roman"/>
                <w:color w:val="auto"/>
              </w:rPr>
              <w:t xml:space="preserve"> требовани</w:t>
            </w:r>
            <w:r w:rsidR="00932F9A">
              <w:rPr>
                <w:rFonts w:ascii="Times New Roman" w:eastAsia="Times New Roman" w:hAnsi="Times New Roman" w:cs="Times New Roman"/>
                <w:color w:val="auto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8004F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7714D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Сопутствующие </w:t>
            </w:r>
          </w:p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работы/у слуги</w:t>
            </w:r>
          </w:p>
        </w:tc>
        <w:tc>
          <w:tcPr>
            <w:tcW w:w="6917" w:type="dxa"/>
          </w:tcPr>
          <w:p w:rsidR="00077167" w:rsidRPr="0068004F" w:rsidRDefault="00E9148A" w:rsidP="00AC27B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Требования к товарам/ работам/услугам</w:t>
            </w:r>
          </w:p>
        </w:tc>
        <w:tc>
          <w:tcPr>
            <w:tcW w:w="6917" w:type="dxa"/>
          </w:tcPr>
          <w:p w:rsidR="00090BEC" w:rsidRPr="00AA5D84" w:rsidRDefault="00AE66F8" w:rsidP="00AC27B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к</w:t>
            </w:r>
            <w:r w:rsidRPr="0068004F">
              <w:rPr>
                <w:rFonts w:ascii="Times New Roman" w:eastAsia="Times New Roman" w:hAnsi="Times New Roman" w:cs="Times New Roman"/>
                <w:color w:val="auto"/>
              </w:rPr>
              <w:t xml:space="preserve"> техническ</w:t>
            </w:r>
            <w:r w:rsidR="00932F9A">
              <w:rPr>
                <w:rFonts w:ascii="Times New Roman" w:eastAsia="Times New Roman" w:hAnsi="Times New Roman" w:cs="Times New Roman"/>
                <w:color w:val="auto"/>
              </w:rPr>
              <w:t>им</w:t>
            </w:r>
            <w:r w:rsidRPr="00AE66F8">
              <w:rPr>
                <w:rFonts w:ascii="Times New Roman" w:eastAsia="Times New Roman" w:hAnsi="Times New Roman" w:cs="Times New Roman"/>
                <w:color w:val="auto"/>
              </w:rPr>
              <w:t xml:space="preserve"> требовани</w:t>
            </w:r>
            <w:r w:rsidR="00932F9A">
              <w:rPr>
                <w:rFonts w:ascii="Times New Roman" w:eastAsia="Times New Roman" w:hAnsi="Times New Roman" w:cs="Times New Roman"/>
                <w:color w:val="auto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2</w:t>
            </w:r>
            <w:r w:rsidR="007714D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Порядок </w:t>
            </w:r>
            <w:proofErr w:type="gramStart"/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поставки товаров/выполнения работ/оказания услуг</w:t>
            </w:r>
            <w:proofErr w:type="gramEnd"/>
          </w:p>
        </w:tc>
        <w:tc>
          <w:tcPr>
            <w:tcW w:w="6917" w:type="dxa"/>
          </w:tcPr>
          <w:p w:rsidR="00077167" w:rsidRPr="0068004F" w:rsidRDefault="00E9148A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color w:val="auto"/>
              </w:rPr>
              <w:t>С 9:00 до 12:00 и с 13:00 до 17:00</w:t>
            </w:r>
            <w:r w:rsidR="007714DE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077167" w:rsidRPr="0068004F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Место </w:t>
            </w:r>
            <w:proofErr w:type="gramStart"/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поставки товаров/выполнения работ/оказания услуг</w:t>
            </w:r>
            <w:proofErr w:type="gramEnd"/>
          </w:p>
        </w:tc>
        <w:tc>
          <w:tcPr>
            <w:tcW w:w="6917" w:type="dxa"/>
          </w:tcPr>
          <w:p w:rsidR="007714DE" w:rsidRPr="007714DE" w:rsidRDefault="007714DE" w:rsidP="007714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191187,</w:t>
            </w:r>
            <w:r w:rsidR="00E9148A" w:rsidRPr="006800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714DE">
              <w:rPr>
                <w:rFonts w:ascii="Times New Roman" w:eastAsia="Times New Roman" w:hAnsi="Times New Roman" w:cs="Times New Roman"/>
                <w:color w:val="auto"/>
              </w:rPr>
              <w:t>г Санкт-Петербург, ул</w:t>
            </w:r>
            <w:r w:rsidR="00AA5D84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7714D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7714DE">
              <w:rPr>
                <w:rFonts w:ascii="Times New Roman" w:eastAsia="Times New Roman" w:hAnsi="Times New Roman" w:cs="Times New Roman"/>
                <w:color w:val="auto"/>
              </w:rPr>
              <w:t>Шпалерная</w:t>
            </w:r>
            <w:proofErr w:type="gramEnd"/>
            <w:r w:rsidRPr="007714DE">
              <w:rPr>
                <w:rFonts w:ascii="Times New Roman" w:eastAsia="Times New Roman" w:hAnsi="Times New Roman" w:cs="Times New Roman"/>
                <w:color w:val="auto"/>
              </w:rPr>
              <w:t>, д 14</w:t>
            </w:r>
          </w:p>
          <w:p w:rsidR="00077167" w:rsidRPr="0068004F" w:rsidRDefault="007714DE" w:rsidP="007714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714DE">
              <w:rPr>
                <w:rFonts w:ascii="Times New Roman" w:eastAsia="Times New Roman" w:hAnsi="Times New Roman" w:cs="Times New Roman"/>
                <w:color w:val="auto"/>
              </w:rPr>
              <w:t>литера 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Сроки </w:t>
            </w:r>
            <w:proofErr w:type="gramStart"/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поставки товаров/выполнения работ/оказания услуг</w:t>
            </w:r>
            <w:proofErr w:type="gramEnd"/>
          </w:p>
        </w:tc>
        <w:tc>
          <w:tcPr>
            <w:tcW w:w="6917" w:type="dxa"/>
          </w:tcPr>
          <w:p w:rsidR="00077167" w:rsidRPr="0068004F" w:rsidRDefault="00E9148A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color w:val="auto"/>
              </w:rPr>
              <w:t xml:space="preserve">20 рабочих дней </w:t>
            </w:r>
            <w:proofErr w:type="gramStart"/>
            <w:r w:rsidRPr="0068004F">
              <w:rPr>
                <w:rFonts w:ascii="Times New Roman" w:eastAsia="Times New Roman" w:hAnsi="Times New Roman" w:cs="Times New Roman"/>
                <w:color w:val="auto"/>
              </w:rPr>
              <w:t>с даты заключения</w:t>
            </w:r>
            <w:proofErr w:type="gramEnd"/>
            <w:r w:rsidRPr="0068004F">
              <w:rPr>
                <w:rFonts w:ascii="Times New Roman" w:eastAsia="Times New Roman" w:hAnsi="Times New Roman" w:cs="Times New Roman"/>
                <w:color w:val="auto"/>
              </w:rPr>
              <w:t xml:space="preserve"> контракта</w:t>
            </w:r>
            <w:r w:rsidR="007714D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6917" w:type="dxa"/>
          </w:tcPr>
          <w:p w:rsidR="00077167" w:rsidRPr="0068004F" w:rsidRDefault="00E9148A" w:rsidP="00E914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color w:val="auto"/>
              </w:rPr>
              <w:t>20 рабочих дней</w:t>
            </w:r>
            <w:r w:rsidR="007714D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="007714DE">
              <w:rPr>
                <w:rFonts w:ascii="Times New Roman" w:eastAsia="Times New Roman" w:hAnsi="Times New Roman" w:cs="Times New Roman"/>
                <w:color w:val="auto"/>
              </w:rPr>
              <w:t>с даты получения</w:t>
            </w:r>
            <w:proofErr w:type="gramEnd"/>
            <w:r w:rsidR="007714DE">
              <w:rPr>
                <w:rFonts w:ascii="Times New Roman" w:eastAsia="Times New Roman" w:hAnsi="Times New Roman" w:cs="Times New Roman"/>
                <w:color w:val="auto"/>
              </w:rPr>
              <w:t xml:space="preserve"> Заказчиком от Поставщика документов подтверждающих выполнение обязательств по контракту.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Дополнительные расходы, включенные в пену контракта</w:t>
            </w:r>
          </w:p>
        </w:tc>
        <w:tc>
          <w:tcPr>
            <w:tcW w:w="6917" w:type="dxa"/>
          </w:tcPr>
          <w:p w:rsidR="006E4668" w:rsidRPr="0068004F" w:rsidRDefault="00AA5D84" w:rsidP="00AC27B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Требования к нормативным документам</w:t>
            </w:r>
          </w:p>
        </w:tc>
        <w:tc>
          <w:tcPr>
            <w:tcW w:w="6917" w:type="dxa"/>
          </w:tcPr>
          <w:p w:rsidR="00077167" w:rsidRPr="00AA5D84" w:rsidRDefault="00932F9A" w:rsidP="00326E5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к</w:t>
            </w:r>
            <w:r w:rsidRPr="0068004F">
              <w:rPr>
                <w:rFonts w:ascii="Times New Roman" w:eastAsia="Times New Roman" w:hAnsi="Times New Roman" w:cs="Times New Roman"/>
                <w:color w:val="auto"/>
              </w:rPr>
              <w:t xml:space="preserve"> техническ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</w:t>
            </w:r>
            <w:r w:rsidRPr="00AE66F8">
              <w:rPr>
                <w:rFonts w:ascii="Times New Roman" w:eastAsia="Times New Roman" w:hAnsi="Times New Roman" w:cs="Times New Roman"/>
                <w:color w:val="auto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ям 2</w:t>
            </w:r>
            <w:r w:rsidR="00AA5D84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7723D0">
        <w:trPr>
          <w:cantSplit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lastRenderedPageBreak/>
              <w:t>14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Применение национального режима</w:t>
            </w:r>
          </w:p>
        </w:tc>
        <w:tc>
          <w:tcPr>
            <w:tcW w:w="6917" w:type="dxa"/>
          </w:tcPr>
          <w:p w:rsidR="008C4C11" w:rsidRDefault="008C4C11" w:rsidP="00672A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0253">
              <w:rPr>
                <w:rFonts w:ascii="Times New Roman" w:eastAsia="Times New Roman" w:hAnsi="Times New Roman" w:cs="Times New Roman"/>
                <w:color w:val="auto"/>
              </w:rPr>
              <w:t>В соответствии п. 205 приложения №</w:t>
            </w:r>
            <w:r w:rsidR="002D325C"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2 постановление от 23 декабря 2024 г. </w:t>
            </w:r>
            <w:r w:rsidR="0035631A">
              <w:rPr>
                <w:rFonts w:ascii="Times New Roman" w:eastAsia="Times New Roman" w:hAnsi="Times New Roman" w:cs="Times New Roman"/>
                <w:color w:val="auto"/>
              </w:rPr>
              <w:t>№</w:t>
            </w:r>
            <w:r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 1875</w:t>
            </w:r>
          </w:p>
          <w:p w:rsidR="008C4C11" w:rsidRPr="00930253" w:rsidRDefault="00AE21E8" w:rsidP="00672A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4C11" w:rsidRPr="00930253">
              <w:rPr>
                <w:rFonts w:ascii="Times New Roman" w:eastAsia="Times New Roman" w:hAnsi="Times New Roman" w:cs="Times New Roman"/>
                <w:color w:val="auto"/>
              </w:rPr>
              <w:t>«О мерах по предоставлению национального режима при осуществлении</w:t>
            </w:r>
            <w:r w:rsidR="0096383C"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4C11" w:rsidRPr="00930253">
              <w:rPr>
                <w:rFonts w:ascii="Times New Roman" w:eastAsia="Times New Roman" w:hAnsi="Times New Roman" w:cs="Times New Roman"/>
                <w:color w:val="auto"/>
              </w:rPr>
              <w:t>закупок товаров, работ, услуг для обеспечения</w:t>
            </w:r>
            <w:r w:rsidR="0096383C"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4C11" w:rsidRPr="00930253">
              <w:rPr>
                <w:rFonts w:ascii="Times New Roman" w:eastAsia="Times New Roman" w:hAnsi="Times New Roman" w:cs="Times New Roman"/>
                <w:color w:val="auto"/>
              </w:rPr>
              <w:t>государственных и муниципальных нужд, закупок</w:t>
            </w:r>
            <w:r w:rsidR="0096383C"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4C11" w:rsidRPr="00930253">
              <w:rPr>
                <w:rFonts w:ascii="Times New Roman" w:eastAsia="Times New Roman" w:hAnsi="Times New Roman" w:cs="Times New Roman"/>
                <w:color w:val="auto"/>
              </w:rPr>
              <w:t>товаров, работ, услуг отдельными видами</w:t>
            </w:r>
          </w:p>
          <w:p w:rsidR="00077167" w:rsidRPr="00930253" w:rsidRDefault="008C4C11" w:rsidP="0093025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0253">
              <w:rPr>
                <w:rFonts w:ascii="Times New Roman" w:eastAsia="Times New Roman" w:hAnsi="Times New Roman" w:cs="Times New Roman"/>
                <w:color w:val="auto"/>
              </w:rPr>
              <w:t>юридичес</w:t>
            </w:r>
            <w:r w:rsidR="0040378B"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ких лиц» </w:t>
            </w:r>
            <w:r w:rsidR="00566814"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не </w:t>
            </w:r>
            <w:r w:rsidR="0040378B" w:rsidRPr="00930253">
              <w:rPr>
                <w:rFonts w:ascii="Times New Roman" w:eastAsia="Times New Roman" w:hAnsi="Times New Roman" w:cs="Times New Roman"/>
                <w:color w:val="auto"/>
              </w:rPr>
              <w:t>применяется ограничение</w:t>
            </w:r>
            <w:r w:rsidR="00EE65E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672A21" w:rsidRPr="0093025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077167" w:rsidRPr="0068004F" w:rsidTr="007723D0">
        <w:trPr>
          <w:cantSplit/>
          <w:trHeight w:val="1022"/>
        </w:trPr>
        <w:tc>
          <w:tcPr>
            <w:tcW w:w="513" w:type="dxa"/>
          </w:tcPr>
          <w:p w:rsidR="00077167" w:rsidRPr="0068004F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601" w:type="dxa"/>
          </w:tcPr>
          <w:p w:rsidR="00077167" w:rsidRPr="0068004F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Дополнительные технические требования к объекту закупки</w:t>
            </w:r>
          </w:p>
        </w:tc>
        <w:tc>
          <w:tcPr>
            <w:tcW w:w="6917" w:type="dxa"/>
          </w:tcPr>
          <w:p w:rsidR="00077167" w:rsidRPr="00AA5D84" w:rsidRDefault="00AA5D84" w:rsidP="00AA5D84">
            <w:pPr>
              <w:tabs>
                <w:tab w:val="left" w:pos="8931"/>
                <w:tab w:val="left" w:pos="9921"/>
              </w:tabs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</w:tbl>
    <w:p w:rsidR="00077167" w:rsidRDefault="00077167" w:rsidP="00326E57">
      <w:pPr>
        <w:rPr>
          <w:rFonts w:ascii="Times New Roman" w:hAnsi="Times New Roman" w:cs="Times New Roman"/>
          <w:color w:val="auto"/>
        </w:rPr>
      </w:pPr>
    </w:p>
    <w:p w:rsidR="00215706" w:rsidRDefault="00215706" w:rsidP="00326E57">
      <w:pPr>
        <w:rPr>
          <w:rFonts w:ascii="Times New Roman" w:hAnsi="Times New Roman" w:cs="Times New Roman"/>
          <w:color w:val="auto"/>
        </w:rPr>
      </w:pPr>
    </w:p>
    <w:p w:rsidR="007723D0" w:rsidRPr="007723D0" w:rsidRDefault="007723D0" w:rsidP="00326E5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Приложения</w:t>
      </w:r>
      <w:r w:rsidRPr="007723D0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 на 2 л.</w:t>
      </w:r>
      <w:bookmarkStart w:id="0" w:name="_GoBack"/>
      <w:bookmarkEnd w:id="0"/>
      <w:r w:rsidRPr="007723D0">
        <w:rPr>
          <w:rFonts w:ascii="Times New Roman" w:hAnsi="Times New Roman" w:cs="Times New Roman"/>
          <w:color w:val="auto"/>
        </w:rPr>
        <w:t xml:space="preserve"> </w:t>
      </w: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  <w:proofErr w:type="gramStart"/>
      <w:r w:rsidRPr="0068004F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7723D0" w:rsidRDefault="0068004F" w:rsidP="00ED17CE">
      <w:pPr>
        <w:jc w:val="center"/>
        <w:rPr>
          <w:rFonts w:ascii="Times New Roman" w:hAnsi="Times New Roman" w:cs="Times New Roman"/>
        </w:rPr>
        <w:sectPr w:rsidR="0068004F" w:rsidRPr="007723D0" w:rsidSect="00000E9B">
          <w:headerReference w:type="default" r:id="rId9"/>
          <w:foot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563D0" w:rsidRPr="00CA4B0F" w:rsidRDefault="006563D0" w:rsidP="00C46AB9">
      <w:pPr>
        <w:pStyle w:val="30"/>
        <w:tabs>
          <w:tab w:val="left" w:pos="10915"/>
        </w:tabs>
        <w:spacing w:after="0"/>
        <w:ind w:left="0"/>
        <w:jc w:val="right"/>
        <w:rPr>
          <w:sz w:val="24"/>
          <w:szCs w:val="24"/>
        </w:rPr>
      </w:pPr>
      <w:r w:rsidRPr="00CA4B0F">
        <w:rPr>
          <w:sz w:val="24"/>
          <w:szCs w:val="24"/>
          <w:u w:val="none"/>
        </w:rPr>
        <w:lastRenderedPageBreak/>
        <w:t>Приложение</w:t>
      </w:r>
      <w:r w:rsidR="00000E9B" w:rsidRPr="00CA4B0F">
        <w:rPr>
          <w:sz w:val="24"/>
          <w:szCs w:val="24"/>
          <w:u w:val="none"/>
        </w:rPr>
        <w:t xml:space="preserve"> 1</w:t>
      </w:r>
    </w:p>
    <w:p w:rsidR="006563D0" w:rsidRPr="00CA4B0F" w:rsidRDefault="006563D0" w:rsidP="00C46AB9">
      <w:pPr>
        <w:pStyle w:val="30"/>
        <w:tabs>
          <w:tab w:val="left" w:pos="10915"/>
        </w:tabs>
        <w:spacing w:after="0"/>
        <w:ind w:left="0"/>
        <w:jc w:val="right"/>
        <w:rPr>
          <w:sz w:val="24"/>
          <w:szCs w:val="24"/>
          <w:u w:val="none"/>
        </w:rPr>
      </w:pPr>
      <w:r w:rsidRPr="00CA4B0F">
        <w:rPr>
          <w:sz w:val="24"/>
          <w:szCs w:val="24"/>
          <w:u w:val="none"/>
        </w:rPr>
        <w:t xml:space="preserve"> к </w:t>
      </w:r>
      <w:r w:rsidR="00CA4B0F">
        <w:rPr>
          <w:sz w:val="24"/>
          <w:szCs w:val="24"/>
          <w:u w:val="none"/>
        </w:rPr>
        <w:t>Техническим требованиям</w:t>
      </w:r>
      <w:r w:rsidRPr="00CA4B0F">
        <w:rPr>
          <w:sz w:val="24"/>
          <w:szCs w:val="24"/>
          <w:u w:val="none"/>
        </w:rPr>
        <w:t xml:space="preserve"> </w:t>
      </w:r>
    </w:p>
    <w:p w:rsidR="00C46AB9" w:rsidRPr="00C46AB9" w:rsidRDefault="00C46AB9" w:rsidP="00C46AB9">
      <w:pPr>
        <w:widowControl/>
        <w:spacing w:before="180" w:after="8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tbl>
      <w:tblPr>
        <w:tblW w:w="1004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2061"/>
        <w:gridCol w:w="2780"/>
        <w:gridCol w:w="3260"/>
        <w:gridCol w:w="709"/>
        <w:gridCol w:w="709"/>
      </w:tblGrid>
      <w:tr w:rsidR="007723D0" w:rsidRPr="007723D0" w:rsidTr="007723D0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3D0" w:rsidRPr="007723D0" w:rsidRDefault="007723D0" w:rsidP="00772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№ </w:t>
            </w:r>
            <w:proofErr w:type="gramStart"/>
            <w:r w:rsidRPr="00772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</w:t>
            </w:r>
            <w:proofErr w:type="gramEnd"/>
            <w:r w:rsidRPr="00772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/п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3D0" w:rsidRPr="007723D0" w:rsidRDefault="007723D0" w:rsidP="00772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Наименование товара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7723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3D0" w:rsidRPr="007723D0" w:rsidRDefault="007723D0" w:rsidP="007723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3D0" w:rsidRPr="007723D0" w:rsidRDefault="007723D0" w:rsidP="007723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Кол-во</w:t>
            </w: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7723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Наименование (характеристики), ед. изм.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7723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Значение показателя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 w:rsidRPr="007723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Накопитель SSD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Форм-фактор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2.5 дюйма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7723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7723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Интерфейс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SATA III (6 Гбит/с)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Ёмкость (объём)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менее 256 Гбайт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Скорость последовательного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менее 500 Мбайт/</w:t>
            </w:r>
            <w:proofErr w:type="gramStart"/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Скорость последовательной записи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менее 520 Мбайт/</w:t>
            </w:r>
            <w:proofErr w:type="gramStart"/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Ресурс записи (TBW)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менее 150 Тбайт (TBW)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Тип памяти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 xml:space="preserve">V-NAND (MLC </w:t>
            </w: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или</w:t>
            </w: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 xml:space="preserve"> TLC)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Шифрование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AES 256-бит (аппаратное)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Гарантийный срок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менее 36 (тридцати шести) месяцев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Комплект поставки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Накопитель SSD в оригинальной упаковке производителя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20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Модуль оперативной памяти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Тип памяти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DDR4 SDRAM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7723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2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шт.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7723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Конструктив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DIMM (288 контактов), 1 (один) модуль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Объём одного модуля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 Гбайт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Тактовая частота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 менее 2666 МГц (DDR4-2666, PC4-21300 или выше)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Тайминги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CL не более 19 для частоты 2666 МГц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Напряжение питания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1.2</w:t>
            </w:r>
            <w:proofErr w:type="gramStart"/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В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Поддержка ECC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Допускается наличие или отсутствие (</w:t>
            </w:r>
            <w:proofErr w:type="spellStart"/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non</w:t>
            </w:r>
            <w:proofErr w:type="spellEnd"/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-ECC)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Регистровая память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Допускается</w:t>
            </w: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 unbuffered (UDIMM) </w:t>
            </w: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или</w:t>
            </w: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 registered (RDIMM)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Гарантийный срок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 менее 36 (тридцати шести) месяцев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23D0" w:rsidRPr="007723D0" w:rsidTr="007723D0"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Комплект поставки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723D0" w:rsidRPr="00C46AB9" w:rsidRDefault="007723D0" w:rsidP="00DF65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46A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Модуль памяти в оригинальной упаковке производителя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0" w:rsidRPr="007723D0" w:rsidRDefault="007723D0" w:rsidP="00C46A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7723D0" w:rsidRDefault="007723D0" w:rsidP="00CA4B0F">
      <w:pPr>
        <w:pStyle w:val="30"/>
        <w:tabs>
          <w:tab w:val="left" w:pos="5812"/>
        </w:tabs>
        <w:spacing w:after="0"/>
        <w:ind w:left="0"/>
        <w:jc w:val="right"/>
        <w:rPr>
          <w:sz w:val="24"/>
          <w:szCs w:val="24"/>
          <w:u w:val="none"/>
          <w:lang w:val="en-US"/>
        </w:rPr>
      </w:pPr>
    </w:p>
    <w:p w:rsidR="007723D0" w:rsidRPr="007723D0" w:rsidRDefault="007723D0" w:rsidP="00CA4B0F">
      <w:pPr>
        <w:pStyle w:val="30"/>
        <w:tabs>
          <w:tab w:val="left" w:pos="5812"/>
        </w:tabs>
        <w:spacing w:after="0"/>
        <w:ind w:left="0"/>
        <w:jc w:val="right"/>
        <w:rPr>
          <w:sz w:val="24"/>
          <w:szCs w:val="24"/>
          <w:u w:val="none"/>
          <w:lang w:val="en-US"/>
        </w:rPr>
      </w:pPr>
    </w:p>
    <w:p w:rsidR="00CA4B0F" w:rsidRPr="00CA4B0F" w:rsidRDefault="00CA4B0F" w:rsidP="00CA4B0F">
      <w:pPr>
        <w:pStyle w:val="30"/>
        <w:tabs>
          <w:tab w:val="left" w:pos="5812"/>
        </w:tabs>
        <w:spacing w:after="0"/>
        <w:ind w:left="0"/>
        <w:jc w:val="right"/>
        <w:rPr>
          <w:sz w:val="24"/>
          <w:szCs w:val="24"/>
          <w:u w:val="none"/>
        </w:rPr>
      </w:pPr>
      <w:r w:rsidRPr="00CA4B0F">
        <w:rPr>
          <w:sz w:val="24"/>
          <w:szCs w:val="24"/>
          <w:u w:val="none"/>
        </w:rPr>
        <w:lastRenderedPageBreak/>
        <w:t>Приложение</w:t>
      </w:r>
      <w:r w:rsidR="007723D0">
        <w:rPr>
          <w:sz w:val="24"/>
          <w:szCs w:val="24"/>
          <w:u w:val="none"/>
        </w:rPr>
        <w:t xml:space="preserve"> 2</w:t>
      </w:r>
    </w:p>
    <w:p w:rsidR="0068004F" w:rsidRPr="0068004F" w:rsidRDefault="00CA4B0F" w:rsidP="00CA4B0F">
      <w:pPr>
        <w:pStyle w:val="30"/>
        <w:tabs>
          <w:tab w:val="left" w:pos="5812"/>
        </w:tabs>
        <w:jc w:val="right"/>
        <w:rPr>
          <w:bCs/>
          <w:color w:val="0A0A0A"/>
        </w:rPr>
      </w:pPr>
      <w:r w:rsidRPr="00CA4B0F">
        <w:rPr>
          <w:sz w:val="24"/>
          <w:szCs w:val="24"/>
          <w:u w:val="none"/>
        </w:rPr>
        <w:t xml:space="preserve"> к Техническим требованиям </w:t>
      </w: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7102"/>
        <w:gridCol w:w="3035"/>
      </w:tblGrid>
      <w:tr w:rsidR="0068004F" w:rsidRPr="0068004F" w:rsidTr="0068004F">
        <w:trPr>
          <w:trHeight w:val="20"/>
          <w:tblHeader/>
        </w:trPr>
        <w:tc>
          <w:tcPr>
            <w:tcW w:w="3503" w:type="pct"/>
          </w:tcPr>
          <w:p w:rsidR="0068004F" w:rsidRPr="0068004F" w:rsidRDefault="0068004F" w:rsidP="00ED17CE">
            <w:pPr>
              <w:jc w:val="center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Требование</w:t>
            </w:r>
          </w:p>
        </w:tc>
        <w:tc>
          <w:tcPr>
            <w:tcW w:w="1497" w:type="pct"/>
          </w:tcPr>
          <w:p w:rsidR="0068004F" w:rsidRPr="0068004F" w:rsidRDefault="0068004F" w:rsidP="00ED17CE">
            <w:pPr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Обоснование</w:t>
            </w:r>
          </w:p>
          <w:p w:rsidR="0068004F" w:rsidRPr="0068004F" w:rsidRDefault="0068004F" w:rsidP="00ED17CE">
            <w:pPr>
              <w:rPr>
                <w:rFonts w:ascii="Times New Roman" w:hAnsi="Times New Roman" w:cs="Times New Roman"/>
              </w:rPr>
            </w:pPr>
          </w:p>
        </w:tc>
      </w:tr>
      <w:tr w:rsidR="0068004F" w:rsidRPr="0068004F" w:rsidTr="0068004F">
        <w:trPr>
          <w:trHeight w:val="20"/>
        </w:trPr>
        <w:tc>
          <w:tcPr>
            <w:tcW w:w="5000" w:type="pct"/>
            <w:gridSpan w:val="2"/>
          </w:tcPr>
          <w:p w:rsidR="0068004F" w:rsidRPr="0068004F" w:rsidRDefault="0068004F" w:rsidP="00ED17CE">
            <w:pPr>
              <w:jc w:val="center"/>
              <w:rPr>
                <w:rFonts w:ascii="Times New Roman" w:hAnsi="Times New Roman" w:cs="Times New Roman"/>
                <w:b/>
                <w:bCs/>
                <w:color w:val="0A0A0A"/>
              </w:rPr>
            </w:pPr>
            <w:r w:rsidRPr="0068004F">
              <w:rPr>
                <w:rFonts w:ascii="Times New Roman" w:hAnsi="Times New Roman" w:cs="Times New Roman"/>
                <w:b/>
              </w:rPr>
              <w:t>Требования к упаковке, маркировке, этикеткам</w:t>
            </w:r>
          </w:p>
        </w:tc>
      </w:tr>
      <w:tr w:rsidR="0068004F" w:rsidRPr="0068004F" w:rsidTr="0068004F">
        <w:trPr>
          <w:trHeight w:val="20"/>
        </w:trPr>
        <w:tc>
          <w:tcPr>
            <w:tcW w:w="3503" w:type="pct"/>
          </w:tcPr>
          <w:p w:rsidR="0068004F" w:rsidRPr="0068004F" w:rsidRDefault="0068004F" w:rsidP="00ED17CE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- 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 и не ранее 2025 года выпуска.</w:t>
            </w:r>
          </w:p>
          <w:p w:rsidR="0068004F" w:rsidRPr="0068004F" w:rsidRDefault="0068004F" w:rsidP="00ED17CE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 xml:space="preserve">- 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 w:rsidRPr="0068004F">
              <w:rPr>
                <w:rFonts w:ascii="Times New Roman" w:hAnsi="Times New Roman" w:cs="Times New Roman"/>
              </w:rPr>
              <w:t>термополоса</w:t>
            </w:r>
            <w:proofErr w:type="spellEnd"/>
            <w:r w:rsidRPr="0068004F">
              <w:rPr>
                <w:rFonts w:ascii="Times New Roman" w:hAnsi="Times New Roman" w:cs="Times New Roman"/>
              </w:rPr>
              <w:t xml:space="preserve"> и т.п.);</w:t>
            </w:r>
          </w:p>
          <w:p w:rsidR="0068004F" w:rsidRPr="0068004F" w:rsidRDefault="0068004F" w:rsidP="00CA4B0F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 xml:space="preserve">- Этикетки и наклейки должны быть четкими, чистыми и хорошо читаемыми. Текст должен быть на русском языке. Не допускается наличия на этикетках и поверхностях посторонних надписей и пометок, а также посторонних этикеток. </w:t>
            </w:r>
          </w:p>
        </w:tc>
        <w:tc>
          <w:tcPr>
            <w:tcW w:w="1497" w:type="pct"/>
          </w:tcPr>
          <w:p w:rsidR="0068004F" w:rsidRPr="0068004F" w:rsidRDefault="0068004F" w:rsidP="00ED17CE">
            <w:pPr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Для подтверждения подлинности и качества товара при проверке товара во время приемки.</w:t>
            </w:r>
          </w:p>
        </w:tc>
      </w:tr>
      <w:tr w:rsidR="0068004F" w:rsidRPr="0068004F" w:rsidTr="0068004F">
        <w:trPr>
          <w:trHeight w:val="20"/>
        </w:trPr>
        <w:tc>
          <w:tcPr>
            <w:tcW w:w="5000" w:type="pct"/>
            <w:gridSpan w:val="2"/>
          </w:tcPr>
          <w:p w:rsidR="0068004F" w:rsidRPr="0068004F" w:rsidRDefault="0068004F" w:rsidP="00ED1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04F">
              <w:rPr>
                <w:rFonts w:ascii="Times New Roman" w:hAnsi="Times New Roman" w:cs="Times New Roman"/>
                <w:b/>
              </w:rPr>
              <w:t>Требования к качеству товара</w:t>
            </w:r>
          </w:p>
        </w:tc>
      </w:tr>
      <w:tr w:rsidR="0068004F" w:rsidRPr="0068004F" w:rsidTr="0068004F">
        <w:trPr>
          <w:trHeight w:val="20"/>
        </w:trPr>
        <w:tc>
          <w:tcPr>
            <w:tcW w:w="3503" w:type="pct"/>
          </w:tcPr>
          <w:p w:rsidR="0068004F" w:rsidRPr="0068004F" w:rsidRDefault="0068004F" w:rsidP="00ED17CE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- Замен</w:t>
            </w:r>
            <w:r w:rsidR="00C93CC1">
              <w:rPr>
                <w:rFonts w:ascii="Times New Roman" w:hAnsi="Times New Roman" w:cs="Times New Roman"/>
              </w:rPr>
              <w:t>а</w:t>
            </w:r>
            <w:r w:rsidRPr="0068004F">
              <w:rPr>
                <w:rFonts w:ascii="Times New Roman" w:hAnsi="Times New Roman" w:cs="Times New Roman"/>
              </w:rPr>
              <w:t xml:space="preserve"> дефектного товара долж</w:t>
            </w:r>
            <w:r w:rsidR="0040378B">
              <w:rPr>
                <w:rFonts w:ascii="Times New Roman" w:hAnsi="Times New Roman" w:cs="Times New Roman"/>
              </w:rPr>
              <w:t>на быть осуществлена в течение 5</w:t>
            </w:r>
            <w:r w:rsidRPr="0068004F">
              <w:rPr>
                <w:rFonts w:ascii="Times New Roman" w:hAnsi="Times New Roman" w:cs="Times New Roman"/>
              </w:rPr>
              <w:t xml:space="preserve"> рабочих дней.</w:t>
            </w:r>
          </w:p>
        </w:tc>
        <w:tc>
          <w:tcPr>
            <w:tcW w:w="1497" w:type="pct"/>
          </w:tcPr>
          <w:p w:rsidR="0068004F" w:rsidRPr="0068004F" w:rsidRDefault="0068004F" w:rsidP="00443908">
            <w:pPr>
              <w:spacing w:line="259" w:lineRule="auto"/>
              <w:rPr>
                <w:rFonts w:ascii="Times New Roman" w:hAnsi="Times New Roman" w:cs="Times New Roman"/>
                <w:bCs/>
                <w:color w:val="0A0A0A"/>
              </w:rPr>
            </w:pPr>
            <w:r w:rsidRPr="0068004F">
              <w:rPr>
                <w:rFonts w:ascii="Times New Roman" w:hAnsi="Times New Roman" w:cs="Times New Roman"/>
                <w:bCs/>
                <w:color w:val="0A0A0A"/>
              </w:rPr>
              <w:t>Обеспечивает бесперебойную работу оборудования.</w:t>
            </w:r>
          </w:p>
        </w:tc>
      </w:tr>
      <w:tr w:rsidR="006563D0" w:rsidRPr="006563D0" w:rsidTr="0068004F">
        <w:trPr>
          <w:trHeight w:val="20"/>
        </w:trPr>
        <w:tc>
          <w:tcPr>
            <w:tcW w:w="3503" w:type="pct"/>
          </w:tcPr>
          <w:p w:rsidR="0068004F" w:rsidRPr="006563D0" w:rsidRDefault="00C93CC1" w:rsidP="006563D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004F">
              <w:rPr>
                <w:rFonts w:ascii="Times New Roman" w:hAnsi="Times New Roman" w:cs="Times New Roman"/>
              </w:rPr>
              <w:t>- Товар должен быть в заводской упаковке с наличием антистатического пакета. Она должна обеспечивать его сохранность, целостность и качество при транспортировке любым видом транспорта, хранении и использовании в соответствии с принятыми для данного вида товара требованиями.</w:t>
            </w:r>
          </w:p>
        </w:tc>
        <w:tc>
          <w:tcPr>
            <w:tcW w:w="1497" w:type="pct"/>
          </w:tcPr>
          <w:p w:rsidR="0068004F" w:rsidRPr="006563D0" w:rsidRDefault="00C93CC1" w:rsidP="00ED17CE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8004F">
              <w:rPr>
                <w:rFonts w:ascii="Times New Roman" w:hAnsi="Times New Roman" w:cs="Times New Roman"/>
              </w:rPr>
              <w:t>Во избежание повреждения товара при транспортировке.</w:t>
            </w:r>
          </w:p>
        </w:tc>
      </w:tr>
      <w:tr w:rsidR="0068004F" w:rsidRPr="0068004F" w:rsidTr="0068004F">
        <w:trPr>
          <w:trHeight w:val="20"/>
        </w:trPr>
        <w:tc>
          <w:tcPr>
            <w:tcW w:w="5000" w:type="pct"/>
            <w:gridSpan w:val="2"/>
          </w:tcPr>
          <w:p w:rsidR="0068004F" w:rsidRPr="0068004F" w:rsidRDefault="0068004F" w:rsidP="00ED1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04F">
              <w:rPr>
                <w:rFonts w:ascii="Times New Roman" w:hAnsi="Times New Roman" w:cs="Times New Roman"/>
                <w:b/>
              </w:rPr>
              <w:t xml:space="preserve">Требования к гарантийным </w:t>
            </w:r>
            <w:r w:rsidR="00CD0311" w:rsidRPr="0068004F">
              <w:rPr>
                <w:rFonts w:ascii="Times New Roman" w:hAnsi="Times New Roman" w:cs="Times New Roman"/>
                <w:b/>
              </w:rPr>
              <w:t>обязательствам</w:t>
            </w:r>
          </w:p>
        </w:tc>
      </w:tr>
      <w:tr w:rsidR="0068004F" w:rsidRPr="0068004F" w:rsidTr="0068004F">
        <w:trPr>
          <w:trHeight w:val="20"/>
        </w:trPr>
        <w:tc>
          <w:tcPr>
            <w:tcW w:w="3503" w:type="pct"/>
          </w:tcPr>
          <w:p w:rsidR="0068004F" w:rsidRPr="0068004F" w:rsidRDefault="0068004F" w:rsidP="00ED17CE">
            <w:pPr>
              <w:pStyle w:val="af3"/>
              <w:spacing w:after="0" w:line="240" w:lineRule="auto"/>
              <w:ind w:left="0" w:firstLine="313"/>
              <w:rPr>
                <w:rFonts w:ascii="Times New Roman" w:hAnsi="Times New Roman"/>
                <w:sz w:val="24"/>
                <w:szCs w:val="24"/>
              </w:rPr>
            </w:pPr>
            <w:r w:rsidRPr="0068004F">
              <w:rPr>
                <w:rFonts w:ascii="Times New Roman" w:hAnsi="Times New Roman"/>
                <w:sz w:val="24"/>
                <w:szCs w:val="24"/>
              </w:rPr>
              <w:t>Срок гарантии должен составлять не менее 12 (двенадцати) месяцев от даты подписания Заказчиком документа о приемке. Гарантия на поставляемый товар предоставляется поставщиком на весь товар.</w:t>
            </w:r>
          </w:p>
          <w:p w:rsidR="0068004F" w:rsidRPr="0068004F" w:rsidRDefault="0068004F" w:rsidP="00C93CC1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 xml:space="preserve">      Поставщик несет ответственность за качество поставляемого Товара и удостоверяет качество и безопасность товара документами, оформленными в строгом соответствии с действующим законодательством РФ. </w:t>
            </w:r>
          </w:p>
        </w:tc>
        <w:tc>
          <w:tcPr>
            <w:tcW w:w="1497" w:type="pct"/>
          </w:tcPr>
          <w:p w:rsidR="0068004F" w:rsidRPr="0068004F" w:rsidRDefault="0068004F" w:rsidP="00ED17CE">
            <w:pPr>
              <w:spacing w:line="259" w:lineRule="auto"/>
              <w:rPr>
                <w:rFonts w:ascii="Times New Roman" w:hAnsi="Times New Roman" w:cs="Times New Roman"/>
                <w:bCs/>
                <w:color w:val="0A0A0A"/>
              </w:rPr>
            </w:pPr>
            <w:r w:rsidRPr="0068004F">
              <w:rPr>
                <w:rFonts w:ascii="Times New Roman" w:hAnsi="Times New Roman" w:cs="Times New Roman"/>
              </w:rPr>
              <w:t>Обеспечение защиты эксплуатационных показателей совместимого оборудования.</w:t>
            </w:r>
          </w:p>
        </w:tc>
      </w:tr>
    </w:tbl>
    <w:p w:rsidR="0068004F" w:rsidRPr="0068004F" w:rsidRDefault="0068004F" w:rsidP="0068004F">
      <w:pPr>
        <w:pStyle w:val="20"/>
        <w:tabs>
          <w:tab w:val="left" w:leader="underscore" w:pos="7181"/>
        </w:tabs>
        <w:spacing w:after="0"/>
        <w:ind w:firstLine="0"/>
        <w:rPr>
          <w:sz w:val="22"/>
          <w:szCs w:val="22"/>
        </w:rPr>
      </w:pPr>
    </w:p>
    <w:p w:rsidR="0068004F" w:rsidRPr="00795D3E" w:rsidRDefault="0068004F" w:rsidP="0068004F">
      <w:pPr>
        <w:tabs>
          <w:tab w:val="right" w:pos="9921"/>
        </w:tabs>
        <w:rPr>
          <w:rFonts w:ascii="Times New Roman" w:hAnsi="Times New Roman" w:cs="Times New Roman"/>
          <w:color w:val="auto"/>
        </w:rPr>
      </w:pPr>
    </w:p>
    <w:sectPr w:rsidR="0068004F" w:rsidRPr="00795D3E" w:rsidSect="007723D0">
      <w:pgSz w:w="11906" w:h="16838"/>
      <w:pgMar w:top="1134" w:right="851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4EA" w:rsidRDefault="003D44EA" w:rsidP="009A1CD3">
      <w:r>
        <w:separator/>
      </w:r>
    </w:p>
  </w:endnote>
  <w:endnote w:type="continuationSeparator" w:id="0">
    <w:p w:rsidR="003D44EA" w:rsidRDefault="003D44EA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4EA" w:rsidRDefault="003D44EA" w:rsidP="009A1CD3">
      <w:r>
        <w:separator/>
      </w:r>
    </w:p>
  </w:footnote>
  <w:footnote w:type="continuationSeparator" w:id="0">
    <w:p w:rsidR="003D44EA" w:rsidRDefault="003D44EA" w:rsidP="009A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708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8004F" w:rsidRPr="0068004F" w:rsidRDefault="0068004F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00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00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00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1B3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800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0AA"/>
    <w:multiLevelType w:val="hybridMultilevel"/>
    <w:tmpl w:val="840C55E4"/>
    <w:lvl w:ilvl="0" w:tplc="8F008B6E">
      <w:start w:val="1"/>
      <w:numFmt w:val="decimal"/>
      <w:lvlText w:val="%1."/>
      <w:lvlJc w:val="left"/>
      <w:pPr>
        <w:ind w:left="1014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>
    <w:nsid w:val="3A3D6E25"/>
    <w:multiLevelType w:val="hybridMultilevel"/>
    <w:tmpl w:val="4BB4B48C"/>
    <w:lvl w:ilvl="0" w:tplc="A9F6CDD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1FB1"/>
    <w:multiLevelType w:val="hybridMultilevel"/>
    <w:tmpl w:val="2D323E24"/>
    <w:lvl w:ilvl="0" w:tplc="510EFD8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">
    <w:nsid w:val="68972903"/>
    <w:multiLevelType w:val="multilevel"/>
    <w:tmpl w:val="272285E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30"/>
    <w:rsid w:val="00000E9B"/>
    <w:rsid w:val="00004FC6"/>
    <w:rsid w:val="00030A7C"/>
    <w:rsid w:val="00032B61"/>
    <w:rsid w:val="00037312"/>
    <w:rsid w:val="00046198"/>
    <w:rsid w:val="0005022F"/>
    <w:rsid w:val="000662D3"/>
    <w:rsid w:val="00074BE9"/>
    <w:rsid w:val="00077167"/>
    <w:rsid w:val="00083FDA"/>
    <w:rsid w:val="00090BEC"/>
    <w:rsid w:val="000B2FF7"/>
    <w:rsid w:val="000F0DD9"/>
    <w:rsid w:val="000F77A5"/>
    <w:rsid w:val="001046C5"/>
    <w:rsid w:val="00111602"/>
    <w:rsid w:val="001168EF"/>
    <w:rsid w:val="00117742"/>
    <w:rsid w:val="0013359A"/>
    <w:rsid w:val="00134081"/>
    <w:rsid w:val="001403C4"/>
    <w:rsid w:val="001505A4"/>
    <w:rsid w:val="00167547"/>
    <w:rsid w:val="001A7FFC"/>
    <w:rsid w:val="001D2FA1"/>
    <w:rsid w:val="001D61D4"/>
    <w:rsid w:val="001D6541"/>
    <w:rsid w:val="001E381C"/>
    <w:rsid w:val="001E6D18"/>
    <w:rsid w:val="001F10DF"/>
    <w:rsid w:val="001F3C22"/>
    <w:rsid w:val="00215706"/>
    <w:rsid w:val="00231836"/>
    <w:rsid w:val="002A4FF6"/>
    <w:rsid w:val="002C1FB3"/>
    <w:rsid w:val="002D325C"/>
    <w:rsid w:val="002E5E4F"/>
    <w:rsid w:val="002F1332"/>
    <w:rsid w:val="00307B35"/>
    <w:rsid w:val="00307CCD"/>
    <w:rsid w:val="00316D7C"/>
    <w:rsid w:val="00324758"/>
    <w:rsid w:val="00326E57"/>
    <w:rsid w:val="003500CD"/>
    <w:rsid w:val="0035631A"/>
    <w:rsid w:val="00381D30"/>
    <w:rsid w:val="0039536C"/>
    <w:rsid w:val="003A4901"/>
    <w:rsid w:val="003D44EA"/>
    <w:rsid w:val="003E2BD0"/>
    <w:rsid w:val="003F2362"/>
    <w:rsid w:val="0040378B"/>
    <w:rsid w:val="00443908"/>
    <w:rsid w:val="0046203A"/>
    <w:rsid w:val="00465AE0"/>
    <w:rsid w:val="0049422A"/>
    <w:rsid w:val="004A31EF"/>
    <w:rsid w:val="00511EB3"/>
    <w:rsid w:val="00517947"/>
    <w:rsid w:val="0052649B"/>
    <w:rsid w:val="0053404F"/>
    <w:rsid w:val="00541417"/>
    <w:rsid w:val="00566814"/>
    <w:rsid w:val="005849B0"/>
    <w:rsid w:val="00587595"/>
    <w:rsid w:val="005A1FF7"/>
    <w:rsid w:val="005B1B31"/>
    <w:rsid w:val="005C6841"/>
    <w:rsid w:val="005D02BD"/>
    <w:rsid w:val="005F3DF7"/>
    <w:rsid w:val="005F7747"/>
    <w:rsid w:val="00600EEC"/>
    <w:rsid w:val="00607DC0"/>
    <w:rsid w:val="00611B07"/>
    <w:rsid w:val="00612DA6"/>
    <w:rsid w:val="00621233"/>
    <w:rsid w:val="00624578"/>
    <w:rsid w:val="00626C1D"/>
    <w:rsid w:val="00627BC0"/>
    <w:rsid w:val="006446F3"/>
    <w:rsid w:val="006563D0"/>
    <w:rsid w:val="00662DFB"/>
    <w:rsid w:val="0066621B"/>
    <w:rsid w:val="00672A21"/>
    <w:rsid w:val="0068004F"/>
    <w:rsid w:val="00684E32"/>
    <w:rsid w:val="006B0B71"/>
    <w:rsid w:val="006E339F"/>
    <w:rsid w:val="006E3A53"/>
    <w:rsid w:val="006E4668"/>
    <w:rsid w:val="00707D21"/>
    <w:rsid w:val="00740CD6"/>
    <w:rsid w:val="00761DEE"/>
    <w:rsid w:val="007641C1"/>
    <w:rsid w:val="007714DE"/>
    <w:rsid w:val="007723D0"/>
    <w:rsid w:val="007819F7"/>
    <w:rsid w:val="007856EC"/>
    <w:rsid w:val="007857F5"/>
    <w:rsid w:val="00795D3E"/>
    <w:rsid w:val="007D4E6E"/>
    <w:rsid w:val="007F5629"/>
    <w:rsid w:val="0080779A"/>
    <w:rsid w:val="00810B81"/>
    <w:rsid w:val="00876561"/>
    <w:rsid w:val="008875F9"/>
    <w:rsid w:val="00895E78"/>
    <w:rsid w:val="008B51AC"/>
    <w:rsid w:val="008C4C11"/>
    <w:rsid w:val="008E4B45"/>
    <w:rsid w:val="008F7CF4"/>
    <w:rsid w:val="00901628"/>
    <w:rsid w:val="00914386"/>
    <w:rsid w:val="00930253"/>
    <w:rsid w:val="00932F9A"/>
    <w:rsid w:val="0096383C"/>
    <w:rsid w:val="00973256"/>
    <w:rsid w:val="0098717F"/>
    <w:rsid w:val="009A1CD3"/>
    <w:rsid w:val="009C2B6B"/>
    <w:rsid w:val="009C71ED"/>
    <w:rsid w:val="009F642D"/>
    <w:rsid w:val="00A314B2"/>
    <w:rsid w:val="00A819ED"/>
    <w:rsid w:val="00A86DF4"/>
    <w:rsid w:val="00A96498"/>
    <w:rsid w:val="00AA0F78"/>
    <w:rsid w:val="00AA5D84"/>
    <w:rsid w:val="00AB7DDE"/>
    <w:rsid w:val="00AC27B0"/>
    <w:rsid w:val="00AD613C"/>
    <w:rsid w:val="00AE21E8"/>
    <w:rsid w:val="00AE66F8"/>
    <w:rsid w:val="00B62321"/>
    <w:rsid w:val="00B62599"/>
    <w:rsid w:val="00B63787"/>
    <w:rsid w:val="00B82617"/>
    <w:rsid w:val="00B91E18"/>
    <w:rsid w:val="00BA3724"/>
    <w:rsid w:val="00BB4716"/>
    <w:rsid w:val="00BD0A76"/>
    <w:rsid w:val="00BE496C"/>
    <w:rsid w:val="00C0672B"/>
    <w:rsid w:val="00C24E62"/>
    <w:rsid w:val="00C46AB9"/>
    <w:rsid w:val="00C64BDD"/>
    <w:rsid w:val="00C93CC1"/>
    <w:rsid w:val="00CA2533"/>
    <w:rsid w:val="00CA4B0F"/>
    <w:rsid w:val="00CD0311"/>
    <w:rsid w:val="00CD2034"/>
    <w:rsid w:val="00CF585A"/>
    <w:rsid w:val="00D01612"/>
    <w:rsid w:val="00D12216"/>
    <w:rsid w:val="00D60A6D"/>
    <w:rsid w:val="00D755CF"/>
    <w:rsid w:val="00D86B21"/>
    <w:rsid w:val="00DD6013"/>
    <w:rsid w:val="00DE67EB"/>
    <w:rsid w:val="00DF7A92"/>
    <w:rsid w:val="00E00CE3"/>
    <w:rsid w:val="00E1436E"/>
    <w:rsid w:val="00E627B7"/>
    <w:rsid w:val="00E9148A"/>
    <w:rsid w:val="00E93C9F"/>
    <w:rsid w:val="00ED0CED"/>
    <w:rsid w:val="00EE65E5"/>
    <w:rsid w:val="00EF2B80"/>
    <w:rsid w:val="00EF46E5"/>
    <w:rsid w:val="00F011B4"/>
    <w:rsid w:val="00F40CAC"/>
    <w:rsid w:val="00F521CE"/>
    <w:rsid w:val="00F70B5B"/>
    <w:rsid w:val="00F70EA8"/>
    <w:rsid w:val="00F86ACE"/>
    <w:rsid w:val="00FA200F"/>
    <w:rsid w:val="00FA4E99"/>
    <w:rsid w:val="00FD3113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B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List Paragraph"/>
    <w:basedOn w:val="a"/>
    <w:link w:val="af4"/>
    <w:uiPriority w:val="34"/>
    <w:qFormat/>
    <w:rsid w:val="00090BE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color w:val="auto"/>
      <w:sz w:val="22"/>
      <w:szCs w:val="22"/>
      <w:lang w:eastAsia="en-US" w:bidi="ar-SA"/>
    </w:rPr>
  </w:style>
  <w:style w:type="character" w:customStyle="1" w:styleId="af4">
    <w:name w:val="Абзац списка Знак"/>
    <w:link w:val="af3"/>
    <w:uiPriority w:val="34"/>
    <w:locked/>
    <w:rsid w:val="00090BEC"/>
    <w:rPr>
      <w:rFonts w:ascii="Calibri" w:eastAsia="Calibri" w:hAnsi="Calibri" w:cs="Times New Roman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B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List Paragraph"/>
    <w:basedOn w:val="a"/>
    <w:link w:val="af4"/>
    <w:uiPriority w:val="34"/>
    <w:qFormat/>
    <w:rsid w:val="00090BE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color w:val="auto"/>
      <w:sz w:val="22"/>
      <w:szCs w:val="22"/>
      <w:lang w:eastAsia="en-US" w:bidi="ar-SA"/>
    </w:rPr>
  </w:style>
  <w:style w:type="character" w:customStyle="1" w:styleId="af4">
    <w:name w:val="Абзац списка Знак"/>
    <w:link w:val="af3"/>
    <w:uiPriority w:val="34"/>
    <w:locked/>
    <w:rsid w:val="00090BEC"/>
    <w:rPr>
      <w:rFonts w:ascii="Calibri" w:eastAsia="Calibri" w:hAnsi="Calibri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19E1-4DDD-4AC3-854D-8B81B1A1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Наталья Юрьевна</dc:creator>
  <cp:lastModifiedBy>Женя</cp:lastModifiedBy>
  <cp:revision>2</cp:revision>
  <cp:lastPrinted>2026-06-08T10:41:00Z</cp:lastPrinted>
  <dcterms:created xsi:type="dcterms:W3CDTF">2026-06-24T09:14:00Z</dcterms:created>
  <dcterms:modified xsi:type="dcterms:W3CDTF">2026-06-24T09:14:00Z</dcterms:modified>
</cp:coreProperties>
</file>