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404D4B8B" w14:textId="77777777" w:rsidR="000A671B" w:rsidRDefault="000A671B" w:rsidP="00AF6E5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1E62C38" w14:textId="77777777" w:rsidR="00AF6E52" w:rsidRPr="00AF6E52" w:rsidRDefault="00AF6E52" w:rsidP="00AF6E52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2" w:name="_GoBack"/>
      <w:bookmarkEnd w:id="2"/>
      <w:r w:rsidRPr="00AF6E52">
        <w:rPr>
          <w:rFonts w:eastAsiaTheme="minorHAnsi"/>
          <w:b/>
          <w:sz w:val="28"/>
          <w:szCs w:val="28"/>
          <w:lang w:eastAsia="en-US"/>
        </w:rPr>
        <w:t>Техническое задание</w:t>
      </w:r>
    </w:p>
    <w:p w14:paraId="363B29D9" w14:textId="77777777" w:rsidR="00AF6E52" w:rsidRPr="00AF6E52" w:rsidRDefault="00AF6E52" w:rsidP="00AF6E52">
      <w:pPr>
        <w:jc w:val="center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>на оказание услуг по приобретению и установке откатных консольных ворот для нужд ФГКУ «Специальное управление ФПС № 3 МЧС России»</w:t>
      </w:r>
    </w:p>
    <w:p w14:paraId="16C14AF1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</w:p>
    <w:p w14:paraId="1064C29D" w14:textId="77777777" w:rsidR="00AF6E52" w:rsidRPr="00AF6E52" w:rsidRDefault="00AF6E52" w:rsidP="00AF6E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1. </w:t>
      </w:r>
      <w:r w:rsidRPr="00AF6E52">
        <w:rPr>
          <w:rFonts w:eastAsiaTheme="minorHAnsi"/>
          <w:b/>
          <w:sz w:val="28"/>
          <w:szCs w:val="28"/>
          <w:lang w:eastAsia="en-US"/>
        </w:rPr>
        <w:t>Заказчик:</w:t>
      </w:r>
      <w:r w:rsidRPr="00AF6E52">
        <w:rPr>
          <w:rFonts w:eastAsiaTheme="minorHAnsi"/>
          <w:sz w:val="28"/>
          <w:szCs w:val="28"/>
          <w:lang w:eastAsia="en-US"/>
        </w:rPr>
        <w:t xml:space="preserve"> Федеральное государственное казенное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 (далее – ФГКУ «Специальное управление ФПС № 3 МЧС России»).</w:t>
      </w:r>
    </w:p>
    <w:p w14:paraId="048ACA52" w14:textId="77777777" w:rsidR="00AF6E52" w:rsidRPr="00AF6E52" w:rsidRDefault="00AF6E52" w:rsidP="00AF6E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2. </w:t>
      </w:r>
      <w:r w:rsidRPr="00AF6E52">
        <w:rPr>
          <w:rFonts w:eastAsiaTheme="minorHAnsi"/>
          <w:b/>
          <w:sz w:val="28"/>
          <w:szCs w:val="28"/>
          <w:lang w:eastAsia="en-US"/>
        </w:rPr>
        <w:t>Наименование объекта закупки:</w:t>
      </w:r>
      <w:r w:rsidRPr="00AF6E52">
        <w:rPr>
          <w:rFonts w:eastAsiaTheme="minorHAnsi"/>
          <w:sz w:val="28"/>
          <w:szCs w:val="28"/>
          <w:lang w:eastAsia="en-US"/>
        </w:rPr>
        <w:t xml:space="preserve"> оказание услуг по приобретению и установке откатных консольных ворот для нужд ФГКУ «Специальное управление ФПС № 3 МЧС России».</w:t>
      </w:r>
    </w:p>
    <w:p w14:paraId="5B8051A0" w14:textId="77777777" w:rsidR="00AF6E52" w:rsidRPr="00AF6E52" w:rsidRDefault="00AF6E52" w:rsidP="00AF6E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3. </w:t>
      </w:r>
      <w:r w:rsidRPr="00AF6E52">
        <w:rPr>
          <w:rFonts w:eastAsiaTheme="minorHAnsi"/>
          <w:b/>
          <w:sz w:val="28"/>
          <w:szCs w:val="28"/>
          <w:lang w:eastAsia="en-US"/>
        </w:rPr>
        <w:t>Срок выполнения работ:</w:t>
      </w:r>
      <w:r w:rsidRPr="00AF6E52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F6E52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AF6E52">
        <w:rPr>
          <w:rFonts w:eastAsiaTheme="minorHAnsi"/>
          <w:sz w:val="28"/>
          <w:szCs w:val="28"/>
          <w:lang w:eastAsia="en-US"/>
        </w:rPr>
        <w:t xml:space="preserve"> течении 30 (тридцати) рабочих дней с даты заключения контракта.</w:t>
      </w:r>
    </w:p>
    <w:p w14:paraId="64C85CE9" w14:textId="77777777" w:rsidR="00AF6E52" w:rsidRPr="00AF6E52" w:rsidRDefault="00AF6E52" w:rsidP="00AF6E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4. </w:t>
      </w:r>
      <w:r w:rsidRPr="00AF6E52">
        <w:rPr>
          <w:rFonts w:eastAsiaTheme="minorHAnsi"/>
          <w:b/>
          <w:sz w:val="28"/>
          <w:szCs w:val="28"/>
          <w:lang w:eastAsia="en-US"/>
        </w:rPr>
        <w:t>Место проведения работ:</w:t>
      </w:r>
      <w:r w:rsidRPr="00AF6E52">
        <w:rPr>
          <w:rFonts w:eastAsiaTheme="minorHAnsi"/>
          <w:sz w:val="28"/>
          <w:szCs w:val="28"/>
          <w:lang w:eastAsia="en-US"/>
        </w:rPr>
        <w:t xml:space="preserve"> Московская область, г. Лыткарино, </w:t>
      </w:r>
      <w:proofErr w:type="spellStart"/>
      <w:r w:rsidRPr="00AF6E52">
        <w:rPr>
          <w:rFonts w:eastAsiaTheme="minorHAnsi"/>
          <w:sz w:val="28"/>
          <w:szCs w:val="28"/>
          <w:lang w:eastAsia="en-US"/>
        </w:rPr>
        <w:t>промзона</w:t>
      </w:r>
      <w:proofErr w:type="spellEnd"/>
      <w:r w:rsidRPr="00AF6E5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F6E52">
        <w:rPr>
          <w:rFonts w:eastAsiaTheme="minorHAnsi"/>
          <w:sz w:val="28"/>
          <w:szCs w:val="28"/>
          <w:lang w:eastAsia="en-US"/>
        </w:rPr>
        <w:t>Тураево</w:t>
      </w:r>
      <w:proofErr w:type="spellEnd"/>
      <w:r w:rsidRPr="00AF6E52">
        <w:rPr>
          <w:rFonts w:eastAsiaTheme="minorHAnsi"/>
          <w:sz w:val="28"/>
          <w:szCs w:val="28"/>
          <w:lang w:eastAsia="en-US"/>
        </w:rPr>
        <w:t>, 8Г. (территория пожарного депо).</w:t>
      </w:r>
    </w:p>
    <w:p w14:paraId="75A14529" w14:textId="77777777" w:rsidR="00AF6E52" w:rsidRPr="00AF6E52" w:rsidRDefault="00AF6E52" w:rsidP="00AF6E52">
      <w:pPr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5. </w:t>
      </w:r>
      <w:r w:rsidRPr="00AF6E52">
        <w:rPr>
          <w:rFonts w:eastAsiaTheme="minorHAnsi"/>
          <w:b/>
          <w:sz w:val="28"/>
          <w:szCs w:val="28"/>
          <w:lang w:eastAsia="en-US"/>
        </w:rPr>
        <w:t>Описание объекта закупки: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883"/>
        <w:gridCol w:w="799"/>
      </w:tblGrid>
      <w:tr w:rsidR="00AF6E52" w:rsidRPr="00AF6E52" w14:paraId="2851AA63" w14:textId="77777777" w:rsidTr="004D6C64">
        <w:tc>
          <w:tcPr>
            <w:tcW w:w="704" w:type="dxa"/>
          </w:tcPr>
          <w:p w14:paraId="46E73306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№ п/п</w:t>
            </w:r>
          </w:p>
        </w:tc>
        <w:tc>
          <w:tcPr>
            <w:tcW w:w="7229" w:type="dxa"/>
            <w:vAlign w:val="center"/>
          </w:tcPr>
          <w:p w14:paraId="2E9D5435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Наименование</w:t>
            </w:r>
          </w:p>
        </w:tc>
        <w:tc>
          <w:tcPr>
            <w:tcW w:w="883" w:type="dxa"/>
            <w:vAlign w:val="center"/>
          </w:tcPr>
          <w:p w14:paraId="64B445BA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Ед. изм.</w:t>
            </w:r>
          </w:p>
        </w:tc>
        <w:tc>
          <w:tcPr>
            <w:tcW w:w="799" w:type="dxa"/>
            <w:vAlign w:val="center"/>
          </w:tcPr>
          <w:p w14:paraId="72E3CD8E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Кол-во</w:t>
            </w:r>
          </w:p>
        </w:tc>
      </w:tr>
      <w:tr w:rsidR="00AF6E52" w:rsidRPr="00AF6E52" w14:paraId="7E7BA2FC" w14:textId="77777777" w:rsidTr="004D6C64">
        <w:tc>
          <w:tcPr>
            <w:tcW w:w="704" w:type="dxa"/>
          </w:tcPr>
          <w:p w14:paraId="60025DB9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  <w:tc>
          <w:tcPr>
            <w:tcW w:w="7229" w:type="dxa"/>
          </w:tcPr>
          <w:p w14:paraId="55D2602B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Ворота откатные 4700*1900 мм. из профильной трубы 60*40*2 мм,40*20*2 мм, 20*20-</w:t>
            </w:r>
            <w:proofErr w:type="gramStart"/>
            <w:r w:rsidRPr="00AF6E52">
              <w:rPr>
                <w:rFonts w:eastAsiaTheme="minorHAnsi"/>
              </w:rPr>
              <w:t>2  мм</w:t>
            </w:r>
            <w:proofErr w:type="gramEnd"/>
            <w:r w:rsidRPr="00AF6E52">
              <w:rPr>
                <w:rFonts w:eastAsiaTheme="minorHAnsi"/>
              </w:rPr>
              <w:t xml:space="preserve"> с направляющей балкой 70-60 мм и комплектом консольного оборудования (под </w:t>
            </w:r>
            <w:proofErr w:type="spellStart"/>
            <w:r w:rsidRPr="00AF6E52">
              <w:rPr>
                <w:rFonts w:eastAsiaTheme="minorHAnsi"/>
              </w:rPr>
              <w:t>профлист</w:t>
            </w:r>
            <w:proofErr w:type="spellEnd"/>
            <w:r w:rsidRPr="00AF6E52">
              <w:rPr>
                <w:rFonts w:eastAsiaTheme="minorHAnsi"/>
              </w:rPr>
              <w:t>). Вид со двора: откат</w:t>
            </w:r>
          </w:p>
        </w:tc>
        <w:tc>
          <w:tcPr>
            <w:tcW w:w="883" w:type="dxa"/>
            <w:vAlign w:val="center"/>
          </w:tcPr>
          <w:p w14:paraId="02C022EC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20086E49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0B50BD57" w14:textId="77777777" w:rsidTr="004D6C64">
        <w:tc>
          <w:tcPr>
            <w:tcW w:w="704" w:type="dxa"/>
          </w:tcPr>
          <w:p w14:paraId="6828A4CA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2</w:t>
            </w:r>
          </w:p>
        </w:tc>
        <w:tc>
          <w:tcPr>
            <w:tcW w:w="7229" w:type="dxa"/>
          </w:tcPr>
          <w:p w14:paraId="7A46D456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Окраска каркаса – грунтовка ГФ-021/покраска</w:t>
            </w:r>
          </w:p>
        </w:tc>
        <w:tc>
          <w:tcPr>
            <w:tcW w:w="883" w:type="dxa"/>
            <w:vAlign w:val="center"/>
          </w:tcPr>
          <w:p w14:paraId="0A4CEA38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43C22D4D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41EF55EA" w14:textId="77777777" w:rsidTr="004D6C64">
        <w:tc>
          <w:tcPr>
            <w:tcW w:w="704" w:type="dxa"/>
          </w:tcPr>
          <w:p w14:paraId="337C6855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3</w:t>
            </w:r>
          </w:p>
        </w:tc>
        <w:tc>
          <w:tcPr>
            <w:tcW w:w="7229" w:type="dxa"/>
          </w:tcPr>
          <w:p w14:paraId="46BB416C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Регулировочные подставки КДВ (2 шт.) и кронштейны для ловителей (2 шт.) с установкой</w:t>
            </w:r>
          </w:p>
        </w:tc>
        <w:tc>
          <w:tcPr>
            <w:tcW w:w="883" w:type="dxa"/>
            <w:vAlign w:val="center"/>
          </w:tcPr>
          <w:p w14:paraId="18C99D16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099C0819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01E75AF0" w14:textId="77777777" w:rsidTr="004D6C64">
        <w:tc>
          <w:tcPr>
            <w:tcW w:w="704" w:type="dxa"/>
          </w:tcPr>
          <w:p w14:paraId="15BFB9A4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4</w:t>
            </w:r>
          </w:p>
        </w:tc>
        <w:tc>
          <w:tcPr>
            <w:tcW w:w="7229" w:type="dxa"/>
          </w:tcPr>
          <w:p w14:paraId="774194ED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proofErr w:type="spellStart"/>
            <w:r w:rsidRPr="00AF6E52">
              <w:rPr>
                <w:rFonts w:eastAsiaTheme="minorHAnsi"/>
              </w:rPr>
              <w:t>Сайно-винтовогй</w:t>
            </w:r>
            <w:proofErr w:type="spellEnd"/>
            <w:r w:rsidRPr="00AF6E52">
              <w:rPr>
                <w:rFonts w:eastAsiaTheme="minorHAnsi"/>
              </w:rPr>
              <w:t xml:space="preserve"> фундамент (</w:t>
            </w:r>
            <w:proofErr w:type="spellStart"/>
            <w:r w:rsidRPr="00AF6E52">
              <w:rPr>
                <w:rFonts w:eastAsiaTheme="minorHAnsi"/>
              </w:rPr>
              <w:t>сая</w:t>
            </w:r>
            <w:proofErr w:type="spellEnd"/>
            <w:r w:rsidRPr="00AF6E52">
              <w:rPr>
                <w:rFonts w:eastAsiaTheme="minorHAnsi"/>
              </w:rPr>
              <w:t xml:space="preserve"> 76/3/2000 – 3 </w:t>
            </w:r>
            <w:proofErr w:type="spellStart"/>
            <w:r w:rsidRPr="00AF6E52">
              <w:rPr>
                <w:rFonts w:eastAsiaTheme="minorHAnsi"/>
              </w:rPr>
              <w:t>шт</w:t>
            </w:r>
            <w:proofErr w:type="spellEnd"/>
            <w:r w:rsidRPr="00AF6E52">
              <w:rPr>
                <w:rFonts w:eastAsiaTheme="minorHAnsi"/>
              </w:rPr>
              <w:t>, швеллер 10 – 3 м)</w:t>
            </w:r>
          </w:p>
        </w:tc>
        <w:tc>
          <w:tcPr>
            <w:tcW w:w="883" w:type="dxa"/>
            <w:vAlign w:val="center"/>
          </w:tcPr>
          <w:p w14:paraId="29FB4BD3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28989DB8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4ED81ADA" w14:textId="77777777" w:rsidTr="004D6C64">
        <w:tc>
          <w:tcPr>
            <w:tcW w:w="704" w:type="dxa"/>
          </w:tcPr>
          <w:p w14:paraId="23985A6B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5</w:t>
            </w:r>
          </w:p>
        </w:tc>
        <w:tc>
          <w:tcPr>
            <w:tcW w:w="7229" w:type="dxa"/>
          </w:tcPr>
          <w:p w14:paraId="26D17B50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Установка откатных ворот до 5400 мм</w:t>
            </w:r>
          </w:p>
        </w:tc>
        <w:tc>
          <w:tcPr>
            <w:tcW w:w="883" w:type="dxa"/>
            <w:vAlign w:val="center"/>
          </w:tcPr>
          <w:p w14:paraId="4D747EA2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092AED23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2B60ECD1" w14:textId="77777777" w:rsidTr="004D6C64">
        <w:tc>
          <w:tcPr>
            <w:tcW w:w="704" w:type="dxa"/>
          </w:tcPr>
          <w:p w14:paraId="538AED71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6</w:t>
            </w:r>
          </w:p>
        </w:tc>
        <w:tc>
          <w:tcPr>
            <w:tcW w:w="7229" w:type="dxa"/>
          </w:tcPr>
          <w:p w14:paraId="13C3F680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Столб 80*80*2 мм (</w:t>
            </w:r>
            <w:r w:rsidRPr="00AF6E52">
              <w:rPr>
                <w:rFonts w:eastAsiaTheme="minorHAnsi"/>
                <w:lang w:val="en-US"/>
              </w:rPr>
              <w:t>L</w:t>
            </w:r>
            <w:r w:rsidRPr="00AF6E52">
              <w:rPr>
                <w:rFonts w:eastAsiaTheme="minorHAnsi"/>
              </w:rPr>
              <w:t>=2000 мм) с установкой на сваю 76/2000</w:t>
            </w:r>
          </w:p>
        </w:tc>
        <w:tc>
          <w:tcPr>
            <w:tcW w:w="883" w:type="dxa"/>
            <w:vAlign w:val="center"/>
          </w:tcPr>
          <w:p w14:paraId="5FD435EF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6B25FCD2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2</w:t>
            </w:r>
          </w:p>
        </w:tc>
      </w:tr>
      <w:tr w:rsidR="00AF6E52" w:rsidRPr="00AF6E52" w14:paraId="7983E695" w14:textId="77777777" w:rsidTr="004D6C64">
        <w:tc>
          <w:tcPr>
            <w:tcW w:w="704" w:type="dxa"/>
          </w:tcPr>
          <w:p w14:paraId="4069D063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7</w:t>
            </w:r>
          </w:p>
        </w:tc>
        <w:tc>
          <w:tcPr>
            <w:tcW w:w="7229" w:type="dxa"/>
          </w:tcPr>
          <w:p w14:paraId="366C443A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Засов пружинный 190 мм с установкой</w:t>
            </w:r>
          </w:p>
        </w:tc>
        <w:tc>
          <w:tcPr>
            <w:tcW w:w="883" w:type="dxa"/>
            <w:vAlign w:val="center"/>
          </w:tcPr>
          <w:p w14:paraId="72822BE0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шт.</w:t>
            </w:r>
          </w:p>
        </w:tc>
        <w:tc>
          <w:tcPr>
            <w:tcW w:w="799" w:type="dxa"/>
            <w:vAlign w:val="center"/>
          </w:tcPr>
          <w:p w14:paraId="06DA232B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1</w:t>
            </w:r>
          </w:p>
        </w:tc>
      </w:tr>
      <w:tr w:rsidR="00AF6E52" w:rsidRPr="00AF6E52" w14:paraId="42944B75" w14:textId="77777777" w:rsidTr="004D6C64">
        <w:tc>
          <w:tcPr>
            <w:tcW w:w="704" w:type="dxa"/>
          </w:tcPr>
          <w:p w14:paraId="5431EAA6" w14:textId="77777777" w:rsidR="00AF6E52" w:rsidRPr="00AF6E52" w:rsidRDefault="00AF6E52" w:rsidP="00AF6E52">
            <w:pPr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>8</w:t>
            </w:r>
          </w:p>
        </w:tc>
        <w:tc>
          <w:tcPr>
            <w:tcW w:w="7229" w:type="dxa"/>
          </w:tcPr>
          <w:p w14:paraId="1A03BA59" w14:textId="77777777" w:rsidR="00AF6E52" w:rsidRPr="00AF6E52" w:rsidRDefault="00AF6E52" w:rsidP="00AF6E52">
            <w:pPr>
              <w:jc w:val="both"/>
              <w:rPr>
                <w:rFonts w:eastAsiaTheme="minorHAnsi"/>
              </w:rPr>
            </w:pPr>
            <w:r w:rsidRPr="00AF6E52">
              <w:rPr>
                <w:rFonts w:eastAsiaTheme="minorHAnsi"/>
              </w:rPr>
              <w:t xml:space="preserve">Цвет </w:t>
            </w:r>
            <w:proofErr w:type="spellStart"/>
            <w:r w:rsidRPr="00AF6E52">
              <w:rPr>
                <w:rFonts w:eastAsiaTheme="minorHAnsi"/>
              </w:rPr>
              <w:t>профлиста</w:t>
            </w:r>
            <w:proofErr w:type="spellEnd"/>
            <w:r w:rsidRPr="00AF6E52">
              <w:rPr>
                <w:rFonts w:eastAsiaTheme="minorHAnsi"/>
              </w:rPr>
              <w:t xml:space="preserve"> – серый </w:t>
            </w:r>
          </w:p>
        </w:tc>
        <w:tc>
          <w:tcPr>
            <w:tcW w:w="883" w:type="dxa"/>
            <w:vAlign w:val="center"/>
          </w:tcPr>
          <w:p w14:paraId="1C10AC38" w14:textId="77777777" w:rsidR="00AF6E52" w:rsidRPr="00AF6E52" w:rsidRDefault="00AF6E52" w:rsidP="00AF6E52">
            <w:pPr>
              <w:rPr>
                <w:rFonts w:eastAsiaTheme="minorHAnsi"/>
              </w:rPr>
            </w:pPr>
          </w:p>
        </w:tc>
        <w:tc>
          <w:tcPr>
            <w:tcW w:w="799" w:type="dxa"/>
            <w:vAlign w:val="center"/>
          </w:tcPr>
          <w:p w14:paraId="46ABA98C" w14:textId="77777777" w:rsidR="00AF6E52" w:rsidRPr="00AF6E52" w:rsidRDefault="00AF6E52" w:rsidP="00AF6E52">
            <w:pPr>
              <w:rPr>
                <w:rFonts w:eastAsiaTheme="minorHAnsi"/>
              </w:rPr>
            </w:pPr>
          </w:p>
        </w:tc>
      </w:tr>
    </w:tbl>
    <w:p w14:paraId="4E1F9B0C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 xml:space="preserve">    </w:t>
      </w:r>
      <w:r w:rsidRPr="00AF6E52">
        <w:rPr>
          <w:rFonts w:eastAsiaTheme="minorHAnsi"/>
          <w:sz w:val="28"/>
          <w:szCs w:val="28"/>
          <w:lang w:eastAsia="en-US"/>
        </w:rPr>
        <w:tab/>
        <w:t xml:space="preserve">6. </w:t>
      </w:r>
      <w:r w:rsidRPr="00AF6E52">
        <w:rPr>
          <w:rFonts w:eastAsiaTheme="minorHAnsi"/>
          <w:b/>
          <w:sz w:val="28"/>
          <w:szCs w:val="28"/>
          <w:lang w:eastAsia="en-US"/>
        </w:rPr>
        <w:t xml:space="preserve">Требования к гарантийному сроку работы/услуг и (или) объему предоставления гарантий их качества: </w:t>
      </w:r>
      <w:r w:rsidRPr="00AF6E52">
        <w:rPr>
          <w:rFonts w:eastAsiaTheme="minorHAnsi"/>
          <w:sz w:val="28"/>
          <w:szCs w:val="28"/>
          <w:lang w:eastAsia="en-US"/>
        </w:rPr>
        <w:t>Гарантийный срок составляет: на ворота – не менее 36 месяцев, на монтажные работы – не менее 24 месяцев.</w:t>
      </w:r>
    </w:p>
    <w:p w14:paraId="2D8C0981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7. </w:t>
      </w:r>
      <w:r w:rsidRPr="00AF6E52">
        <w:rPr>
          <w:rFonts w:eastAsiaTheme="minorHAnsi"/>
          <w:b/>
          <w:sz w:val="28"/>
          <w:szCs w:val="28"/>
          <w:lang w:eastAsia="en-US"/>
        </w:rPr>
        <w:t>Требования к проведению работ</w:t>
      </w:r>
      <w:r w:rsidRPr="00AF6E52">
        <w:rPr>
          <w:rFonts w:eastAsiaTheme="minorHAnsi"/>
          <w:sz w:val="28"/>
          <w:szCs w:val="28"/>
          <w:lang w:eastAsia="en-US"/>
        </w:rPr>
        <w:t>: Поставщик несет ответственность за сохранность всех поставляемых материалов на объект, до сдачи готового объекта в эксплуатацию.</w:t>
      </w:r>
    </w:p>
    <w:p w14:paraId="70557426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Все объемы и замеры, произведенные Заказчиком, должны быть уточнены Поставщиком и согласованы с Заказчиком до начала выполнения работ.</w:t>
      </w:r>
    </w:p>
    <w:p w14:paraId="1955D14A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До начала монтажа, во избежание нарушения целостности проложенных инженерных коммуникаций, точное место установки ворот согласовать с Заказчиком.</w:t>
      </w:r>
    </w:p>
    <w:p w14:paraId="0C4AC48D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Поставщик должен обеспечить в ходе работ выполнение необходимых мероприятий по технике безопасности и пожарной безопасности.</w:t>
      </w:r>
    </w:p>
    <w:p w14:paraId="2B62FF55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lastRenderedPageBreak/>
        <w:tab/>
        <w:t>Поставщик должен обеспечить возмещение ущерба за повреждение оборудования и прочего имущества, принадлежащего Заказчику, во время выполнения работ.</w:t>
      </w:r>
    </w:p>
    <w:p w14:paraId="0FEA3CDE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Выполнение работ не должно препятствовать или создавать неудобства в работе учреждения или представлять угрозу для его сотрудников. При выполнении работ обеспечивается соблюдение правил действующего внутреннего распорядка, контрольно-пропускного режима Заказчика.</w:t>
      </w:r>
    </w:p>
    <w:p w14:paraId="282DD416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Поставщик должен организовать своевременную ежедневную уборку строительного мусора с вывозом на свалку за пределы территории здания. </w:t>
      </w:r>
    </w:p>
    <w:p w14:paraId="012E15C1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8. </w:t>
      </w:r>
      <w:r w:rsidRPr="00AF6E52">
        <w:rPr>
          <w:rFonts w:eastAsiaTheme="minorHAnsi"/>
          <w:b/>
          <w:sz w:val="28"/>
          <w:szCs w:val="28"/>
          <w:lang w:eastAsia="en-US"/>
        </w:rPr>
        <w:t>Требования к техническим характеристикам товара:</w:t>
      </w:r>
      <w:r w:rsidRPr="00AF6E52">
        <w:rPr>
          <w:rFonts w:eastAsiaTheme="minorHAnsi"/>
          <w:sz w:val="28"/>
          <w:szCs w:val="28"/>
          <w:lang w:eastAsia="en-US"/>
        </w:rPr>
        <w:t xml:space="preserve"> Используемы материалы, комплектующие, оборудование должны быть новыми, ранее не использующимися, должны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 соответствия, технические паспорта, при наличии соответствующих требований – сертификаты пожарной безопасности и другие документы, удостоверяющие их качество.</w:t>
      </w:r>
    </w:p>
    <w:p w14:paraId="600544B5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Материалы и оборудование не должны иметь производственных и иных дефектов. </w:t>
      </w:r>
    </w:p>
    <w:p w14:paraId="4529CB6A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При применении материалов и оборудования, не соответствующих указанным нормам и требованиям, Заказчик предъявляет претензии к Поставщику с наложением штрафных санкций при исполнении контракта.</w:t>
      </w:r>
    </w:p>
    <w:p w14:paraId="6F6D89E1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Поставщик может предложить эквивалент с обязательным предоставлением сравнительной таблицы характеристик с обязательным предоставлением сравнительной таблицы характеристик запрашиваемого товара и предлагаемого к поставке с условием, что предлагаемый к поставке товар полностью соответствует запрошенным техническим характеристикам или превосходит их. </w:t>
      </w:r>
    </w:p>
    <w:p w14:paraId="584F7DEA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>Устанавливаемая система не должна создавать помех в работе других систем, установленных на объекте.</w:t>
      </w:r>
    </w:p>
    <w:p w14:paraId="7C9E598A" w14:textId="77777777" w:rsidR="00AF6E52" w:rsidRPr="00AF6E52" w:rsidRDefault="00AF6E52" w:rsidP="00AF6E52">
      <w:pPr>
        <w:jc w:val="both"/>
        <w:rPr>
          <w:rFonts w:eastAsiaTheme="minorHAnsi"/>
          <w:sz w:val="28"/>
          <w:szCs w:val="28"/>
          <w:lang w:eastAsia="en-US"/>
        </w:rPr>
      </w:pPr>
      <w:r w:rsidRPr="00AF6E52">
        <w:rPr>
          <w:rFonts w:eastAsiaTheme="minorHAnsi"/>
          <w:sz w:val="28"/>
          <w:szCs w:val="28"/>
          <w:lang w:eastAsia="en-US"/>
        </w:rPr>
        <w:tab/>
        <w:t xml:space="preserve">9. </w:t>
      </w:r>
      <w:r w:rsidRPr="00AF6E52">
        <w:rPr>
          <w:rFonts w:eastAsiaTheme="minorHAnsi"/>
          <w:b/>
          <w:sz w:val="28"/>
          <w:szCs w:val="28"/>
          <w:lang w:eastAsia="en-US"/>
        </w:rPr>
        <w:t>Требования к результатам работ (приемка работ):</w:t>
      </w:r>
      <w:r w:rsidRPr="00AF6E52">
        <w:rPr>
          <w:rFonts w:eastAsiaTheme="minorHAnsi"/>
          <w:sz w:val="28"/>
          <w:szCs w:val="28"/>
          <w:lang w:eastAsia="en-US"/>
        </w:rPr>
        <w:t xml:space="preserve"> Все работы должны быть выполнены в полном объеме и в соответствии с условиями, изложенными в техническом задании и контракте. Поставщик осуществляет установочные, сборочные, монтажные и наладочные и иные необходимые работы по вводу оборудования в эксплуатацию в соответствии с действующими технологическими стандартами, технической и технологической документацией, в том числе с подключением к имеющимся сетям и коммуникациям, необходимым для ввода оборудования в эксплуатацию, в соответствующие сроки и согласно условиям контракта. Поставщик в присутствии представителей Заказчика до сдачи в эксплуатацию, проводит контрольно-технические испытания с целью работоспособности и сравнения полученных результатов с характеристиками, установленными в технической документации.</w:t>
      </w:r>
    </w:p>
    <w:p w14:paraId="0702AF75" w14:textId="77777777" w:rsidR="00DF21C1" w:rsidRPr="006B7ADE" w:rsidRDefault="00DF21C1" w:rsidP="003A43E4">
      <w:pPr>
        <w:ind w:firstLine="709"/>
        <w:jc w:val="both"/>
        <w:rPr>
          <w:rFonts w:eastAsia="Calibri"/>
          <w:color w:val="000000"/>
          <w:shd w:val="clear" w:color="auto" w:fill="FFFFFF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lastRenderedPageBreak/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27ED7" w14:textId="77777777" w:rsidR="007A2849" w:rsidRDefault="007A2849" w:rsidP="00CE7EDB">
      <w:r>
        <w:separator/>
      </w:r>
    </w:p>
  </w:endnote>
  <w:endnote w:type="continuationSeparator" w:id="0">
    <w:p w14:paraId="1050931A" w14:textId="77777777" w:rsidR="007A2849" w:rsidRDefault="007A2849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FC7E2" w14:textId="77777777" w:rsidR="007A2849" w:rsidRDefault="007A2849" w:rsidP="00CE7EDB">
      <w:r>
        <w:separator/>
      </w:r>
    </w:p>
  </w:footnote>
  <w:footnote w:type="continuationSeparator" w:id="0">
    <w:p w14:paraId="047DB5A4" w14:textId="77777777" w:rsidR="007A2849" w:rsidRDefault="007A2849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2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4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9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8"/>
  </w:num>
  <w:num w:numId="5">
    <w:abstractNumId w:val="20"/>
  </w:num>
  <w:num w:numId="6">
    <w:abstractNumId w:val="16"/>
  </w:num>
  <w:num w:numId="7">
    <w:abstractNumId w:val="12"/>
  </w:num>
  <w:num w:numId="8">
    <w:abstractNumId w:val="7"/>
  </w:num>
  <w:num w:numId="9">
    <w:abstractNumId w:val="28"/>
  </w:num>
  <w:num w:numId="10">
    <w:abstractNumId w:val="8"/>
  </w:num>
  <w:num w:numId="11">
    <w:abstractNumId w:val="3"/>
  </w:num>
  <w:num w:numId="12">
    <w:abstractNumId w:val="17"/>
  </w:num>
  <w:num w:numId="13">
    <w:abstractNumId w:val="4"/>
  </w:num>
  <w:num w:numId="14">
    <w:abstractNumId w:val="22"/>
  </w:num>
  <w:num w:numId="15">
    <w:abstractNumId w:val="10"/>
  </w:num>
  <w:num w:numId="16">
    <w:abstractNumId w:val="21"/>
  </w:num>
  <w:num w:numId="17">
    <w:abstractNumId w:val="24"/>
  </w:num>
  <w:num w:numId="18">
    <w:abstractNumId w:val="23"/>
  </w:num>
  <w:num w:numId="19">
    <w:abstractNumId w:val="19"/>
  </w:num>
  <w:num w:numId="20">
    <w:abstractNumId w:val="25"/>
  </w:num>
  <w:num w:numId="21">
    <w:abstractNumId w:val="0"/>
  </w:num>
  <w:num w:numId="22">
    <w:abstractNumId w:val="26"/>
  </w:num>
  <w:num w:numId="23">
    <w:abstractNumId w:val="9"/>
  </w:num>
  <w:num w:numId="24">
    <w:abstractNumId w:val="27"/>
  </w:num>
  <w:num w:numId="25">
    <w:abstractNumId w:val="15"/>
  </w:num>
  <w:num w:numId="26">
    <w:abstractNumId w:val="1"/>
  </w:num>
  <w:num w:numId="27">
    <w:abstractNumId w:val="2"/>
  </w:num>
  <w:num w:numId="28">
    <w:abstractNumId w:val="29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A671B"/>
    <w:rsid w:val="000B07C4"/>
    <w:rsid w:val="000C27E2"/>
    <w:rsid w:val="000C4EA9"/>
    <w:rsid w:val="000C6636"/>
    <w:rsid w:val="000D3AC6"/>
    <w:rsid w:val="000F1FD8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2849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AF6E52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2FF8"/>
    <w:rsid w:val="00DE7E85"/>
    <w:rsid w:val="00DF14DA"/>
    <w:rsid w:val="00DF21C1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  <w:style w:type="table" w:customStyle="1" w:styleId="5">
    <w:name w:val="Сетка таблицы5"/>
    <w:basedOn w:val="a1"/>
    <w:next w:val="a9"/>
    <w:uiPriority w:val="39"/>
    <w:rsid w:val="00AF6E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B84B1-B964-4901-BB15-3CDCF6D1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13</Pages>
  <Words>4790</Words>
  <Characters>27307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43</cp:revision>
  <cp:lastPrinted>2018-10-08T12:24:00Z</cp:lastPrinted>
  <dcterms:created xsi:type="dcterms:W3CDTF">2026-03-31T07:55:00Z</dcterms:created>
  <dcterms:modified xsi:type="dcterms:W3CDTF">2026-07-30T11:14:00Z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