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360" w:leader="none"/>
        </w:tabs>
        <w:spacing w:lineRule="auto" w:line="252" w:before="0" w:after="0"/>
        <w:ind w:left="10490" w:right="0" w:hanging="0"/>
        <w:jc w:val="left"/>
        <w:rPr>
          <w:rFonts w:ascii="Calibri" w:hAnsi="Calibri" w:eastAsia="Calibri" w:cs="Calibri"/>
          <w:color w:val="auto"/>
          <w:sz w:val="22"/>
          <w:szCs w:val="22"/>
          <w:lang w:val="ru-RU" w:bidi="ru-RU"/>
        </w:rPr>
      </w:pPr>
      <w:bookmarkStart w:id="0" w:name="_Toc54278341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bidi="ru-RU"/>
        </w:rPr>
        <w:t xml:space="preserve">Приложение № 2 </w:t>
      </w:r>
    </w:p>
    <w:p>
      <w:pPr>
        <w:pStyle w:val="Normal"/>
        <w:tabs>
          <w:tab w:val="clear" w:pos="720"/>
          <w:tab w:val="left" w:pos="-360" w:leader="none"/>
        </w:tabs>
        <w:spacing w:lineRule="auto" w:line="252" w:before="0" w:after="0"/>
        <w:ind w:left="10490" w:right="0" w:hanging="0"/>
        <w:jc w:val="left"/>
        <w:rPr>
          <w:rFonts w:ascii="Calibri" w:hAnsi="Calibri" w:eastAsia="Calibri" w:cs="Calibri"/>
          <w:color w:val="auto"/>
          <w:sz w:val="22"/>
          <w:szCs w:val="22"/>
          <w:lang w:val="ru-RU" w:bidi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bidi="ru-RU"/>
        </w:rPr>
        <w:t>к извещению о проведении электронного аукциона</w:t>
      </w:r>
    </w:p>
    <w:p>
      <w:pPr>
        <w:pStyle w:val="Normal"/>
        <w:spacing w:lineRule="auto" w:line="252" w:before="0" w:after="160"/>
        <w:ind w:left="0" w:right="0" w:hanging="0"/>
        <w:jc w:val="center"/>
        <w:rPr>
          <w:rFonts w:ascii="Calibri" w:hAnsi="Calibri" w:eastAsia="Calibri" w:cs="Calibri"/>
          <w:color w:val="auto"/>
          <w:sz w:val="22"/>
          <w:szCs w:val="22"/>
          <w:lang w:val="ru-RU" w:bidi="ru-RU"/>
        </w:rPr>
      </w:pPr>
      <w:r>
        <w:rPr>
          <w:rFonts w:eastAsia="Calibri" w:cs="Calibri"/>
          <w:color w:val="auto"/>
          <w:sz w:val="22"/>
          <w:szCs w:val="22"/>
          <w:lang w:val="ru-RU" w:bidi="ru-RU"/>
        </w:rPr>
      </w:r>
    </w:p>
    <w:p>
      <w:pPr>
        <w:pStyle w:val="Normal"/>
        <w:spacing w:lineRule="auto" w:line="252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highlight w:val="none"/>
          <w:lang w:val="ru-RU" w:bidi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ru-RU" w:bidi="ru-RU"/>
        </w:rPr>
        <w:t>ОБОСНОВАНИЕ НАЧАЛЬНОЙ (МАКСИМАЛЬНОЙ) ЦЕНЫ КОНТРАКТА</w:t>
      </w:r>
    </w:p>
    <w:tbl>
      <w:tblPr>
        <w:tblW w:w="15307" w:type="dxa"/>
        <w:jc w:val="left"/>
        <w:tblInd w:w="64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noVBand="1" w:val="04a0" w:noHBand="0" w:lastColumn="0" w:firstColumn="1" w:lastRow="0" w:firstRow="1"/>
      </w:tblPr>
      <w:tblGrid>
        <w:gridCol w:w="3715"/>
        <w:gridCol w:w="11591"/>
      </w:tblGrid>
      <w:tr>
        <w:trPr>
          <w:trHeight w:val="223" w:hRule="atLeast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Наименование объекта закупки</w:t>
            </w:r>
          </w:p>
        </w:tc>
        <w:tc>
          <w:tcPr>
            <w:tcW w:w="1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Table"/>
              <w:widowControl w:val="false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en-US" w:bidi="ru-RU"/>
              </w:rPr>
              <w:t>Оказание услуг по техническому обслуживанию беспилотного летательного аппарата</w:t>
            </w:r>
          </w:p>
        </w:tc>
      </w:tr>
      <w:tr>
        <w:trPr>
          <w:trHeight w:val="223" w:hRule="atLeast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Основные характеристики объекта закупки     </w:t>
            </w:r>
          </w:p>
        </w:tc>
        <w:tc>
          <w:tcPr>
            <w:tcW w:w="1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34" w:leader="none"/>
              </w:tabs>
              <w:spacing w:lineRule="auto" w:line="252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В соответствии с Приложением № 1 «Описание объекта закупки» к извещению об осуществлении закупки</w:t>
            </w:r>
          </w:p>
        </w:tc>
      </w:tr>
      <w:tr>
        <w:trPr>
          <w:trHeight w:val="223" w:hRule="atLeast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Используемый метод определения НМЦК с обоснованием</w:t>
            </w:r>
          </w:p>
        </w:tc>
        <w:tc>
          <w:tcPr>
            <w:tcW w:w="1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34" w:leader="none"/>
              </w:tabs>
              <w:spacing w:lineRule="auto" w:line="252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bidi="ru-RU"/>
              </w:rPr>
              <w:t>В соответствии с частью 20 ст.22 Федерального закона от 05.04.2013 №44-ФЗ Заказчиком при определении НМЦК использовался метод сопоставимых рыночных цен (анализа рынка).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bidi="ru-RU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bidi="ru-RU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ind w:firstLine="5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>
          <w:trHeight w:val="223" w:hRule="atLeast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Расчет НМЦК</w:t>
            </w:r>
          </w:p>
        </w:tc>
        <w:tc>
          <w:tcPr>
            <w:tcW w:w="1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НМЦК определена исходя из средней цены предложений специализированных организаций.</w:t>
            </w:r>
          </w:p>
        </w:tc>
      </w:tr>
      <w:tr>
        <w:trPr>
          <w:trHeight w:val="1657" w:hRule="atLeast"/>
        </w:trPr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ru-RU" w:bidi="ru-RU"/>
              </w:rPr>
              <w:t>НМЦК</w:t>
            </w:r>
          </w:p>
        </w:tc>
        <w:tc>
          <w:tcPr>
            <w:tcW w:w="1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  <w:t xml:space="preserve">В соответствии с доведенными лимитами бюджетных обязательств на 2026 год,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  <w:t>ачальная (максимальная) цена контракта составляет 440 000 (Четыреста сорок тысяч рублей) 00 копеек.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bidi="ru-RU"/>
              </w:rPr>
              <w:t>НМЦК включает все расходы,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контракта.</w:t>
            </w:r>
          </w:p>
        </w:tc>
      </w:tr>
    </w:tbl>
    <w:p>
      <w:pPr>
        <w:pStyle w:val="Normal"/>
        <w:spacing w:lineRule="auto" w:line="252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ru-RU"/>
        </w:rPr>
      </w:r>
    </w:p>
    <w:tbl>
      <w:tblPr>
        <w:tblW w:w="15847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1"/>
        <w:gridCol w:w="2149"/>
        <w:gridCol w:w="681"/>
        <w:gridCol w:w="617"/>
        <w:gridCol w:w="1595"/>
        <w:gridCol w:w="1415"/>
        <w:gridCol w:w="1482"/>
        <w:gridCol w:w="1417"/>
        <w:gridCol w:w="1417"/>
        <w:gridCol w:w="1559"/>
        <w:gridCol w:w="1417"/>
        <w:gridCol w:w="1416"/>
      </w:tblGrid>
      <w:tr>
        <w:trPr>
          <w:trHeight w:val="764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товара, услуги (работы)</w:t>
            </w:r>
          </w:p>
          <w:p>
            <w:pPr>
              <w:pStyle w:val="Normal"/>
              <w:widowControl w:val="false"/>
              <w:spacing w:before="0" w:after="0"/>
              <w:ind w:left="0" w:right="0" w:firstLine="709"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4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информации о цене (руб./ед.изм.)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Однородность совокупности значений выявленных цен, используемых в расчете НМЦК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НМЦК, определенная методом сопоставимых рыночных цен (анализа рынка)</w:t>
            </w:r>
          </w:p>
        </w:tc>
      </w:tr>
      <w:tr>
        <w:trPr>
          <w:trHeight w:val="1478" w:hRule="atLeast"/>
          <w:cantSplit w:val="true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2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15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none"/>
              </w:rPr>
              <w:t>Ценовое предложение №1 (Исх. № 0126-Т1754 от 15.01.2026 г. )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none"/>
              </w:rPr>
              <w:t>Ценовое предложение №2 (б/н от 27.02.2026 г.)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none"/>
              </w:rPr>
              <w:t>Ценовое предложение №3 (б/н от 27.02.2026 г.)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 арифметическая цена за единицу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 вариации цен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Цена за единицу рын (руб.)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НМЦК рын. (руб.)</w:t>
            </w:r>
          </w:p>
        </w:tc>
      </w:tr>
      <w:tr>
        <w:trPr>
          <w:trHeight w:val="565" w:hRule="atLeast"/>
          <w:cantSplit w:val="true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14:ligatures w14:val="none"/>
              </w:rPr>
              <w:t>.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Table"/>
              <w:widowControl w:val="false"/>
              <w:spacing w:before="0" w:after="160"/>
              <w:rPr>
                <w:rFonts w:ascii="Times New Roman" w:hAnsi="Times New Roman" w:eastAsia="Calibri" w:cs="Calibri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eastAsia="Calibri" w:cs="Calibri" w:ascii="Times New Roman" w:hAnsi="Times New Roman"/>
                <w:color w:val="auto"/>
                <w:sz w:val="20"/>
                <w:szCs w:val="20"/>
                <w:lang w:val="ru-RU" w:bidi="ru-RU"/>
              </w:rPr>
              <w:t>Оказание услуг по техническому обслуживанию беспилотного летательного аппарата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ШТ.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220 000,00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220 000,00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225 000,00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20 122,22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2886,75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0"/>
                <w:szCs w:val="20"/>
                <w:lang w:val="ru-RU" w:eastAsia="zh-CN" w:bidi="ru-RU"/>
              </w:rPr>
              <w:t>1,3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i/>
                <w:i/>
                <w:iCs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i/>
                <w:iCs/>
                <w:color w:val="auto"/>
                <w:kern w:val="0"/>
                <w:sz w:val="20"/>
                <w:szCs w:val="20"/>
                <w:lang w:val="ru-RU" w:eastAsia="zh-CN" w:bidi="ru-RU"/>
              </w:rPr>
              <w:t>221 666,67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i/>
                <w:i/>
                <w:iCs/>
                <w:color w:val="auto"/>
                <w:kern w:val="0"/>
                <w:sz w:val="20"/>
                <w:szCs w:val="20"/>
                <w:lang w:val="ru-RU" w:eastAsia="zh-CN" w:bidi="ru-RU"/>
              </w:rPr>
            </w:pPr>
            <w:r>
              <w:rPr>
                <w:rFonts w:eastAsia="Calibri" w:cs="Calibri" w:ascii="Times New Roman" w:hAnsi="Times New Roman"/>
                <w:i/>
                <w:iCs/>
                <w:color w:val="auto"/>
                <w:kern w:val="0"/>
                <w:sz w:val="20"/>
                <w:szCs w:val="20"/>
                <w:lang w:val="ru-RU" w:eastAsia="zh-CN" w:bidi="ru-RU"/>
              </w:rPr>
              <w:t>443 333,33</w:t>
            </w:r>
          </w:p>
        </w:tc>
      </w:tr>
      <w:tr>
        <w:trPr>
          <w:trHeight w:val="374" w:hRule="atLeast"/>
          <w:cantSplit w:val="true"/>
        </w:trPr>
        <w:tc>
          <w:tcPr>
            <w:tcW w:w="144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firstLine="709"/>
              <w:jc w:val="right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443 333,33*</w:t>
            </w:r>
          </w:p>
        </w:tc>
      </w:tr>
    </w:tbl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</w:r>
    </w:p>
    <w:tbl>
      <w:tblPr>
        <w:tblW w:w="26178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178"/>
      </w:tblGrid>
      <w:tr>
        <w:trPr>
          <w:trHeight w:val="2235" w:hRule="atLeast"/>
        </w:trPr>
        <w:tc>
          <w:tcPr>
            <w:tcW w:w="261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rFonts w:ascii="Times New Roman" w:hAnsi="Times New Roman"/>
              </w:rPr>
              <w:t>К</w:t>
            </w:r>
            <w:r>
              <w:rPr/>
              <w:t>оэффициент вариации цены не превышает 33%, таким образом, совокупность значений, используемых в расчете, при определении НМЦК является однородной.</w:t>
              <w:br/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/>
            </w:pPr>
            <w:r>
              <w:rPr/>
              <w:t>*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>Приказом Росреестра от 29.12.2014 № П/651 «Об утверждении расчетно-нормативных затрат на обеспечение деятельности территориальных органов Федеральной службы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/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>государственной регистрации, кадастра и картографии» (в редакции от 29.05.2025), (далее - Приказ) установлены нормативные затраты на обеспечение деятельности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/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 xml:space="preserve">территориальных органов 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>Росреестра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 xml:space="preserve">, предельная максимальная цена на затраты на техническое обслуживание БПЛА в соответствии с  Приложением № 145 и таблицей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/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 xml:space="preserve">№ 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  <w:t>52 к Приказу, составляет 220,0 тыс.руб за 1 ТО.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false"/>
              <w:bidi w:val="0"/>
              <w:spacing w:lineRule="auto" w:line="252" w:before="0" w:after="0"/>
              <w:ind w:left="0" w:right="680" w:hanging="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zh-CN" w:bidi="ru-RU"/>
              </w:rPr>
            </w:r>
          </w:p>
        </w:tc>
      </w:tr>
    </w:tbl>
    <w:p>
      <w:pPr>
        <w:pStyle w:val="Normal"/>
        <w:spacing w:lineRule="auto" w:line="288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88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sectPr>
      <w:type w:val="nextPage"/>
      <w:pgSz w:orient="landscape" w:w="16838" w:h="11906"/>
      <w:pgMar w:left="28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PT Astra Serif" w:cs="PT Astra Serif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ru-RU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basedOn w:val="DefaultParagraphFont"/>
    <w:uiPriority w:val="99"/>
    <w:unhideWhenUsed/>
    <w:rPr>
      <w:rFonts w:ascii="Times New Roman" w:hAnsi="Times New Roman" w:eastAsia="Times New Roman" w:cs="Times New Roman"/>
      <w:color w:val="0000FF"/>
      <w:sz w:val="24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rFonts w:ascii="Times New Roman" w:hAnsi="Times New Roman" w:eastAsia="Times New Roman" w:cs="Times New Roman"/>
      <w:sz w:val="24"/>
      <w:vertAlign w:val="superscript"/>
    </w:rPr>
  </w:style>
  <w:style w:type="character" w:styleId="Style6">
    <w:name w:val="Footnote Reference"/>
    <w:rPr>
      <w:rFonts w:ascii="Times New Roman" w:hAnsi="Times New Roman" w:eastAsia="Times New Roman" w:cs="Times New Roman"/>
      <w:sz w:val="24"/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qFormat/>
    <w:rPr>
      <w:rFonts w:ascii="PT Astra Serif" w:hAnsi="PT Astra Serif" w:eastAsia="PT Astra Serif" w:cs="PT Astra Serif"/>
      <w:sz w:val="24"/>
    </w:rPr>
  </w:style>
  <w:style w:type="character" w:styleId="Style9">
    <w:name w:val="Текст выноски Знак"/>
    <w:basedOn w:val="DefaultParagraphFont"/>
    <w:qFormat/>
    <w:rPr>
      <w:rFonts w:ascii="Segoe UI" w:hAnsi="Segoe UI" w:eastAsia="Segoe UI" w:cs="Segoe UI"/>
      <w:color w:val="000000"/>
      <w:sz w:val="18"/>
    </w:rPr>
  </w:style>
  <w:style w:type="character" w:styleId="Style10">
    <w:name w:val="Без интервала Знак"/>
    <w:qFormat/>
    <w:rPr>
      <w:rFonts w:ascii="Times New Roman" w:hAnsi="Times New Roman" w:eastAsia="Times New Roman" w:cs="Times New Roman"/>
      <w:sz w:val="24"/>
    </w:rPr>
  </w:style>
  <w:style w:type="character" w:styleId="Style11">
    <w:name w:val="Абзац списка Знак"/>
    <w:qFormat/>
    <w:rPr>
      <w:rFonts w:ascii="Calibri" w:hAnsi="Calibri" w:eastAsia="Calibri" w:cs="Calibri"/>
      <w:sz w:val="24"/>
      <w:szCs w:val="24"/>
      <w:lang w:val="ru-RU" w:bidi="en-US"/>
    </w:rPr>
  </w:style>
  <w:style w:type="paragraph" w:styleId="Style12">
    <w:name w:val="Заголовок"/>
    <w:basedOn w:val="Normal"/>
    <w:next w:val="Style13"/>
    <w:qFormat/>
    <w:pPr>
      <w:keepNext w:val="true"/>
      <w:spacing w:lineRule="auto" w:line="252" w:before="240" w:after="120"/>
      <w:jc w:val="left"/>
    </w:pPr>
    <w:rPr>
      <w:rFonts w:ascii="PT Astra Serif" w:hAnsi="PT Astra Serif" w:eastAsia="PT Astra Serif" w:cs="PT Astra Serif"/>
      <w:color w:val="auto"/>
      <w:sz w:val="28"/>
      <w:szCs w:val="28"/>
      <w:lang w:val="ru-RU" w:bidi="ru-RU"/>
    </w:rPr>
  </w:style>
  <w:style w:type="paragraph" w:styleId="Style13">
    <w:name w:val="Body Text"/>
    <w:basedOn w:val="Normal"/>
    <w:pPr>
      <w:spacing w:lineRule="exact" w:line="276" w:before="0" w:after="140"/>
      <w:jc w:val="left"/>
    </w:pPr>
    <w:rPr>
      <w:rFonts w:ascii="Calibri" w:hAnsi="Calibri" w:eastAsia="Calibri" w:cs="Calibri"/>
      <w:color w:val="auto"/>
      <w:sz w:val="22"/>
      <w:szCs w:val="22"/>
      <w:lang w:val="ru-RU" w:bidi="ru-RU"/>
    </w:rPr>
  </w:style>
  <w:style w:type="paragraph" w:styleId="Style14">
    <w:name w:val="List"/>
    <w:basedOn w:val="Style13"/>
    <w:pPr>
      <w:spacing w:lineRule="exact" w:line="276" w:before="0" w:after="140"/>
      <w:jc w:val="left"/>
    </w:pPr>
    <w:rPr>
      <w:rFonts w:ascii="PT Astra Serif" w:hAnsi="PT Astra Serif" w:eastAsia="PT Astra Serif" w:cs="PT Astra Serif"/>
      <w:color w:val="auto"/>
      <w:sz w:val="22"/>
      <w:szCs w:val="22"/>
      <w:lang w:val="ru-RU" w:bidi="ru-RU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52" w:before="120" w:after="120"/>
      <w:jc w:val="left"/>
    </w:pPr>
    <w:rPr>
      <w:rFonts w:ascii="PT Astra Serif" w:hAnsi="PT Astra Serif" w:eastAsia="PT Astra Serif" w:cs="PT Astra Serif"/>
      <w:i/>
      <w:iCs/>
      <w:color w:val="auto"/>
      <w:sz w:val="24"/>
      <w:szCs w:val="24"/>
      <w:lang w:val="ru-RU" w:bidi="ru-RU"/>
    </w:rPr>
  </w:style>
  <w:style w:type="paragraph" w:styleId="Style16">
    <w:name w:val="Указатель"/>
    <w:basedOn w:val="Normal"/>
    <w:qFormat/>
    <w:pPr>
      <w:spacing w:lineRule="auto" w:line="252" w:before="0" w:after="160"/>
      <w:jc w:val="left"/>
    </w:pPr>
    <w:rPr>
      <w:rFonts w:ascii="PT Astra Serif" w:hAnsi="PT Astra Serif" w:eastAsia="PT Astra Serif" w:cs="PT Astra Serif"/>
      <w:color w:val="auto"/>
      <w:sz w:val="22"/>
      <w:szCs w:val="22"/>
      <w:lang w:val="ru-RU" w:bidi="ru-RU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2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PT Astra Serif" w:cs="PT Astra Serif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Table" w:default="1">
    <w:name w:val="Normal Table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ru-RU"/>
    </w:rPr>
  </w:style>
  <w:style w:type="paragraph" w:styleId="FORMATTEXT">
    <w:name w:val=".FORMAT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ru-RU"/>
    </w:rPr>
  </w:style>
  <w:style w:type="paragraph" w:styleId="BalloonText">
    <w:name w:val="Balloon Text"/>
    <w:basedOn w:val="Normal"/>
    <w:qFormat/>
    <w:pPr>
      <w:spacing w:lineRule="exact" w:line="240" w:before="0" w:after="0"/>
      <w:jc w:val="left"/>
    </w:pPr>
    <w:rPr>
      <w:rFonts w:ascii="Segoe UI" w:hAnsi="Segoe UI" w:eastAsia="Segoe UI" w:cs="Segoe UI"/>
      <w:color w:val="auto"/>
      <w:sz w:val="18"/>
      <w:szCs w:val="18"/>
      <w:lang w:val="ru-RU" w:bidi="ru-RU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ru-RU"/>
    </w:rPr>
  </w:style>
  <w:style w:type="paragraph" w:styleId="ListParagraph">
    <w:name w:val="List Paragraph"/>
    <w:basedOn w:val="Normal"/>
    <w:qFormat/>
    <w:pPr>
      <w:spacing w:lineRule="exact" w:line="276" w:before="0" w:after="200"/>
      <w:ind w:left="720" w:right="0" w:hanging="0"/>
      <w:contextualSpacing/>
      <w:jc w:val="left"/>
    </w:pPr>
    <w:rPr>
      <w:rFonts w:ascii="Calibri" w:hAnsi="Calibri" w:eastAsia="Calibri" w:cs="Calibri"/>
      <w:color w:val="auto"/>
      <w:sz w:val="22"/>
      <w:szCs w:val="22"/>
      <w:lang w:val="ru-RU" w:bidi="en-US"/>
    </w:rPr>
  </w:style>
  <w:style w:type="paragraph" w:styleId="NormalWebWeb">
    <w:name w:val="Normal (Web),Обычный (Web)"/>
    <w:basedOn w:val="Normal"/>
    <w:qFormat/>
    <w:pPr>
      <w:spacing w:lineRule="exact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bidi="ru-RU"/>
    </w:rPr>
  </w:style>
  <w:style w:type="paragraph" w:styleId="TableGrid">
    <w:name w:val="Table Grid"/>
    <w:basedOn w:val="NormalTable"/>
    <w:qFormat/>
    <w:pPr>
      <w:spacing w:lineRule="exact" w:line="240" w:before="0" w:after="0"/>
      <w:jc w:val="left"/>
    </w:pPr>
    <w:rPr>
      <w:rFonts w:ascii="Calibri" w:hAnsi="Calibri" w:eastAsia="Calibri" w:cs="Calibri"/>
      <w:color w:val="auto"/>
      <w:sz w:val="22"/>
      <w:szCs w:val="22"/>
      <w:lang w:val="ru-RU" w:bidi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LibreOffice/7.5.6.2$Linux_X86_64 LibreOffice_project/50$Build-2</Application>
  <AppVersion>15.0000</AppVersion>
  <Pages>2</Pages>
  <Words>330</Words>
  <Characters>2195</Characters>
  <CharactersWithSpaces>2486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ЛLы с о вrаp Ю_л|иyя  ВBаpл|еuр иyаpн~о вrн~аp</dc:creator>
  <dc:description/>
  <dc:language>ru-RU</dc:language>
  <cp:lastModifiedBy/>
  <dcterms:modified xsi:type="dcterms:W3CDTF">2026-03-02T13:15:32Z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