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w:t>
      </w:r>
      <w:r w:rsidR="000F1E28">
        <w:rPr>
          <w:rFonts w:ascii="Times New Roman" w:hAnsi="Times New Roman" w:cs="Times New Roman"/>
          <w:sz w:val="20"/>
          <w:szCs w:val="20"/>
        </w:rPr>
        <w:t>__________</w:t>
      </w:r>
      <w:r w:rsidRPr="00D91286">
        <w:rPr>
          <w:rFonts w:ascii="Times New Roman" w:hAnsi="Times New Roman" w:cs="Times New Roman"/>
          <w:sz w:val="20"/>
          <w:szCs w:val="20"/>
        </w:rPr>
        <w:t xml:space="preserve">, действующего на основании </w:t>
      </w:r>
      <w:r w:rsidR="000F1E28">
        <w:rPr>
          <w:rFonts w:ascii="Times New Roman" w:hAnsi="Times New Roman" w:cs="Times New Roman"/>
          <w:sz w:val="20"/>
          <w:szCs w:val="20"/>
        </w:rPr>
        <w:t>____________________</w:t>
      </w:r>
      <w:r w:rsidRPr="00D91286">
        <w:rPr>
          <w:rFonts w:ascii="Times New Roman" w:hAnsi="Times New Roman" w:cs="Times New Roman"/>
          <w:sz w:val="20"/>
          <w:szCs w:val="20"/>
        </w:rPr>
        <w:t>,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Pr="00143A9F" w:rsidRDefault="00143A9F" w:rsidP="00143A9F">
      <w:pPr>
        <w:pStyle w:val="ConsPlusNormal"/>
        <w:jc w:val="both"/>
        <w:rPr>
          <w:rFonts w:ascii="Times New Roman" w:hAnsi="Times New Roman" w:cs="Times New Roman"/>
        </w:rPr>
      </w:pPr>
    </w:p>
    <w:p w:rsidR="00143A9F" w:rsidRPr="00143A9F" w:rsidRDefault="00143A9F" w:rsidP="00850E69">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0F1E28">
        <w:rPr>
          <w:rFonts w:ascii="Times New Roman" w:hAnsi="Times New Roman" w:cs="Times New Roman"/>
        </w:rPr>
        <w:t xml:space="preserve">бытовую технику </w:t>
      </w:r>
      <w:r w:rsidR="000F1E28" w:rsidRPr="000F1E28">
        <w:rPr>
          <w:rFonts w:ascii="Times New Roman" w:hAnsi="Times New Roman" w:cs="Times New Roman"/>
        </w:rPr>
        <w:t xml:space="preserve">для оснащения комнаты матери и ребенка и группы кратковременного пребывания детей 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1504C3" w:rsidRPr="0078793C">
        <w:rPr>
          <w:rFonts w:ascii="Times New Roman" w:hAnsi="Times New Roman" w:cs="Times New Roman"/>
        </w:rPr>
        <w:t>(</w:t>
      </w:r>
      <w:r w:rsidRPr="00143A9F">
        <w:rPr>
          <w:rFonts w:ascii="Times New Roman" w:hAnsi="Times New Roman" w:cs="Times New Roman"/>
        </w:rPr>
        <w:t>далее - Товар),</w:t>
      </w:r>
      <w:r w:rsidR="00EC1396">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143A9F" w:rsidRDefault="00143A9F" w:rsidP="00143A9F">
      <w:pPr>
        <w:pStyle w:val="ConsPlusNormal"/>
        <w:jc w:val="both"/>
        <w:rPr>
          <w:rFonts w:ascii="Times New Roman" w:hAnsi="Times New Roman" w:cs="Times New Roman"/>
        </w:rPr>
      </w:pP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0F1E28" w:rsidRPr="000F1E28">
        <w:rPr>
          <w:rFonts w:ascii="Times New Roman" w:hAnsi="Times New Roman" w:cs="Times New Roman"/>
        </w:rPr>
        <w:t>субсидии, предоставляемые в соответствии с абзацем 2 пункта 1 ст.78.1БК РФ (код субсидии 08-04)</w:t>
      </w:r>
      <w:r w:rsidR="008547E0">
        <w:rPr>
          <w:rFonts w:ascii="Times New Roman" w:hAnsi="Times New Roman" w:cs="Times New Roman"/>
        </w:rPr>
        <w:t>,</w:t>
      </w:r>
      <w:r w:rsidR="000F1E28">
        <w:rPr>
          <w:rFonts w:ascii="Times New Roman" w:hAnsi="Times New Roman" w:cs="Times New Roman"/>
        </w:rPr>
        <w:t xml:space="preserve"> </w:t>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 xml:space="preserve">товар в полном объеме должен быть поставлен не позднее </w:t>
      </w:r>
      <w:r w:rsidR="000F1E28">
        <w:rPr>
          <w:rFonts w:ascii="Times New Roman" w:hAnsi="Times New Roman" w:cs="Times New Roman"/>
        </w:rPr>
        <w:t>01.08.2026 года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w:t>
      </w:r>
      <w:r w:rsidR="00362F68">
        <w:rPr>
          <w:rFonts w:ascii="Times New Roman" w:hAnsi="Times New Roman" w:cs="Times New Roman"/>
        </w:rPr>
        <w:lastRenderedPageBreak/>
        <w:t>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sidRPr="00AF697C">
        <w:rPr>
          <w:rFonts w:ascii="Times New Roman" w:hAnsi="Times New Roman" w:cs="Times New Roman"/>
        </w:rPr>
        <w:lastRenderedPageBreak/>
        <w:t>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432D00" w:rsidRDefault="00432D00" w:rsidP="00143A9F">
      <w:pPr>
        <w:pStyle w:val="ConsPlusNormal"/>
        <w:ind w:firstLine="540"/>
        <w:jc w:val="both"/>
        <w:rPr>
          <w:rFonts w:ascii="Times New Roman" w:hAnsi="Times New Roman" w:cs="Times New Roman"/>
        </w:rPr>
      </w:pPr>
    </w:p>
    <w:p w:rsidR="00EC1396" w:rsidRDefault="00EC1396" w:rsidP="00143A9F">
      <w:pPr>
        <w:pStyle w:val="ConsPlusNormal"/>
        <w:ind w:firstLine="540"/>
        <w:jc w:val="both"/>
        <w:rPr>
          <w:rFonts w:ascii="Times New Roman" w:hAnsi="Times New Roman" w:cs="Times New Roman"/>
        </w:rPr>
      </w:pP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3D1549" w:rsidRPr="003D1549" w:rsidRDefault="003D1549" w:rsidP="003D1549">
      <w:pPr>
        <w:pStyle w:val="ConsPlusNormal"/>
        <w:ind w:firstLine="540"/>
        <w:jc w:val="both"/>
        <w:rPr>
          <w:rFonts w:ascii="Times New Roman" w:hAnsi="Times New Roman" w:cs="Times New Roman"/>
          <w:color w:val="FF0000"/>
        </w:rPr>
      </w:pP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t>IX. Обстоятельства непреодолимой силы</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center"/>
        <w:outlineLvl w:val="1"/>
        <w:rPr>
          <w:rFonts w:ascii="Times New Roman" w:hAnsi="Times New Roman" w:cs="Times New Roman"/>
          <w:b/>
        </w:rPr>
      </w:pP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г. Сочи, ул. Пластунская, 94</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ИНН/КПП 2320051199/232001001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ОКТМО: 03726000 ОКПО: 21053408</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ОГРН: 1022302918406</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Получатель: УФК по Краснодарскому краю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(ФГБОУ ВО «СочиГУ»)</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Банк получателя: ОКЦ № 1 ЮГУ Банка России //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УФК по Краснодарскому краю, г. Краснодар</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Лицевой счет 20186Х54700 (обратите внимание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X-английская, заглавная буква)</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Расчетный счет 03214643000000011800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БИК 010349101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 xml:space="preserve">ЕКС (к.сч.) </w:t>
            </w:r>
            <w:r w:rsidRPr="00D91286">
              <w:rPr>
                <w:rFonts w:ascii="Times New Roman" w:eastAsia="Arial Unicode MS" w:hAnsi="Times New Roman" w:cs="Times New Roman"/>
                <w:sz w:val="20"/>
                <w:szCs w:val="20"/>
                <w:lang w:val="en-US" w:eastAsia="ar-SA"/>
              </w:rPr>
              <w:t>40102810945370000010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val="en-US" w:eastAsia="ar-SA"/>
              </w:rPr>
              <w:t>e-mail: university@sutr.ru</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телефон</w:t>
            </w:r>
            <w:r w:rsidRPr="00D91286">
              <w:rPr>
                <w:rFonts w:ascii="Times New Roman" w:eastAsia="Arial Unicode MS" w:hAnsi="Times New Roman" w:cs="Times New Roman"/>
                <w:sz w:val="20"/>
                <w:szCs w:val="20"/>
                <w:lang w:val="en-US" w:eastAsia="ar-SA"/>
              </w:rPr>
              <w:t xml:space="preserve"> 8-862-268-10-62</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________________/ ______________ /</w:t>
            </w:r>
          </w:p>
          <w:p w:rsidR="00D91286" w:rsidRP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t>Приложение</w:t>
      </w:r>
      <w:r w:rsidR="005A7297" w:rsidRPr="0052077E">
        <w:rPr>
          <w:rFonts w:ascii="Times New Roman" w:hAnsi="Times New Roman" w:cs="Times New Roman"/>
        </w:rPr>
        <w:t xml:space="preserve"> </w:t>
      </w:r>
    </w:p>
    <w:p w:rsidR="00143A9F" w:rsidRPr="0052077E"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r w:rsidR="004052E0" w:rsidRPr="0052077E">
        <w:rPr>
          <w:rFonts w:ascii="Times New Roman" w:hAnsi="Times New Roman" w:cs="Times New Roman"/>
        </w:rPr>
        <w:t>№</w:t>
      </w:r>
      <w:r w:rsidRPr="0052077E">
        <w:rPr>
          <w:rFonts w:ascii="Times New Roman" w:hAnsi="Times New Roman" w:cs="Times New Roman"/>
        </w:rPr>
        <w:t xml:space="preserve"> __</w:t>
      </w:r>
      <w:r w:rsidR="004052E0" w:rsidRPr="0052077E">
        <w:rPr>
          <w:rFonts w:ascii="Times New Roman" w:hAnsi="Times New Roman" w:cs="Times New Roman"/>
        </w:rPr>
        <w:t>____</w:t>
      </w:r>
      <w:r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0F1E28" w:rsidRDefault="00143A9F" w:rsidP="00080FDE">
      <w:pPr>
        <w:pStyle w:val="ConsPlusNormal"/>
        <w:ind w:firstLine="0"/>
        <w:jc w:val="center"/>
        <w:rPr>
          <w:rFonts w:ascii="Times New Roman" w:hAnsi="Times New Roman" w:cs="Times New Roman"/>
          <w:b/>
          <w:sz w:val="24"/>
          <w:szCs w:val="24"/>
        </w:rPr>
      </w:pPr>
      <w:bookmarkStart w:id="23" w:name="P497"/>
      <w:bookmarkEnd w:id="23"/>
      <w:r w:rsidRPr="000F1E28">
        <w:rPr>
          <w:rFonts w:ascii="Times New Roman" w:hAnsi="Times New Roman" w:cs="Times New Roman"/>
          <w:b/>
          <w:sz w:val="24"/>
          <w:szCs w:val="24"/>
        </w:rPr>
        <w:t>Спецификация</w:t>
      </w:r>
      <w:r w:rsidR="00CA411F" w:rsidRPr="000F1E28">
        <w:rPr>
          <w:rFonts w:ascii="Times New Roman" w:hAnsi="Times New Roman" w:cs="Times New Roman"/>
          <w:b/>
          <w:sz w:val="24"/>
          <w:szCs w:val="24"/>
        </w:rPr>
        <w:t xml:space="preserve"> </w:t>
      </w:r>
    </w:p>
    <w:p w:rsidR="000710C6" w:rsidRPr="000F1E28" w:rsidRDefault="000710C6" w:rsidP="00080FDE">
      <w:pPr>
        <w:pStyle w:val="ConsPlusNormal"/>
        <w:ind w:firstLine="0"/>
        <w:jc w:val="center"/>
        <w:rPr>
          <w:rFonts w:ascii="Times New Roman" w:hAnsi="Times New Roman" w:cs="Times New Roman"/>
          <w:b/>
          <w:sz w:val="24"/>
          <w:szCs w:val="24"/>
        </w:rPr>
      </w:pPr>
    </w:p>
    <w:p w:rsidR="000710C6" w:rsidRPr="000F1E28" w:rsidRDefault="000710C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 xml:space="preserve">Объект закупки: </w:t>
      </w:r>
      <w:r w:rsidRPr="000F1E28">
        <w:rPr>
          <w:rFonts w:ascii="Times New Roman" w:eastAsia="Calibri" w:hAnsi="Times New Roman" w:cs="Times New Roman"/>
          <w:sz w:val="24"/>
          <w:szCs w:val="24"/>
        </w:rPr>
        <w:t xml:space="preserve">Поставка </w:t>
      </w:r>
      <w:r w:rsidR="000F1E28" w:rsidRPr="000F1E28">
        <w:rPr>
          <w:rFonts w:ascii="Times New Roman" w:eastAsia="Calibri" w:hAnsi="Times New Roman" w:cs="Times New Roman"/>
          <w:sz w:val="24"/>
          <w:szCs w:val="24"/>
        </w:rPr>
        <w:t xml:space="preserve">бытовой техники для оснащения комнаты матери </w:t>
      </w:r>
      <w:r w:rsidR="000F1E28">
        <w:rPr>
          <w:rFonts w:ascii="Times New Roman" w:eastAsia="Calibri" w:hAnsi="Times New Roman" w:cs="Times New Roman"/>
          <w:sz w:val="24"/>
          <w:szCs w:val="24"/>
        </w:rPr>
        <w:br/>
      </w:r>
      <w:r w:rsidR="000F1E28" w:rsidRPr="000F1E28">
        <w:rPr>
          <w:rFonts w:ascii="Times New Roman" w:eastAsia="Calibri" w:hAnsi="Times New Roman" w:cs="Times New Roman"/>
          <w:sz w:val="24"/>
          <w:szCs w:val="24"/>
        </w:rPr>
        <w:t xml:space="preserve">и ребенка и группы кратковременного пребывания детей 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Pr="000F1E28">
        <w:rPr>
          <w:rFonts w:ascii="Times New Roman" w:eastAsia="Calibri" w:hAnsi="Times New Roman" w:cs="Times New Roman"/>
          <w:sz w:val="24"/>
          <w:szCs w:val="24"/>
        </w:rPr>
        <w:t>(далее – товар).</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Место поставки товара:</w:t>
      </w:r>
      <w:r w:rsidRPr="000F1E28">
        <w:rPr>
          <w:rFonts w:ascii="Times New Roman" w:eastAsia="Calibri" w:hAnsi="Times New Roman" w:cs="Times New Roman"/>
          <w:sz w:val="24"/>
          <w:szCs w:val="24"/>
        </w:rPr>
        <w:t xml:space="preserve"> Краснодарский край, г. Сочи, ул. Пластунская, 94.</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Срок поставки товара:</w:t>
      </w:r>
      <w:r w:rsidRPr="000F1E28">
        <w:rPr>
          <w:rFonts w:ascii="Times New Roman" w:eastAsia="Calibri" w:hAnsi="Times New Roman" w:cs="Times New Roman"/>
          <w:sz w:val="24"/>
          <w:szCs w:val="24"/>
        </w:rPr>
        <w:t xml:space="preserve"> </w:t>
      </w:r>
      <w:r w:rsidR="000F1E28" w:rsidRPr="000F1E28">
        <w:rPr>
          <w:rFonts w:ascii="Times New Roman" w:eastAsia="Calibri" w:hAnsi="Times New Roman" w:cs="Times New Roman"/>
          <w:sz w:val="24"/>
          <w:szCs w:val="24"/>
        </w:rPr>
        <w:t>товар в полном объеме должен быть поставлен не позднее 01.08.2026 года</w:t>
      </w:r>
      <w:r w:rsidRPr="000F1E28">
        <w:rPr>
          <w:rFonts w:ascii="Times New Roman" w:eastAsia="Calibri" w:hAnsi="Times New Roman" w:cs="Times New Roman"/>
          <w:sz w:val="24"/>
          <w:szCs w:val="24"/>
        </w:rPr>
        <w:t>.</w:t>
      </w:r>
    </w:p>
    <w:p w:rsidR="00EC1396" w:rsidRPr="000F1E28" w:rsidRDefault="00EC1396" w:rsidP="000F1E28">
      <w:pPr>
        <w:pStyle w:val="ConsPlusNormal"/>
        <w:ind w:firstLine="567"/>
        <w:jc w:val="center"/>
        <w:rPr>
          <w:rFonts w:ascii="Times New Roman" w:hAnsi="Times New Roman" w:cs="Times New Roman"/>
          <w:b/>
          <w:sz w:val="24"/>
          <w:szCs w:val="24"/>
        </w:rPr>
      </w:pPr>
    </w:p>
    <w:p w:rsidR="000F1E28" w:rsidRPr="000F1E28" w:rsidRDefault="000F1E28" w:rsidP="000F1E28">
      <w:pPr>
        <w:spacing w:after="0" w:line="240" w:lineRule="auto"/>
        <w:ind w:firstLine="567"/>
        <w:jc w:val="both"/>
        <w:rPr>
          <w:rFonts w:ascii="Times New Roman" w:eastAsia="Calibri" w:hAnsi="Times New Roman" w:cs="Times New Roman"/>
          <w:b/>
          <w:sz w:val="24"/>
          <w:szCs w:val="24"/>
        </w:rPr>
      </w:pPr>
      <w:r w:rsidRPr="000F1E28">
        <w:rPr>
          <w:rFonts w:ascii="Times New Roman" w:eastAsia="Calibri" w:hAnsi="Times New Roman" w:cs="Times New Roman"/>
          <w:b/>
          <w:sz w:val="24"/>
          <w:szCs w:val="24"/>
        </w:rPr>
        <w:t>Общие сведения по поставке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1. Поставщик обязан поставить товар, являющийся объектом закупки, в сроки, объеме и качестве, указанными в контракте.</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 Общие требования к товару</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 Условия поставки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3.1. Весь товар, указанный в разделе 6 Спецификации, поставляется одной или отдельными партиями.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Pr="000F1E28">
        <w:rPr>
          <w:sz w:val="24"/>
          <w:szCs w:val="24"/>
        </w:rPr>
        <w:t xml:space="preserve"> </w:t>
      </w:r>
      <w:r w:rsidRPr="000F1E28">
        <w:rPr>
          <w:rFonts w:ascii="Times New Roman" w:eastAsia="Calibri" w:hAnsi="Times New Roman" w:cs="Times New Roman"/>
          <w:sz w:val="24"/>
          <w:szCs w:val="24"/>
        </w:rPr>
        <w:t>подъем в помещения, указанные Заказчиком.</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4. Требования к документации на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 Гарантия качества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5.1. Поставщик предоставляет гарантию качества на поставляемый товар. Гарантийный срок составляет не менее 12 месяцев с даты приемки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6. Поставляемый товар:</w:t>
      </w:r>
    </w:p>
    <w:p w:rsidR="000710C6" w:rsidRPr="0052077E" w:rsidRDefault="000710C6" w:rsidP="000F1E28">
      <w:pPr>
        <w:spacing w:after="0" w:line="240" w:lineRule="auto"/>
        <w:jc w:val="both"/>
        <w:rPr>
          <w:rFonts w:ascii="Times New Roman" w:eastAsia="Calibri" w:hAnsi="Times New Roman" w:cs="Times New Roman"/>
          <w:b/>
          <w:sz w:val="20"/>
          <w:szCs w:val="20"/>
        </w:rPr>
      </w:pPr>
    </w:p>
    <w:tbl>
      <w:tblPr>
        <w:tblStyle w:val="2"/>
        <w:tblW w:w="10916" w:type="dxa"/>
        <w:tblInd w:w="-885" w:type="dxa"/>
        <w:tblLayout w:type="fixed"/>
        <w:tblLook w:val="04A0" w:firstRow="1" w:lastRow="0" w:firstColumn="1" w:lastColumn="0" w:noHBand="0" w:noVBand="1"/>
      </w:tblPr>
      <w:tblGrid>
        <w:gridCol w:w="562"/>
        <w:gridCol w:w="1281"/>
        <w:gridCol w:w="1560"/>
        <w:gridCol w:w="3118"/>
        <w:gridCol w:w="1135"/>
        <w:gridCol w:w="851"/>
        <w:gridCol w:w="566"/>
        <w:gridCol w:w="851"/>
        <w:gridCol w:w="992"/>
      </w:tblGrid>
      <w:tr w:rsidR="00792288" w:rsidRPr="00792288" w:rsidTr="00792288">
        <w:tc>
          <w:tcPr>
            <w:tcW w:w="562" w:type="dxa"/>
          </w:tcPr>
          <w:p w:rsidR="00792288" w:rsidRPr="00792288" w:rsidRDefault="00792288" w:rsidP="00792288">
            <w:pPr>
              <w:rPr>
                <w:rFonts w:ascii="Times New Roman" w:eastAsia="Calibri" w:hAnsi="Times New Roman" w:cs="Times New Roman"/>
                <w:sz w:val="20"/>
                <w:szCs w:val="20"/>
              </w:rPr>
            </w:pPr>
            <w:r w:rsidRPr="00792288">
              <w:rPr>
                <w:rFonts w:ascii="Times New Roman" w:eastAsia="Calibri" w:hAnsi="Times New Roman" w:cs="Times New Roman"/>
                <w:sz w:val="20"/>
                <w:szCs w:val="20"/>
              </w:rPr>
              <w:t>№</w:t>
            </w:r>
          </w:p>
          <w:p w:rsidR="00792288" w:rsidRPr="00792288" w:rsidRDefault="00792288" w:rsidP="00792288">
            <w:pPr>
              <w:rPr>
                <w:rFonts w:ascii="Times New Roman" w:eastAsia="Calibri" w:hAnsi="Times New Roman" w:cs="Times New Roman"/>
                <w:sz w:val="20"/>
                <w:szCs w:val="20"/>
              </w:rPr>
            </w:pPr>
            <w:r w:rsidRPr="00792288">
              <w:rPr>
                <w:rFonts w:ascii="Times New Roman" w:eastAsia="Calibri" w:hAnsi="Times New Roman" w:cs="Times New Roman"/>
                <w:sz w:val="20"/>
                <w:szCs w:val="20"/>
              </w:rPr>
              <w:t>п/п</w:t>
            </w:r>
          </w:p>
        </w:tc>
        <w:tc>
          <w:tcPr>
            <w:tcW w:w="1281" w:type="dxa"/>
          </w:tcPr>
          <w:p w:rsidR="00792288" w:rsidRPr="00792288" w:rsidRDefault="00792288" w:rsidP="00792288">
            <w:pPr>
              <w:rPr>
                <w:rFonts w:ascii="Times New Roman" w:eastAsia="Calibri" w:hAnsi="Times New Roman" w:cs="Times New Roman"/>
                <w:sz w:val="20"/>
                <w:szCs w:val="20"/>
              </w:rPr>
            </w:pPr>
            <w:r w:rsidRPr="00792288">
              <w:rPr>
                <w:rFonts w:ascii="Times New Roman" w:eastAsia="Calibri" w:hAnsi="Times New Roman" w:cs="Times New Roman"/>
                <w:sz w:val="20"/>
                <w:szCs w:val="20"/>
              </w:rPr>
              <w:t>Фото</w:t>
            </w:r>
          </w:p>
        </w:tc>
        <w:tc>
          <w:tcPr>
            <w:tcW w:w="1560" w:type="dxa"/>
          </w:tcPr>
          <w:p w:rsidR="00792288" w:rsidRPr="00792288" w:rsidRDefault="00792288" w:rsidP="00792288">
            <w:pPr>
              <w:rPr>
                <w:rFonts w:ascii="Times New Roman" w:eastAsia="Calibri" w:hAnsi="Times New Roman" w:cs="Times New Roman"/>
                <w:sz w:val="20"/>
                <w:szCs w:val="20"/>
              </w:rPr>
            </w:pPr>
            <w:r w:rsidRPr="00792288">
              <w:rPr>
                <w:rFonts w:ascii="Times New Roman" w:eastAsia="Calibri" w:hAnsi="Times New Roman" w:cs="Times New Roman"/>
                <w:sz w:val="20"/>
                <w:szCs w:val="20"/>
              </w:rPr>
              <w:t>Название товара</w:t>
            </w:r>
          </w:p>
        </w:tc>
        <w:tc>
          <w:tcPr>
            <w:tcW w:w="3118" w:type="dxa"/>
          </w:tcPr>
          <w:p w:rsidR="00792288" w:rsidRPr="00792288" w:rsidRDefault="00792288" w:rsidP="00792288">
            <w:pPr>
              <w:rPr>
                <w:rFonts w:ascii="Times New Roman" w:eastAsia="Calibri" w:hAnsi="Times New Roman" w:cs="Times New Roman"/>
                <w:sz w:val="20"/>
                <w:szCs w:val="20"/>
              </w:rPr>
            </w:pPr>
            <w:r w:rsidRPr="00792288">
              <w:rPr>
                <w:rFonts w:ascii="Times New Roman" w:eastAsia="Calibri" w:hAnsi="Times New Roman" w:cs="Times New Roman"/>
                <w:sz w:val="20"/>
                <w:szCs w:val="20"/>
              </w:rPr>
              <w:t>Описание</w:t>
            </w:r>
          </w:p>
        </w:tc>
        <w:tc>
          <w:tcPr>
            <w:tcW w:w="1135"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Страна происхождения товара</w:t>
            </w:r>
          </w:p>
        </w:tc>
        <w:tc>
          <w:tcPr>
            <w:tcW w:w="851"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Единица измерения </w:t>
            </w:r>
          </w:p>
        </w:tc>
        <w:tc>
          <w:tcPr>
            <w:tcW w:w="566" w:type="dxa"/>
          </w:tcPr>
          <w:p w:rsidR="00792288" w:rsidRPr="00792288" w:rsidRDefault="00792288" w:rsidP="00792288">
            <w:pPr>
              <w:rPr>
                <w:rFonts w:ascii="Times New Roman" w:eastAsia="Calibri" w:hAnsi="Times New Roman" w:cs="Times New Roman"/>
                <w:sz w:val="20"/>
                <w:szCs w:val="20"/>
              </w:rPr>
            </w:pPr>
            <w:r w:rsidRPr="00792288">
              <w:rPr>
                <w:rFonts w:ascii="Times New Roman" w:eastAsia="Calibri" w:hAnsi="Times New Roman" w:cs="Times New Roman"/>
                <w:sz w:val="20"/>
                <w:szCs w:val="20"/>
              </w:rPr>
              <w:t>Кол-во</w:t>
            </w:r>
          </w:p>
        </w:tc>
        <w:tc>
          <w:tcPr>
            <w:tcW w:w="851" w:type="dxa"/>
          </w:tcPr>
          <w:p w:rsidR="00792288" w:rsidRPr="00792288" w:rsidRDefault="00792288" w:rsidP="00792288">
            <w:pPr>
              <w:rPr>
                <w:rFonts w:ascii="Times New Roman" w:eastAsia="Calibri" w:hAnsi="Times New Roman" w:cs="Times New Roman"/>
                <w:sz w:val="20"/>
                <w:szCs w:val="20"/>
              </w:rPr>
            </w:pPr>
            <w:r w:rsidRPr="00792288">
              <w:rPr>
                <w:rFonts w:ascii="Times New Roman" w:eastAsia="Calibri" w:hAnsi="Times New Roman" w:cs="Times New Roman"/>
                <w:sz w:val="20"/>
                <w:szCs w:val="20"/>
              </w:rPr>
              <w:t>Цена (руб.)</w:t>
            </w:r>
          </w:p>
        </w:tc>
        <w:tc>
          <w:tcPr>
            <w:tcW w:w="992" w:type="dxa"/>
          </w:tcPr>
          <w:p w:rsidR="00792288" w:rsidRPr="00792288" w:rsidRDefault="00792288" w:rsidP="00792288">
            <w:pPr>
              <w:rPr>
                <w:rFonts w:ascii="Times New Roman" w:eastAsia="Calibri" w:hAnsi="Times New Roman" w:cs="Times New Roman"/>
                <w:sz w:val="20"/>
                <w:szCs w:val="20"/>
              </w:rPr>
            </w:pPr>
            <w:r w:rsidRPr="00792288">
              <w:rPr>
                <w:rFonts w:ascii="Times New Roman" w:eastAsia="Calibri" w:hAnsi="Times New Roman" w:cs="Times New Roman"/>
                <w:sz w:val="20"/>
                <w:szCs w:val="20"/>
              </w:rPr>
              <w:t>Общая сумма (руб.)</w:t>
            </w:r>
          </w:p>
          <w:p w:rsidR="00792288" w:rsidRPr="00792288" w:rsidRDefault="00792288" w:rsidP="00792288">
            <w:pPr>
              <w:rPr>
                <w:rFonts w:ascii="Times New Roman" w:eastAsia="Calibri" w:hAnsi="Times New Roman" w:cs="Times New Roman"/>
                <w:sz w:val="20"/>
                <w:szCs w:val="20"/>
              </w:rPr>
            </w:pPr>
          </w:p>
        </w:tc>
      </w:tr>
      <w:tr w:rsidR="00792288" w:rsidRPr="00792288" w:rsidTr="00792288">
        <w:tc>
          <w:tcPr>
            <w:tcW w:w="562"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1</w:t>
            </w:r>
          </w:p>
        </w:tc>
        <w:tc>
          <w:tcPr>
            <w:tcW w:w="1281"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noProof/>
                <w:sz w:val="20"/>
                <w:szCs w:val="20"/>
              </w:rPr>
              <w:drawing>
                <wp:anchor distT="0" distB="0" distL="114300" distR="114300" simplePos="0" relativeHeight="251663872" behindDoc="0" locked="0" layoutInCell="1" allowOverlap="1" wp14:anchorId="487C4F38" wp14:editId="63F7F2FB">
                  <wp:simplePos x="0" y="0"/>
                  <wp:positionH relativeFrom="column">
                    <wp:posOffset>26670</wp:posOffset>
                  </wp:positionH>
                  <wp:positionV relativeFrom="paragraph">
                    <wp:posOffset>152400</wp:posOffset>
                  </wp:positionV>
                  <wp:extent cx="617220" cy="61722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220" cy="617220"/>
                          </a:xfrm>
                          <a:prstGeom prst="rect">
                            <a:avLst/>
                          </a:prstGeom>
                        </pic:spPr>
                      </pic:pic>
                    </a:graphicData>
                  </a:graphic>
                  <wp14:sizeRelH relativeFrom="page">
                    <wp14:pctWidth>0</wp14:pctWidth>
                  </wp14:sizeRelH>
                  <wp14:sizeRelV relativeFrom="page">
                    <wp14:pctHeight>0</wp14:pctHeight>
                  </wp14:sizeRelV>
                </wp:anchor>
              </w:drawing>
            </w:r>
          </w:p>
        </w:tc>
        <w:tc>
          <w:tcPr>
            <w:tcW w:w="1560" w:type="dxa"/>
          </w:tcPr>
          <w:p w:rsid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Электрочайник Ariete Vintage 2869 зеленый </w:t>
            </w:r>
          </w:p>
          <w:p w:rsidR="00792288" w:rsidRDefault="00792288" w:rsidP="00792288">
            <w:pPr>
              <w:jc w:val="both"/>
              <w:rPr>
                <w:rFonts w:ascii="Times New Roman" w:eastAsia="Calibri" w:hAnsi="Times New Roman" w:cs="Times New Roman"/>
                <w:sz w:val="20"/>
                <w:szCs w:val="20"/>
              </w:rPr>
            </w:pPr>
          </w:p>
          <w:p w:rsidR="00792288" w:rsidRPr="00792288" w:rsidRDefault="00792288" w:rsidP="00792288">
            <w:pPr>
              <w:jc w:val="both"/>
              <w:rPr>
                <w:rFonts w:ascii="Times New Roman" w:eastAsia="Calibri" w:hAnsi="Times New Roman" w:cs="Times New Roman"/>
                <w:color w:val="FF0000"/>
                <w:sz w:val="20"/>
                <w:szCs w:val="20"/>
              </w:rPr>
            </w:pPr>
            <w:r w:rsidRPr="00792288">
              <w:rPr>
                <w:rFonts w:ascii="Times New Roman" w:eastAsia="Calibri" w:hAnsi="Times New Roman" w:cs="Times New Roman"/>
                <w:color w:val="FF0000"/>
                <w:sz w:val="20"/>
                <w:szCs w:val="20"/>
              </w:rPr>
              <w:t>(или эквивалент)</w:t>
            </w:r>
          </w:p>
        </w:tc>
        <w:tc>
          <w:tcPr>
            <w:tcW w:w="3118"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Цвет зеленый.</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Максимальный объем не менее 1.69 л.</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Потребляемая мощность 2000 Вт.</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Длина сетевого шнура не менее 0,5 м.</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Особенности устройств для нагрева воды</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Вращение подставки на 360°, Фильтр от накипи.</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Материал корпуса пластик/ металл.</w:t>
            </w:r>
          </w:p>
          <w:p w:rsidR="00792288" w:rsidRPr="00792288" w:rsidRDefault="00792288" w:rsidP="00792288">
            <w:pPr>
              <w:jc w:val="both"/>
              <w:rPr>
                <w:rFonts w:ascii="Times New Roman" w:eastAsia="Calibri" w:hAnsi="Times New Roman" w:cs="Times New Roman"/>
                <w:sz w:val="20"/>
                <w:szCs w:val="20"/>
              </w:rPr>
            </w:pPr>
          </w:p>
        </w:tc>
        <w:tc>
          <w:tcPr>
            <w:tcW w:w="1135" w:type="dxa"/>
          </w:tcPr>
          <w:p w:rsidR="00792288" w:rsidRPr="00792288" w:rsidRDefault="00792288" w:rsidP="00792288">
            <w:pPr>
              <w:jc w:val="both"/>
              <w:rPr>
                <w:rFonts w:ascii="Times New Roman" w:eastAsia="Calibri" w:hAnsi="Times New Roman" w:cs="Times New Roman"/>
                <w:sz w:val="20"/>
                <w:szCs w:val="20"/>
              </w:rPr>
            </w:pPr>
          </w:p>
        </w:tc>
        <w:tc>
          <w:tcPr>
            <w:tcW w:w="851"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штука</w:t>
            </w:r>
          </w:p>
        </w:tc>
        <w:tc>
          <w:tcPr>
            <w:tcW w:w="566"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1</w:t>
            </w:r>
          </w:p>
        </w:tc>
        <w:tc>
          <w:tcPr>
            <w:tcW w:w="851" w:type="dxa"/>
          </w:tcPr>
          <w:p w:rsidR="00792288" w:rsidRPr="00792288" w:rsidRDefault="00792288" w:rsidP="00792288">
            <w:pPr>
              <w:jc w:val="both"/>
              <w:rPr>
                <w:rFonts w:ascii="Times New Roman" w:eastAsia="Calibri" w:hAnsi="Times New Roman" w:cs="Times New Roman"/>
                <w:sz w:val="20"/>
                <w:szCs w:val="20"/>
              </w:rPr>
            </w:pPr>
          </w:p>
        </w:tc>
        <w:tc>
          <w:tcPr>
            <w:tcW w:w="992" w:type="dxa"/>
          </w:tcPr>
          <w:p w:rsidR="00792288" w:rsidRPr="00792288" w:rsidRDefault="00792288" w:rsidP="00792288">
            <w:pPr>
              <w:jc w:val="both"/>
              <w:rPr>
                <w:rFonts w:ascii="Times New Roman" w:eastAsia="Calibri" w:hAnsi="Times New Roman" w:cs="Times New Roman"/>
                <w:sz w:val="20"/>
                <w:szCs w:val="20"/>
              </w:rPr>
            </w:pPr>
          </w:p>
        </w:tc>
      </w:tr>
      <w:tr w:rsidR="00792288" w:rsidRPr="00792288" w:rsidTr="00792288">
        <w:tc>
          <w:tcPr>
            <w:tcW w:w="562"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2</w:t>
            </w:r>
          </w:p>
        </w:tc>
        <w:tc>
          <w:tcPr>
            <w:tcW w:w="1281"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noProof/>
                <w:sz w:val="20"/>
                <w:szCs w:val="20"/>
              </w:rPr>
              <w:drawing>
                <wp:anchor distT="0" distB="0" distL="114300" distR="114300" simplePos="0" relativeHeight="251651584" behindDoc="0" locked="0" layoutInCell="1" allowOverlap="1" wp14:anchorId="3A3166A5" wp14:editId="143B8B28">
                  <wp:simplePos x="0" y="0"/>
                  <wp:positionH relativeFrom="column">
                    <wp:posOffset>-46990</wp:posOffset>
                  </wp:positionH>
                  <wp:positionV relativeFrom="paragraph">
                    <wp:posOffset>144780</wp:posOffset>
                  </wp:positionV>
                  <wp:extent cx="777240" cy="777240"/>
                  <wp:effectExtent l="0" t="0" r="3810" b="381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p>
        </w:tc>
        <w:tc>
          <w:tcPr>
            <w:tcW w:w="1560"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Холодильник однодверный Kraft BC 75 (W)</w:t>
            </w:r>
          </w:p>
          <w:p w:rsidR="00792288" w:rsidRDefault="00792288" w:rsidP="00792288">
            <w:pPr>
              <w:jc w:val="both"/>
              <w:rPr>
                <w:rFonts w:ascii="Times New Roman" w:eastAsia="Calibri" w:hAnsi="Times New Roman" w:cs="Times New Roman"/>
                <w:sz w:val="20"/>
                <w:szCs w:val="20"/>
              </w:rPr>
            </w:pPr>
          </w:p>
          <w:p w:rsidR="00792288" w:rsidRPr="00792288" w:rsidRDefault="00792288" w:rsidP="00792288">
            <w:pPr>
              <w:jc w:val="both"/>
              <w:rPr>
                <w:rFonts w:ascii="Times New Roman" w:eastAsia="Calibri" w:hAnsi="Times New Roman" w:cs="Times New Roman"/>
                <w:color w:val="FF0000"/>
                <w:sz w:val="20"/>
                <w:szCs w:val="20"/>
              </w:rPr>
            </w:pPr>
            <w:r w:rsidRPr="00792288">
              <w:rPr>
                <w:rFonts w:ascii="Times New Roman" w:eastAsia="Calibri" w:hAnsi="Times New Roman" w:cs="Times New Roman"/>
                <w:color w:val="FF0000"/>
                <w:sz w:val="20"/>
                <w:szCs w:val="20"/>
              </w:rPr>
              <w:t>(или эквивалент)</w:t>
            </w:r>
          </w:p>
        </w:tc>
        <w:tc>
          <w:tcPr>
            <w:tcW w:w="3118" w:type="dxa"/>
          </w:tcPr>
          <w:p w:rsid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Холодильник – небольшая </w:t>
            </w:r>
          </w:p>
          <w:p w:rsid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и практичная модель. </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Размеры корпуса составляют ВхШхГ 63x44.5x51 см. (+/-2см.). </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Цвет белый.</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Общий объем 75 л.</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Общий полезный объем 66 л.</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Полезный объем холодильной камеры 60 л.</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Полезный объем морозильной камеры / НТО 6 л. </w:t>
            </w:r>
          </w:p>
          <w:p w:rsid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В дверце модели уместятся бутылки с охлажденными напитками и продукты </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в герметичных упаковках. Прибор относится к классу энергоэффективности A+. </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Размораживание морозильной камеры / НТО </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Ручное.</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Размораживание холодильной камеры </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Капельная.</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Форма для льда есть.</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Полок в холодильной камере 3.</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Полок на двери холодильной камеры 2.</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Материал двери металл.</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Направление открытия двери Направо.</w:t>
            </w:r>
          </w:p>
        </w:tc>
        <w:tc>
          <w:tcPr>
            <w:tcW w:w="1135" w:type="dxa"/>
          </w:tcPr>
          <w:p w:rsidR="00792288" w:rsidRPr="00792288" w:rsidRDefault="00792288" w:rsidP="00792288">
            <w:pPr>
              <w:jc w:val="both"/>
              <w:rPr>
                <w:rFonts w:ascii="Times New Roman" w:eastAsia="Calibri" w:hAnsi="Times New Roman" w:cs="Times New Roman"/>
                <w:sz w:val="20"/>
                <w:szCs w:val="20"/>
              </w:rPr>
            </w:pPr>
          </w:p>
        </w:tc>
        <w:tc>
          <w:tcPr>
            <w:tcW w:w="851"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штука</w:t>
            </w:r>
          </w:p>
        </w:tc>
        <w:tc>
          <w:tcPr>
            <w:tcW w:w="566"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1</w:t>
            </w:r>
          </w:p>
        </w:tc>
        <w:tc>
          <w:tcPr>
            <w:tcW w:w="851" w:type="dxa"/>
          </w:tcPr>
          <w:p w:rsidR="00792288" w:rsidRPr="00792288" w:rsidRDefault="00792288" w:rsidP="00792288">
            <w:pPr>
              <w:jc w:val="both"/>
              <w:rPr>
                <w:rFonts w:ascii="Times New Roman" w:eastAsia="Calibri" w:hAnsi="Times New Roman" w:cs="Times New Roman"/>
                <w:sz w:val="20"/>
                <w:szCs w:val="20"/>
              </w:rPr>
            </w:pPr>
          </w:p>
        </w:tc>
        <w:tc>
          <w:tcPr>
            <w:tcW w:w="992" w:type="dxa"/>
          </w:tcPr>
          <w:p w:rsidR="00792288" w:rsidRPr="00792288" w:rsidRDefault="00792288" w:rsidP="00792288">
            <w:pPr>
              <w:jc w:val="both"/>
              <w:rPr>
                <w:rFonts w:ascii="Times New Roman" w:eastAsia="Calibri" w:hAnsi="Times New Roman" w:cs="Times New Roman"/>
                <w:sz w:val="20"/>
                <w:szCs w:val="20"/>
              </w:rPr>
            </w:pPr>
          </w:p>
        </w:tc>
      </w:tr>
      <w:tr w:rsidR="00792288" w:rsidRPr="00792288" w:rsidTr="00792288">
        <w:trPr>
          <w:trHeight w:val="72"/>
        </w:trPr>
        <w:tc>
          <w:tcPr>
            <w:tcW w:w="562"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3</w:t>
            </w:r>
          </w:p>
        </w:tc>
        <w:tc>
          <w:tcPr>
            <w:tcW w:w="1281"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noProof/>
                <w:sz w:val="20"/>
                <w:szCs w:val="20"/>
              </w:rPr>
              <w:drawing>
                <wp:anchor distT="0" distB="0" distL="114300" distR="114300" simplePos="0" relativeHeight="251676160" behindDoc="0" locked="0" layoutInCell="1" allowOverlap="1" wp14:anchorId="4B562E62" wp14:editId="443E4FED">
                  <wp:simplePos x="0" y="0"/>
                  <wp:positionH relativeFrom="column">
                    <wp:posOffset>-19050</wp:posOffset>
                  </wp:positionH>
                  <wp:positionV relativeFrom="paragraph">
                    <wp:posOffset>48895</wp:posOffset>
                  </wp:positionV>
                  <wp:extent cx="640080" cy="64008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p>
        </w:tc>
        <w:tc>
          <w:tcPr>
            <w:tcW w:w="1560" w:type="dxa"/>
          </w:tcPr>
          <w:p w:rsid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Микроволновая печь соло Maunfeld MFSMO.20.7WH</w:t>
            </w:r>
          </w:p>
          <w:p w:rsidR="00792288" w:rsidRDefault="00792288" w:rsidP="00792288">
            <w:pPr>
              <w:jc w:val="both"/>
              <w:rPr>
                <w:rFonts w:ascii="Times New Roman" w:eastAsia="Calibri" w:hAnsi="Times New Roman" w:cs="Times New Roman"/>
                <w:sz w:val="20"/>
                <w:szCs w:val="20"/>
              </w:rPr>
            </w:pPr>
          </w:p>
          <w:p w:rsidR="00792288" w:rsidRPr="00792288" w:rsidRDefault="00792288" w:rsidP="00792288">
            <w:pPr>
              <w:jc w:val="both"/>
              <w:rPr>
                <w:rFonts w:ascii="Times New Roman" w:eastAsia="Calibri" w:hAnsi="Times New Roman" w:cs="Times New Roman"/>
                <w:color w:val="FF0000"/>
                <w:sz w:val="20"/>
                <w:szCs w:val="20"/>
              </w:rPr>
            </w:pPr>
            <w:r w:rsidRPr="00792288">
              <w:rPr>
                <w:rFonts w:ascii="Times New Roman" w:eastAsia="Calibri" w:hAnsi="Times New Roman" w:cs="Times New Roman"/>
                <w:color w:val="FF0000"/>
                <w:sz w:val="20"/>
                <w:szCs w:val="20"/>
              </w:rPr>
              <w:t>(или эквивалент)</w:t>
            </w:r>
          </w:p>
        </w:tc>
        <w:tc>
          <w:tcPr>
            <w:tcW w:w="3118" w:type="dxa"/>
          </w:tcPr>
          <w:p w:rsid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Цвет: Белый, светло-серый, серебристый, темно-серый. Объем, л.20. </w:t>
            </w:r>
          </w:p>
          <w:p w:rsid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Диаметр поворотного стола, см.25.5. </w:t>
            </w:r>
          </w:p>
          <w:p w:rsidR="00792288" w:rsidRPr="00792288" w:rsidRDefault="00792288" w:rsidP="00792288">
            <w:pPr>
              <w:jc w:val="both"/>
              <w:rPr>
                <w:rFonts w:ascii="Times New Roman" w:eastAsia="Calibri" w:hAnsi="Times New Roman" w:cs="Times New Roman"/>
                <w:sz w:val="20"/>
                <w:szCs w:val="20"/>
              </w:rPr>
            </w:pPr>
            <w:bookmarkStart w:id="24" w:name="_GoBack"/>
            <w:bookmarkEnd w:id="24"/>
            <w:r w:rsidRPr="00792288">
              <w:rPr>
                <w:rFonts w:ascii="Times New Roman" w:eastAsia="Calibri" w:hAnsi="Times New Roman" w:cs="Times New Roman"/>
                <w:sz w:val="20"/>
                <w:szCs w:val="20"/>
              </w:rPr>
              <w:t>Макс. мощность СВЧ, Вт 700.</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 xml:space="preserve">Управление Механическое. Технология СВЧ. </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С поворотным столом. Открывание дверцы микроволновой печи Ручка.</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Материал фронтальной панели пластик.</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Внутреннее покрытие эмалированный металл.</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Тип открывания дверцы ручка.</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Материал поворотного стола Стекло.</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Встроенное освещение Да.</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Особенности: таймер, открытие дверцы в любом режиме, звуковой сигнал, подсветка камеры, дверца навесная.</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Режимы работы (функции): режим микроволн, размораживание по весу, таймер приготовления, стоп/сброс.</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Комплектация: вращающееся кольцо, стеклянный поддон, инструкция на русском языке.</w:t>
            </w:r>
          </w:p>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Габаритные размеры (В*Ш*Г) не менее 25*43*33 см и не более 26*45*36 см.</w:t>
            </w:r>
          </w:p>
        </w:tc>
        <w:tc>
          <w:tcPr>
            <w:tcW w:w="1135" w:type="dxa"/>
          </w:tcPr>
          <w:p w:rsidR="00792288" w:rsidRPr="00792288" w:rsidRDefault="00792288" w:rsidP="00792288">
            <w:pPr>
              <w:jc w:val="both"/>
              <w:rPr>
                <w:rFonts w:ascii="Times New Roman" w:eastAsia="Calibri" w:hAnsi="Times New Roman" w:cs="Times New Roman"/>
                <w:sz w:val="20"/>
                <w:szCs w:val="20"/>
              </w:rPr>
            </w:pPr>
          </w:p>
        </w:tc>
        <w:tc>
          <w:tcPr>
            <w:tcW w:w="851"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штука</w:t>
            </w:r>
          </w:p>
        </w:tc>
        <w:tc>
          <w:tcPr>
            <w:tcW w:w="566" w:type="dxa"/>
          </w:tcPr>
          <w:p w:rsidR="00792288" w:rsidRPr="00792288" w:rsidRDefault="00792288" w:rsidP="00792288">
            <w:pPr>
              <w:jc w:val="both"/>
              <w:rPr>
                <w:rFonts w:ascii="Times New Roman" w:eastAsia="Calibri" w:hAnsi="Times New Roman" w:cs="Times New Roman"/>
                <w:sz w:val="20"/>
                <w:szCs w:val="20"/>
              </w:rPr>
            </w:pPr>
            <w:r w:rsidRPr="00792288">
              <w:rPr>
                <w:rFonts w:ascii="Times New Roman" w:eastAsia="Calibri" w:hAnsi="Times New Roman" w:cs="Times New Roman"/>
                <w:sz w:val="20"/>
                <w:szCs w:val="20"/>
              </w:rPr>
              <w:t>1</w:t>
            </w:r>
          </w:p>
        </w:tc>
        <w:tc>
          <w:tcPr>
            <w:tcW w:w="851" w:type="dxa"/>
          </w:tcPr>
          <w:p w:rsidR="00792288" w:rsidRPr="00792288" w:rsidRDefault="00792288" w:rsidP="00792288">
            <w:pPr>
              <w:jc w:val="both"/>
              <w:rPr>
                <w:rFonts w:ascii="Times New Roman" w:eastAsia="Calibri" w:hAnsi="Times New Roman" w:cs="Times New Roman"/>
                <w:sz w:val="20"/>
                <w:szCs w:val="20"/>
              </w:rPr>
            </w:pPr>
          </w:p>
        </w:tc>
        <w:tc>
          <w:tcPr>
            <w:tcW w:w="992" w:type="dxa"/>
          </w:tcPr>
          <w:p w:rsidR="00792288" w:rsidRPr="00792288" w:rsidRDefault="00792288" w:rsidP="00792288">
            <w:pPr>
              <w:jc w:val="both"/>
              <w:rPr>
                <w:rFonts w:ascii="Times New Roman" w:eastAsia="Calibri" w:hAnsi="Times New Roman" w:cs="Times New Roman"/>
                <w:sz w:val="20"/>
                <w:szCs w:val="20"/>
              </w:rPr>
            </w:pPr>
          </w:p>
        </w:tc>
      </w:tr>
    </w:tbl>
    <w:p w:rsidR="009F650C" w:rsidRDefault="009F650C" w:rsidP="0052077E">
      <w:pPr>
        <w:rPr>
          <w:rFonts w:ascii="Times New Roman" w:hAnsi="Times New Roman" w:cs="Times New Roman"/>
          <w:sz w:val="20"/>
          <w:szCs w:val="20"/>
        </w:rPr>
      </w:pPr>
    </w:p>
    <w:p w:rsidR="00792288" w:rsidRDefault="00792288" w:rsidP="0052077E">
      <w:pPr>
        <w:rPr>
          <w:rFonts w:ascii="Times New Roman" w:hAnsi="Times New Roman" w:cs="Times New Roman"/>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792288" w:rsidRPr="0052077E" w:rsidTr="0050562A">
        <w:trPr>
          <w:trHeight w:val="1417"/>
        </w:trPr>
        <w:tc>
          <w:tcPr>
            <w:tcW w:w="2571"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792288" w:rsidRPr="0052077E" w:rsidRDefault="00792288" w:rsidP="0052077E">
      <w:pPr>
        <w:rPr>
          <w:rFonts w:ascii="Times New Roman" w:hAnsi="Times New Roman" w:cs="Times New Roman"/>
          <w:sz w:val="20"/>
          <w:szCs w:val="20"/>
        </w:rPr>
      </w:pPr>
    </w:p>
    <w:sectPr w:rsidR="00792288"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39" w:rsidRDefault="00116639" w:rsidP="00143A9F">
      <w:pPr>
        <w:spacing w:after="0" w:line="240" w:lineRule="auto"/>
      </w:pPr>
      <w:r>
        <w:separator/>
      </w:r>
    </w:p>
  </w:endnote>
  <w:endnote w:type="continuationSeparator" w:id="0">
    <w:p w:rsidR="00116639" w:rsidRDefault="00116639"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39" w:rsidRDefault="00116639" w:rsidP="00143A9F">
      <w:pPr>
        <w:spacing w:after="0" w:line="240" w:lineRule="auto"/>
      </w:pPr>
      <w:r>
        <w:separator/>
      </w:r>
    </w:p>
  </w:footnote>
  <w:footnote w:type="continuationSeparator" w:id="0">
    <w:p w:rsidR="00116639" w:rsidRDefault="00116639"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217AA"/>
    <w:rsid w:val="00026EA0"/>
    <w:rsid w:val="00027D73"/>
    <w:rsid w:val="00030EF0"/>
    <w:rsid w:val="00036AB7"/>
    <w:rsid w:val="00041ADD"/>
    <w:rsid w:val="00042EA4"/>
    <w:rsid w:val="00043195"/>
    <w:rsid w:val="000462E8"/>
    <w:rsid w:val="000533E0"/>
    <w:rsid w:val="000650BF"/>
    <w:rsid w:val="00066DAA"/>
    <w:rsid w:val="000710C6"/>
    <w:rsid w:val="00071293"/>
    <w:rsid w:val="00077277"/>
    <w:rsid w:val="00080FDE"/>
    <w:rsid w:val="000819A4"/>
    <w:rsid w:val="000902C7"/>
    <w:rsid w:val="000A0B2C"/>
    <w:rsid w:val="000B2732"/>
    <w:rsid w:val="000B2A57"/>
    <w:rsid w:val="000C29C1"/>
    <w:rsid w:val="000C3E54"/>
    <w:rsid w:val="000C7565"/>
    <w:rsid w:val="000E5563"/>
    <w:rsid w:val="000F1E28"/>
    <w:rsid w:val="000F214D"/>
    <w:rsid w:val="000F4857"/>
    <w:rsid w:val="00102FE7"/>
    <w:rsid w:val="00116639"/>
    <w:rsid w:val="00116910"/>
    <w:rsid w:val="001210E7"/>
    <w:rsid w:val="001220D8"/>
    <w:rsid w:val="00127EB3"/>
    <w:rsid w:val="00132D58"/>
    <w:rsid w:val="001348D1"/>
    <w:rsid w:val="00137E95"/>
    <w:rsid w:val="001404AA"/>
    <w:rsid w:val="00143A9F"/>
    <w:rsid w:val="001504C3"/>
    <w:rsid w:val="0015676B"/>
    <w:rsid w:val="00156FD2"/>
    <w:rsid w:val="00166A33"/>
    <w:rsid w:val="0018596D"/>
    <w:rsid w:val="001917AE"/>
    <w:rsid w:val="00193DEE"/>
    <w:rsid w:val="00197C4D"/>
    <w:rsid w:val="001A5E3F"/>
    <w:rsid w:val="001A63FE"/>
    <w:rsid w:val="001B06F1"/>
    <w:rsid w:val="001C7BE2"/>
    <w:rsid w:val="001D4153"/>
    <w:rsid w:val="001D623F"/>
    <w:rsid w:val="001D6AEB"/>
    <w:rsid w:val="001E30B2"/>
    <w:rsid w:val="00201E0F"/>
    <w:rsid w:val="00206040"/>
    <w:rsid w:val="00210691"/>
    <w:rsid w:val="00216C15"/>
    <w:rsid w:val="00225F90"/>
    <w:rsid w:val="00227A01"/>
    <w:rsid w:val="0023186D"/>
    <w:rsid w:val="002336DE"/>
    <w:rsid w:val="002436FE"/>
    <w:rsid w:val="0024411D"/>
    <w:rsid w:val="002463A2"/>
    <w:rsid w:val="002545DA"/>
    <w:rsid w:val="0026518A"/>
    <w:rsid w:val="002737ED"/>
    <w:rsid w:val="0027395D"/>
    <w:rsid w:val="002927B5"/>
    <w:rsid w:val="002A71AA"/>
    <w:rsid w:val="002B4D67"/>
    <w:rsid w:val="002C3F37"/>
    <w:rsid w:val="002C5EDA"/>
    <w:rsid w:val="002C7A76"/>
    <w:rsid w:val="002D731A"/>
    <w:rsid w:val="002E1811"/>
    <w:rsid w:val="002E23E7"/>
    <w:rsid w:val="002E42E6"/>
    <w:rsid w:val="002E7CA4"/>
    <w:rsid w:val="003008F0"/>
    <w:rsid w:val="00302223"/>
    <w:rsid w:val="00302FF1"/>
    <w:rsid w:val="00317676"/>
    <w:rsid w:val="00337D8D"/>
    <w:rsid w:val="003463AB"/>
    <w:rsid w:val="0034799A"/>
    <w:rsid w:val="00350272"/>
    <w:rsid w:val="003548BF"/>
    <w:rsid w:val="0035559D"/>
    <w:rsid w:val="00362F68"/>
    <w:rsid w:val="00371CCB"/>
    <w:rsid w:val="003843D6"/>
    <w:rsid w:val="00386657"/>
    <w:rsid w:val="00392ACE"/>
    <w:rsid w:val="003A02E9"/>
    <w:rsid w:val="003A498C"/>
    <w:rsid w:val="003B3B43"/>
    <w:rsid w:val="003B4A94"/>
    <w:rsid w:val="003B52A3"/>
    <w:rsid w:val="003C5F6E"/>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6CBB"/>
    <w:rsid w:val="004371A7"/>
    <w:rsid w:val="004700B4"/>
    <w:rsid w:val="00491B4B"/>
    <w:rsid w:val="00492C15"/>
    <w:rsid w:val="00493412"/>
    <w:rsid w:val="004C2852"/>
    <w:rsid w:val="004C2A29"/>
    <w:rsid w:val="004C5798"/>
    <w:rsid w:val="004F41C5"/>
    <w:rsid w:val="004F6530"/>
    <w:rsid w:val="00500D63"/>
    <w:rsid w:val="005036B6"/>
    <w:rsid w:val="00515AC2"/>
    <w:rsid w:val="00516209"/>
    <w:rsid w:val="00517EE9"/>
    <w:rsid w:val="0052077E"/>
    <w:rsid w:val="00522D1E"/>
    <w:rsid w:val="005257DD"/>
    <w:rsid w:val="00527BE9"/>
    <w:rsid w:val="00534795"/>
    <w:rsid w:val="00542992"/>
    <w:rsid w:val="00543781"/>
    <w:rsid w:val="00556C7A"/>
    <w:rsid w:val="00572C8F"/>
    <w:rsid w:val="005958F0"/>
    <w:rsid w:val="005A7297"/>
    <w:rsid w:val="005B2E63"/>
    <w:rsid w:val="005B323B"/>
    <w:rsid w:val="005B721A"/>
    <w:rsid w:val="005C0DE6"/>
    <w:rsid w:val="005C190A"/>
    <w:rsid w:val="005C6F30"/>
    <w:rsid w:val="005E350E"/>
    <w:rsid w:val="005F1575"/>
    <w:rsid w:val="005F3737"/>
    <w:rsid w:val="005F4DBF"/>
    <w:rsid w:val="0061489B"/>
    <w:rsid w:val="0062295A"/>
    <w:rsid w:val="006508FE"/>
    <w:rsid w:val="00653D6D"/>
    <w:rsid w:val="0066023C"/>
    <w:rsid w:val="00660E64"/>
    <w:rsid w:val="00661A1F"/>
    <w:rsid w:val="0066604C"/>
    <w:rsid w:val="00684192"/>
    <w:rsid w:val="006851EF"/>
    <w:rsid w:val="00693DAB"/>
    <w:rsid w:val="006A36A1"/>
    <w:rsid w:val="006A3EBA"/>
    <w:rsid w:val="006A563C"/>
    <w:rsid w:val="006A70E8"/>
    <w:rsid w:val="006B7B52"/>
    <w:rsid w:val="006C12E1"/>
    <w:rsid w:val="006C2F4E"/>
    <w:rsid w:val="006C3219"/>
    <w:rsid w:val="006C41BB"/>
    <w:rsid w:val="006D3E4E"/>
    <w:rsid w:val="006D548D"/>
    <w:rsid w:val="007026AB"/>
    <w:rsid w:val="00732722"/>
    <w:rsid w:val="007346D9"/>
    <w:rsid w:val="00737735"/>
    <w:rsid w:val="00764B03"/>
    <w:rsid w:val="007712B0"/>
    <w:rsid w:val="00771D19"/>
    <w:rsid w:val="00772078"/>
    <w:rsid w:val="00772C56"/>
    <w:rsid w:val="007768A1"/>
    <w:rsid w:val="00776D78"/>
    <w:rsid w:val="007877B8"/>
    <w:rsid w:val="0078793C"/>
    <w:rsid w:val="00792288"/>
    <w:rsid w:val="007B40DF"/>
    <w:rsid w:val="007C1D25"/>
    <w:rsid w:val="007D2480"/>
    <w:rsid w:val="007D5F7E"/>
    <w:rsid w:val="007E0730"/>
    <w:rsid w:val="007E0D33"/>
    <w:rsid w:val="007E2927"/>
    <w:rsid w:val="007E5E06"/>
    <w:rsid w:val="007E71F0"/>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7626E"/>
    <w:rsid w:val="008775DE"/>
    <w:rsid w:val="00881DCA"/>
    <w:rsid w:val="008833E6"/>
    <w:rsid w:val="00884C24"/>
    <w:rsid w:val="00893275"/>
    <w:rsid w:val="008A2F7B"/>
    <w:rsid w:val="008A3FD2"/>
    <w:rsid w:val="008B04A2"/>
    <w:rsid w:val="008B4AC6"/>
    <w:rsid w:val="008B51AD"/>
    <w:rsid w:val="008C4FEA"/>
    <w:rsid w:val="008E26DB"/>
    <w:rsid w:val="008E54D3"/>
    <w:rsid w:val="008E6449"/>
    <w:rsid w:val="008E68E7"/>
    <w:rsid w:val="008E72DC"/>
    <w:rsid w:val="009014F1"/>
    <w:rsid w:val="009043A2"/>
    <w:rsid w:val="009046F7"/>
    <w:rsid w:val="00916065"/>
    <w:rsid w:val="00931BB9"/>
    <w:rsid w:val="00934DCA"/>
    <w:rsid w:val="00935EC5"/>
    <w:rsid w:val="00937F4F"/>
    <w:rsid w:val="00944136"/>
    <w:rsid w:val="00944ACB"/>
    <w:rsid w:val="009563EB"/>
    <w:rsid w:val="009871BB"/>
    <w:rsid w:val="00987348"/>
    <w:rsid w:val="009901DE"/>
    <w:rsid w:val="00993B39"/>
    <w:rsid w:val="009A60EC"/>
    <w:rsid w:val="009B04DE"/>
    <w:rsid w:val="009C6CC4"/>
    <w:rsid w:val="009C79DF"/>
    <w:rsid w:val="009D1BE6"/>
    <w:rsid w:val="009D30AF"/>
    <w:rsid w:val="009D33E8"/>
    <w:rsid w:val="009E01B9"/>
    <w:rsid w:val="009E4413"/>
    <w:rsid w:val="009F3465"/>
    <w:rsid w:val="009F5501"/>
    <w:rsid w:val="009F650C"/>
    <w:rsid w:val="00A00422"/>
    <w:rsid w:val="00A04291"/>
    <w:rsid w:val="00A05A17"/>
    <w:rsid w:val="00A1400D"/>
    <w:rsid w:val="00A150AE"/>
    <w:rsid w:val="00A2090C"/>
    <w:rsid w:val="00A20EA1"/>
    <w:rsid w:val="00A334B0"/>
    <w:rsid w:val="00A344BC"/>
    <w:rsid w:val="00A44F88"/>
    <w:rsid w:val="00A46127"/>
    <w:rsid w:val="00A477DD"/>
    <w:rsid w:val="00A5216E"/>
    <w:rsid w:val="00A5500F"/>
    <w:rsid w:val="00A55A9E"/>
    <w:rsid w:val="00A65F3C"/>
    <w:rsid w:val="00A752AE"/>
    <w:rsid w:val="00A84A4D"/>
    <w:rsid w:val="00A8733F"/>
    <w:rsid w:val="00AC1DD5"/>
    <w:rsid w:val="00AF2E48"/>
    <w:rsid w:val="00AF3AA4"/>
    <w:rsid w:val="00AF4BC5"/>
    <w:rsid w:val="00AF7AE9"/>
    <w:rsid w:val="00B06EB5"/>
    <w:rsid w:val="00B1406B"/>
    <w:rsid w:val="00B208AA"/>
    <w:rsid w:val="00B2210B"/>
    <w:rsid w:val="00B2305E"/>
    <w:rsid w:val="00B3073A"/>
    <w:rsid w:val="00B33701"/>
    <w:rsid w:val="00B36A24"/>
    <w:rsid w:val="00B4097F"/>
    <w:rsid w:val="00B44259"/>
    <w:rsid w:val="00B50210"/>
    <w:rsid w:val="00B56093"/>
    <w:rsid w:val="00B631E5"/>
    <w:rsid w:val="00B64408"/>
    <w:rsid w:val="00B73611"/>
    <w:rsid w:val="00B7477C"/>
    <w:rsid w:val="00B7751C"/>
    <w:rsid w:val="00B81D9D"/>
    <w:rsid w:val="00B84E82"/>
    <w:rsid w:val="00B8784B"/>
    <w:rsid w:val="00B91242"/>
    <w:rsid w:val="00BA00EE"/>
    <w:rsid w:val="00BA1496"/>
    <w:rsid w:val="00BB085A"/>
    <w:rsid w:val="00BB1844"/>
    <w:rsid w:val="00BB537D"/>
    <w:rsid w:val="00BB559B"/>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34915"/>
    <w:rsid w:val="00C349EB"/>
    <w:rsid w:val="00C35760"/>
    <w:rsid w:val="00C42A93"/>
    <w:rsid w:val="00C5368A"/>
    <w:rsid w:val="00C61E58"/>
    <w:rsid w:val="00C65464"/>
    <w:rsid w:val="00C71227"/>
    <w:rsid w:val="00C74480"/>
    <w:rsid w:val="00C86737"/>
    <w:rsid w:val="00C9173C"/>
    <w:rsid w:val="00CA1B45"/>
    <w:rsid w:val="00CA411F"/>
    <w:rsid w:val="00CA5144"/>
    <w:rsid w:val="00CC3C93"/>
    <w:rsid w:val="00CD1EA2"/>
    <w:rsid w:val="00CD5B4B"/>
    <w:rsid w:val="00CD7D49"/>
    <w:rsid w:val="00CE6491"/>
    <w:rsid w:val="00D04BEC"/>
    <w:rsid w:val="00D0659F"/>
    <w:rsid w:val="00D11A1D"/>
    <w:rsid w:val="00D12BBE"/>
    <w:rsid w:val="00D13BDC"/>
    <w:rsid w:val="00D17E60"/>
    <w:rsid w:val="00D248D8"/>
    <w:rsid w:val="00D3534A"/>
    <w:rsid w:val="00D361B5"/>
    <w:rsid w:val="00D42085"/>
    <w:rsid w:val="00D46D93"/>
    <w:rsid w:val="00D47018"/>
    <w:rsid w:val="00D51E54"/>
    <w:rsid w:val="00D572A7"/>
    <w:rsid w:val="00D60C58"/>
    <w:rsid w:val="00D91286"/>
    <w:rsid w:val="00D92879"/>
    <w:rsid w:val="00D942A9"/>
    <w:rsid w:val="00D950FB"/>
    <w:rsid w:val="00DA2F3A"/>
    <w:rsid w:val="00DA50B7"/>
    <w:rsid w:val="00DA6FBB"/>
    <w:rsid w:val="00DA7F52"/>
    <w:rsid w:val="00DB5795"/>
    <w:rsid w:val="00DB70E2"/>
    <w:rsid w:val="00DC12DC"/>
    <w:rsid w:val="00DC2195"/>
    <w:rsid w:val="00DC23CE"/>
    <w:rsid w:val="00DC3E13"/>
    <w:rsid w:val="00DC4CB6"/>
    <w:rsid w:val="00DE2092"/>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6373"/>
    <w:rsid w:val="00EB04FA"/>
    <w:rsid w:val="00EB4371"/>
    <w:rsid w:val="00EB6FB3"/>
    <w:rsid w:val="00EC1396"/>
    <w:rsid w:val="00ED420E"/>
    <w:rsid w:val="00EF65B2"/>
    <w:rsid w:val="00F12AA1"/>
    <w:rsid w:val="00F21E35"/>
    <w:rsid w:val="00F25A53"/>
    <w:rsid w:val="00F26C0C"/>
    <w:rsid w:val="00F43F00"/>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C4D6"/>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 w:type="table" w:customStyle="1" w:styleId="2">
    <w:name w:val="Сетка таблицы2"/>
    <w:basedOn w:val="a1"/>
    <w:next w:val="af4"/>
    <w:uiPriority w:val="39"/>
    <w:rsid w:val="0079228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31AF4F6BEEC523134E8B2403A8A7F7044C669A4160BC40B0A4E4611008512EADDAE9A5642C7EA54B2E087875FD0D92B33DBF2D1B02241DAUDi5K" TargetMode="External"/><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1A65C-4337-4FE5-B2F6-52D8796C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8</Pages>
  <Words>4019</Words>
  <Characters>22911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Джиналиева Юлия Николаевна</cp:lastModifiedBy>
  <cp:revision>175</cp:revision>
  <cp:lastPrinted>2026-03-23T11:35:00Z</cp:lastPrinted>
  <dcterms:created xsi:type="dcterms:W3CDTF">2022-10-12T12:38:00Z</dcterms:created>
  <dcterms:modified xsi:type="dcterms:W3CDTF">2026-06-04T15:47:00Z</dcterms:modified>
</cp:coreProperties>
</file>