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25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г</w:t>
      </w:r>
      <w:r>
        <w:rPr>
          <w:rFonts w:ascii="Times New Roman" w:hAnsi="Times New Roman" w:cs="Times New Roman"/>
          <w:b/>
          <w:sz w:val="24"/>
          <w:szCs w:val="24"/>
        </w:rPr>
        <w:t xml:space="preserve">осударственн</w:t>
      </w:r>
      <w:r>
        <w:rPr>
          <w:rFonts w:ascii="Times New Roman" w:hAnsi="Times New Roman" w:cs="Times New Roman"/>
          <w:b/>
          <w:sz w:val="24"/>
          <w:szCs w:val="24"/>
        </w:rPr>
        <w:t xml:space="preserve"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контракт</w:t>
      </w:r>
      <w:r>
        <w:rPr>
          <w:rFonts w:ascii="Times New Roman" w:hAnsi="Times New Roman" w:cs="Times New Roman"/>
          <w:b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</w:rPr>
        <w:t xml:space="preserve"> №_________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услуги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сбору и </w:t>
      </w:r>
      <w:r>
        <w:rPr>
          <w:rFonts w:ascii="Times New Roman" w:hAnsi="Times New Roman" w:cs="Times New Roman"/>
          <w:sz w:val="24"/>
          <w:szCs w:val="24"/>
        </w:rPr>
        <w:t xml:space="preserve">вывозу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/>
        <w:jc w:val="left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ИКЗ: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261165302131116570100100270000000244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</w:p>
    <w:p>
      <w:pPr>
        <w:ind w:right="255"/>
        <w:jc w:val="left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  <w:lang w:val="ru-RU"/>
        </w:rPr>
        <w:t xml:space="preserve">КБК: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  <w:lang w:val="ru-RU"/>
        </w:rPr>
        <w:t xml:space="preserve">15301063941590071244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ind w:right="-1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Казань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_» _______20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Татарстанская таможня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имени Российской Федерации в целях обеспечения государственных нужд,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лице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доверенности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Общего положения о таможне, утвержденного приказом ФТС России от 20 сентября 2021 г. № 798,</w:t>
      </w:r>
      <w:r>
        <w:rPr>
          <w:rFonts w:ascii="Times New Roman" w:hAnsi="Times New Roman" w:cs="Times New Roman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sz w:val="24"/>
          <w:szCs w:val="24"/>
        </w:rPr>
        <w:t xml:space="preserve">ая</w:t>
      </w:r>
      <w:r>
        <w:rPr>
          <w:rFonts w:ascii="Times New Roman" w:hAnsi="Times New Roman" w:cs="Times New Roman"/>
          <w:sz w:val="24"/>
          <w:szCs w:val="24"/>
        </w:rPr>
        <w:t xml:space="preserve"> в дальнейшем Заказчик, с одной </w:t>
      </w:r>
      <w:r>
        <w:rPr>
          <w:rFonts w:ascii="Times New Roman" w:hAnsi="Times New Roman" w:cs="Times New Roman"/>
          <w:sz w:val="24"/>
          <w:szCs w:val="24"/>
        </w:rPr>
        <w:t xml:space="preserve">стороны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______________________, именуемое в дальнейшем Исполнитель в лице ____________________________, действующего на основании _____________, с другой стороны, </w:t>
      </w:r>
      <w:r>
        <w:rPr>
          <w:rFonts w:ascii="Times New Roman" w:hAnsi="Times New Roman" w:cs="Times New Roman"/>
          <w:sz w:val="24"/>
          <w:szCs w:val="24"/>
        </w:rPr>
        <w:t xml:space="preserve">совместно</w:t>
      </w:r>
      <w:r>
        <w:rPr>
          <w:rFonts w:ascii="Times New Roman" w:hAnsi="Times New Roman" w:cs="Times New Roman"/>
          <w:sz w:val="24"/>
          <w:szCs w:val="24"/>
        </w:rPr>
        <w:t xml:space="preserve"> именуемы</w:t>
      </w:r>
      <w:r>
        <w:rPr>
          <w:rFonts w:ascii="Times New Roman" w:hAnsi="Times New Roman" w:cs="Times New Roman"/>
          <w:sz w:val="24"/>
          <w:szCs w:val="24"/>
        </w:rPr>
        <w:t xml:space="preserve">е Стороны, на основании пункта 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 части 1  статьи 93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5 апреля </w:t>
      </w:r>
      <w:r>
        <w:rPr>
          <w:rFonts w:ascii="Times New Roman" w:hAnsi="Times New Roman" w:cs="Times New Roman"/>
          <w:sz w:val="24"/>
          <w:szCs w:val="24"/>
        </w:rPr>
        <w:t xml:space="preserve">2013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 xml:space="preserve"> (далее – Федеральный закон)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заключили  настоящий Контракт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услуги по сбору и вывозу отходов </w:t>
      </w:r>
      <w:r>
        <w:rPr>
          <w:rFonts w:ascii="Times New Roman" w:hAnsi="Times New Roman" w:cs="Times New Roman"/>
          <w:sz w:val="24"/>
          <w:szCs w:val="24"/>
        </w:rPr>
        <w:t xml:space="preserve">(далее Контракт)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КОНТРАКТА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Заказчик поручает, а Исполнитель принимает на себя обязательство осуществлять за счет Заказчика услуги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сбору и </w:t>
      </w:r>
      <w:r>
        <w:rPr>
          <w:rFonts w:ascii="Times New Roman" w:hAnsi="Times New Roman" w:cs="Times New Roman"/>
          <w:sz w:val="24"/>
          <w:szCs w:val="24"/>
        </w:rPr>
        <w:t xml:space="preserve">вывозу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отход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 мебели деревянной офисной (содержание недревесных материалов не более 10%) (код ФККО 4 92 111 21 72 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объектов Заказчика и последующей передаче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утилизацию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размещение на Полигоны.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Заказчик обязуется </w:t>
      </w:r>
      <w:r>
        <w:rPr>
          <w:rFonts w:ascii="Times New Roman" w:hAnsi="Times New Roman" w:cs="Times New Roman"/>
          <w:sz w:val="24"/>
          <w:szCs w:val="24"/>
        </w:rPr>
        <w:t xml:space="preserve">вышеуказанные</w:t>
      </w:r>
      <w:r>
        <w:rPr>
          <w:rFonts w:ascii="Times New Roman" w:hAnsi="Times New Roman" w:cs="Times New Roman"/>
          <w:sz w:val="24"/>
          <w:szCs w:val="24"/>
        </w:rPr>
        <w:t xml:space="preserve"> услуги оплатить в порядке, установленном Контрактом.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осуществляет деятельность по транспортированию отходов  на основании лицензии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выданной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Срок оказания услуг: с 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омента подписания Контракта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Место оказания услуг: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г.Казань, ул.Короленко, д.56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г. Казань, ул. Оренбургский тракт, 144.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44"/>
        <w:ind w:left="1429" w:right="255"/>
        <w:jc w:val="center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ОКАЗАНИЯ УСЛУГ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Отходы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предъя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вляемый к вывозу Заказчиком должен быть сухим, не горящим или тлеющим, пригодным к перевозке, не содержать опасные, радиоактивные отходы, токсичные, горючие, взрывоопасные, легковоспламеняющиеся вещества, тяжелые металлы, трупы павших животных, жидкости. 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Срок, последовательность, порядок выполнения заявок Заказчик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определяется самостоятельно Исполнителем в зависимости от местонахождения объектов, наличия машин, иных условий, однако срок выполнения заявки не должен превышать сроки, установленные санитарными и гигиеническими требованиями. Заявки подаются Заказчиком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мере необходимости до 15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 минут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рабочего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дня, предшествующего дню вывоза посредством телефонной связи. Телефон диспетчерской службы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Транспортировка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осущест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вляется контейнер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объемом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3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20м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которые предоставляются Заказчику во временное пользование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кту приема-передачи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контейнера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согласно Приложени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Контракту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Срок безвозмездного пользования контейнером для Заказчика составляет 5 (пять) календарных дней с момента его установки. Переданный в пользование контейнер не может быть Заказчиком использован в иных целях, а также сдан в з</w:t>
      </w:r>
      <w:r>
        <w:rPr>
          <w:rFonts w:ascii="Times New Roman" w:hAnsi="Times New Roman" w:cs="Times New Roman"/>
          <w:sz w:val="24"/>
          <w:szCs w:val="24"/>
        </w:rPr>
        <w:t xml:space="preserve">алог или обременён иным образом</w:t>
      </w:r>
      <w:r>
        <w:rPr>
          <w:rFonts w:ascii="Times New Roman" w:hAnsi="Times New Roman" w:cs="Times New Roman"/>
          <w:sz w:val="24"/>
          <w:szCs w:val="24"/>
        </w:rPr>
        <w:t xml:space="preserve">. С 6 (шестого) дня пользования контейнером, дополнительно устанавливается арендная плата в размере 250 (двухсот пятидесяти) рублей в сутки за пользование одним контейнером объемом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м³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или 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Отходы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предоставляемый для 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еменного накопления и дальнейшего вывоза и размещения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контейнерах, переданных Исполнителем по акту приема-передачи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контейнера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собственностью Заказчика.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Факт выполнения Исполнителем заявки на вывоз подтверждается подписью уполномоченного представителя Заказчик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в  документах Исполнителя на вывоз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талон по форме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риложении №2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Контракту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720" w:right="255" w:firstLine="709"/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ЦЕНА КОНТРАКТА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ПОРЯДОК РАСЧЕТОВ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right="25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Стоимость вывоза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контейнера: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объемом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м³ устанавливается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цене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копеек,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НДС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% , если Исполнитель является плательщиком НДС (или указывается основание освобождения Исполнителя от уплаты НДС)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объемом 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м³ устанавливается по цене ________(______________) рублей _____ копеек, в том числе, НДС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% если Исполнитель является плательщиком НДС (или указывается основание освобождения Исполнителя от уплаты НДС).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 расчеты производятся в рублях Российской Федерации.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 xml:space="preserve">Объем </w:t>
      </w:r>
      <w:r>
        <w:rPr>
          <w:rFonts w:ascii="Times New Roman" w:hAnsi="Times New Roman" w:cs="Times New Roman"/>
          <w:sz w:val="24"/>
          <w:szCs w:val="24"/>
        </w:rPr>
        <w:t xml:space="preserve">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на основании талонов (Приложение №2</w:t>
      </w:r>
      <w:r>
        <w:rPr>
          <w:rFonts w:ascii="Times New Roman" w:hAnsi="Times New Roman" w:cs="Times New Roman"/>
          <w:sz w:val="24"/>
          <w:szCs w:val="24"/>
        </w:rPr>
        <w:t xml:space="preserve"> к Контракту</w:t>
      </w:r>
      <w:r>
        <w:rPr>
          <w:rFonts w:ascii="Times New Roman" w:hAnsi="Times New Roman" w:cs="Times New Roman"/>
          <w:sz w:val="24"/>
          <w:szCs w:val="24"/>
        </w:rPr>
        <w:t xml:space="preserve">),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подписываемых представителями Сторон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за каждый вывезенный с объекта контейнер.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Оплата осуществляется после оказания услуг, на основании счёта-фактуры и акта об оказании услуг, подписанного Сторонами. Перечисление денежных средств осуществляется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не позднее 7 (семи)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рабочих дней со дня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подписания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указанных документов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.4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 Расчёт за оказываемую услугу производится путём перечисления денежных средств на расчётный счёт Исполнителя.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3.5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 Оплата услуг осуществляется в пределах лимитов бюджетных обя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зательств за счет средств Федерального бюджета.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цену услуг включены все затраты связанные с исполнением Контракта, налоги и сборы, другие обязательные платежи предусмотренные законодательством Российской Федераци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255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           3.6.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Цена Контракта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составляет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копеек,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том числе НДС 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% , если Исполнитель является плательщиком НДС (или указывается основание освобождения Исполнителя от уплаты НДС)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один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контейнер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объемом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,00 м³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один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контейнер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объемом 20,00 м³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Приложением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Контракту)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844"/>
        <w:ind w:left="0" w:firstLine="708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3.7.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Цена Контракта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является твердой и определяется на весь срок исполнения Контракта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pStyle w:val="844"/>
        <w:ind w:left="0" w:firstLine="708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3.8. Расчеты по Контракту осуществляются в безналичной форме.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pStyle w:val="844"/>
        <w:ind w:left="0"/>
        <w:jc w:val="both"/>
        <w:spacing w:line="254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           3.9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Сумма Контр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акта, подлежащая уплате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 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44"/>
        <w:ind w:left="0"/>
        <w:jc w:val="both"/>
        <w:spacing w:line="254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44"/>
        <w:ind w:left="0"/>
        <w:jc w:val="center"/>
        <w:spacing w:line="254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ОБЯЗАННОСТИ СТОРОН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pStyle w:val="844"/>
        <w:ind w:left="0"/>
        <w:jc w:val="center"/>
        <w:spacing w:line="254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беспечить своевременное выполнение заявок Заказчика, в зависимости от огово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ренных Сторонами условий вывоза.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Своими силами и средствами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оказать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предусмотренные пунктами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Контракта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предоставить акт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оказан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сдать раб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оты Заказчику.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оставить на объект необходимые механизмы, которые обеспечивают производство соответствующего вида работ. Исполнитель гарантирует надлежащее качество работ в той степени, которой позволяют их осуществить технические возможн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ости механизмов, их назначение.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беспечить выполнение необходимых мероприятий по технике безопасности, пожарной безопасности.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4.1.5. Безвозмездно исправить по требованию Заказчика в течение 10 (десяти) рабочих дней все выявленные недостатки, если в процессе оказания услуг допущены отступления от условий Контракта, ухудшившие качество услуг и возникшие по вине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Заказчик обязан: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азначить лицо, контролирующее работу машин Исполнителя и ответственное за выполнение условий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Контракта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ведомлять о смене указанных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лиц.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воевременно подтверждать объем вывозим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отходов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подписывать оформленные талоны на вывоз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беспечить незамедлительное начало погрузки контейнера с момента прибытия машины Исполнителя и ее выезд по окончании погрузки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воевременно оплачивать работу Исполнителя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Контракту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воими сил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ами загружать контейнеры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отходами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редоставить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исполнителю заверенные копии Паспортов опасных отходов на вывозимые отходы (В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риказ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Минприроды России от 8 декабря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1026 "Об утверждении порядка паспортизации и типовых форм паспортов отходов I - IV классов опасности"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роизводить подготовку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погрузке, не допускать возгорание, тление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наличие предметов, не относящихся 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отходам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превышать вес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загружаем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контейнер,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максимальная грузоподъемность автотранспорта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контейнера составляет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ы,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20м3 контейнера составляет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,0 тонн.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 Стороны обязуются сверять объем вывезенн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отходов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обязательным составлением и подписанием акта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 оказании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Акт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 оказании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подписывается уполномоченным представителями Сторон, скрепляется печатями.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Для проверки предоставленных Исполнителем результатов, предусмотренных Контрактом, в части их соответствия усло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виям Контракта Заказчик обязан провести экспертизу. Экспертиза результатов оказания услуг, предусмотренных Контрактом, может проводиться Заказчиком своими силами, или к ее проведению по решению Заказчика могут привлекаться эксперты, экспертные организации.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255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255" w:firstLine="709"/>
        <w:jc w:val="center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ОТВЕТСТВЕННОСТЬ СТОРОН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right="255"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55"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За неисполнение или ненадлежащее исполнение своих обязательств, установленных Контрактом, Заказчик и Исполнитель несут ответственность в соответствии с действующим законодательством Российской Федерации.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5.</w:t>
      </w:r>
      <w:r>
        <w:rPr>
          <w:rFonts w:ascii="Times New Roman" w:hAnsi="Times New Roman" w:eastAsia="Calibri" w:cs="Times New Roman"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случае просрочки исполнения Заказчиком обязательств, предусмотренных Контрактом, а также в иных случаях неисполнени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 или ненадлежащего исполнения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Заказчиком обязательств, предусмотренных Контрактом,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вправе потребовать уплаты неустоек (штрафов, пеней).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Пеня начисляется за каждый день просрочки исполнения Заказчиком обязательства, предусмотренного Контрактом, начиная со дня, следующего после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дня истечения установленного 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5.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 В случае ненадлежащего исполнения Заказчиком обязательств, предусмотренных Контрактом, за исключением просрочки исполнения обязательств 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Исполнитель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 вправе взыскать с Заказчика штраф в размере 1000 рублей.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5.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 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5.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  В случае просрочки исполнения Исполнителем обязательств (в том числе гарантийных обязательств), предусмотренных Контрактом, а также в иных случаях неисполнения или ненадлежащего 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Пеня начисляется за каждый день просрочки исполнения Исполнителем обязательств, предусмотренного Контрактом, начиная со дня, следующего после дня истечения установленного Контрактом,  срока исполнения обязательств, и устанавливается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обязательств, предусмотренных государственным контрактом, за исключением просрочки исполнения обязательств, предусмот</w:t>
      </w:r>
      <w:r>
        <w:rPr>
          <w:rFonts w:ascii="Times New Roman" w:hAnsi="Times New Roman"/>
          <w:sz w:val="24"/>
          <w:szCs w:val="24"/>
        </w:rPr>
        <w:t xml:space="preserve">ренных государственным контрактом, штраф устанавливается в соответствии с Правилами определения размера штрафа, начисляемого в случае ненадлежащего исполнения Заказчиком неисполнения или ненадлежащего исполнения Исполнителем обязательств, предусмотренных г</w:t>
      </w:r>
      <w:r>
        <w:rPr>
          <w:rFonts w:ascii="Times New Roman" w:hAnsi="Times New Roman"/>
          <w:sz w:val="24"/>
          <w:szCs w:val="24"/>
        </w:rPr>
        <w:t xml:space="preserve">осударственным контрактом (за исключением просрочки исполнения обязательств Заказчиком), и размер пени, начисляемой за каждый день просрочки исполнения Исполнителем обязательства, предусмотренного контрактом, утвержденными постановлением Правительства Росс</w:t>
      </w:r>
      <w:r>
        <w:rPr>
          <w:rFonts w:ascii="Times New Roman" w:hAnsi="Times New Roman"/>
          <w:sz w:val="24"/>
          <w:szCs w:val="24"/>
        </w:rPr>
        <w:t xml:space="preserve">ийской Федерации от 30 августа </w:t>
      </w:r>
      <w:r>
        <w:rPr>
          <w:rFonts w:ascii="Times New Roman" w:hAnsi="Times New Roman"/>
          <w:sz w:val="24"/>
          <w:szCs w:val="24"/>
        </w:rPr>
        <w:t xml:space="preserve">2017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№ 1042</w:t>
      </w:r>
      <w:r>
        <w:rPr>
          <w:rFonts w:ascii="Times New Roman" w:hAnsi="Times New Roman"/>
          <w:sz w:val="24"/>
          <w:szCs w:val="24"/>
        </w:rPr>
        <w:t xml:space="preserve"> «Об утверждении правил о</w:t>
      </w:r>
      <w:r>
        <w:rPr>
          <w:rFonts w:ascii="Times New Roman" w:hAnsi="Times New Roman"/>
          <w:sz w:val="24"/>
          <w:szCs w:val="24"/>
        </w:rPr>
        <w:t xml:space="preserve">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</w:t>
      </w:r>
      <w:r>
        <w:rPr>
          <w:rFonts w:ascii="Times New Roman" w:hAnsi="Times New Roman"/>
          <w:sz w:val="24"/>
          <w:szCs w:val="24"/>
        </w:rPr>
        <w:t xml:space="preserve">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№1063»</w:t>
      </w:r>
      <w:r>
        <w:rPr>
          <w:rFonts w:ascii="Times New Roman" w:hAnsi="Times New Roman"/>
          <w:sz w:val="24"/>
          <w:szCs w:val="24"/>
        </w:rPr>
        <w:t xml:space="preserve"> (далее </w:t>
      </w:r>
      <w:r>
        <w:rPr>
          <w:rFonts w:ascii="Times New Roman" w:hAnsi="Times New Roman"/>
          <w:sz w:val="24"/>
          <w:szCs w:val="24"/>
        </w:rPr>
        <w:t xml:space="preserve">–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постановлением Правительств</w:t>
      </w:r>
      <w:r>
        <w:rPr>
          <w:rFonts w:ascii="Times New Roman" w:hAnsi="Times New Roman"/>
          <w:sz w:val="24"/>
          <w:szCs w:val="24"/>
        </w:rPr>
        <w:t xml:space="preserve">а Российской Федерации от 30 августа </w:t>
      </w:r>
      <w:r>
        <w:rPr>
          <w:rFonts w:ascii="Times New Roman" w:hAnsi="Times New Roman"/>
          <w:sz w:val="24"/>
          <w:szCs w:val="24"/>
        </w:rPr>
        <w:t xml:space="preserve">2017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№ 1042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, в размере 10 % цены ко</w:t>
      </w:r>
      <w:r>
        <w:rPr>
          <w:rFonts w:ascii="Times New Roman" w:hAnsi="Times New Roman"/>
          <w:sz w:val="24"/>
          <w:szCs w:val="24"/>
        </w:rPr>
        <w:t xml:space="preserve">нтракта (этапа), что составляет </w:t>
      </w:r>
      <w:r>
        <w:rPr>
          <w:rFonts w:ascii="Times New Roman" w:hAnsi="Times New Roman"/>
          <w:sz w:val="24"/>
          <w:szCs w:val="24"/>
        </w:rPr>
        <w:t xml:space="preserve">________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________________</w:t>
      </w:r>
      <w:r>
        <w:rPr>
          <w:rFonts w:ascii="Times New Roman" w:hAnsi="Times New Roman"/>
          <w:sz w:val="24"/>
          <w:szCs w:val="24"/>
        </w:rPr>
        <w:t xml:space="preserve">) рублей </w:t>
      </w:r>
      <w:r>
        <w:rPr>
          <w:rFonts w:ascii="Times New Roman" w:hAnsi="Times New Roman"/>
          <w:sz w:val="24"/>
          <w:szCs w:val="24"/>
        </w:rPr>
        <w:t xml:space="preserve">________</w:t>
      </w:r>
      <w:r>
        <w:rPr>
          <w:rFonts w:ascii="Times New Roman" w:hAnsi="Times New Roman"/>
          <w:sz w:val="24"/>
          <w:szCs w:val="24"/>
        </w:rPr>
        <w:t xml:space="preserve"> копе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 каждый факт неисполнения или ненадлежащего исполнения «Исполнителем» обязательства, предусмотренного настоящим Контрактом, которое не имеет стоимостного выражения, размер штрафа устанавливается в размере 1000 рублей.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Общая сумма начисленных штрафов за ненадлежащее исполнение «Исполнителем» обязательств, предусмотренных настоящим Контрактом, не может превышать цену настоящего Контракта.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93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Уплата штрафов не освобождает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от исполнения обязательств по настоящему Контракту.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93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5.1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В случае если законодательством Российской Федерации установлен иной порядок начисления штрафа, чем порядок, предусмотренный постановлением Правительства Российской Федерации от 30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августа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2017 № 1042, размер такого штрафа и порядок его начисления устанавливается Контрактом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930" w:leader="none"/>
        </w:tabs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        5.1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3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. 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930" w:leader="none"/>
        </w:tabs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930" w:leader="none"/>
        </w:tabs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6. ПОРЯДОК СДАЧИ И ПРИЕМКИ ОКАЗАННЫХ УСЛУГ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письменной форме извещает Заказчика о завершении оказания услуг путем направления подписанного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акта об оказании услуг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течение 5 (пяти) рабочих дней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Сдача результатов услуг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их приемка Заказчиком производится в соответствии с гражданским законодательством и оформляется актом об оказании услуг, подписываемым Заказчиком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Заказчик, в течение 5 (пяти) рабочих дней со дня получения акта об оказании услуг, осуществляет приемку оказанных услуг путем сопоставления оказанных услуг в части соответствия их количества и иным требованиям установленным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Контрактом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по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дписывает акт об оказании услуг, акт приемки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(в случае согласия).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рамках приемки оказанных услуг оформляется также акт приемки товаров, работ, услуг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(ф. 0510452) в порядке и случаях, установленных Приказом Министерства финансов Российской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Федерации от 15 апреля 2021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.3. В случае несогласия с представленным актом Заказчик возвращает акт об оказании услуг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течение 5 (пяти) рабочих дней, с указанием причин возврата.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.4.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после исправления недостатков, послуживших основанием для возврата акта об оказании услуг, направляет подписанный акт в течение 3 (трех) рабочих дней.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.5. Датой оказания услуг считается дата подписания Заказчиком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акта об оказании услуг.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.6.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проверки предоставленных Исполнителем результатов, предусмотренных Контрактом, в части их соответствия усло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виям Контракта Заказчик обязан провести экспертизу. Экспертиза результатов оказания услуг, предусмотренных Контрактом, может проводиться Заказчиком своими силами, или к ее проведению по решению Заказчика могут привлекаться эксперты, экспертные организации.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7.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ПОРЯДОК РАЗРЕШЕНИЯ СПОРОВ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</w:p>
    <w:p>
      <w:pPr>
        <w:contextualSpacing/>
        <w:jc w:val="both"/>
        <w:spacing w:after="100" w:afterAutospacing="1" w:line="240" w:lineRule="auto"/>
        <w:widowControl w:val="off"/>
        <w:rPr>
          <w:rFonts w:ascii="Courier New" w:hAnsi="Courier New" w:eastAsia="Calibri" w:cs="Courier New"/>
          <w:sz w:val="20"/>
          <w:szCs w:val="20"/>
        </w:rPr>
      </w:pPr>
      <w:r>
        <w:rPr>
          <w:rFonts w:ascii="Courier New" w:hAnsi="Courier New" w:eastAsia="Calibri" w:cs="Courier New"/>
          <w:sz w:val="20"/>
          <w:szCs w:val="20"/>
        </w:rPr>
      </w:r>
      <w:r>
        <w:rPr>
          <w:rFonts w:ascii="Courier New" w:hAnsi="Courier New" w:eastAsia="Calibri" w:cs="Courier New"/>
          <w:sz w:val="20"/>
          <w:szCs w:val="20"/>
        </w:rPr>
      </w:r>
      <w:r>
        <w:rPr>
          <w:rFonts w:ascii="Courier New" w:hAnsi="Courier New" w:eastAsia="Calibri" w:cs="Courier New"/>
          <w:sz w:val="20"/>
          <w:szCs w:val="20"/>
        </w:rPr>
      </w:r>
    </w:p>
    <w:p>
      <w:pPr>
        <w:contextualSpacing/>
        <w:ind w:firstLine="567"/>
        <w:jc w:val="both"/>
        <w:spacing w:after="100" w:afterAutospacing="1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Courier New" w:hAnsi="Courier New" w:eastAsia="Calibri" w:cs="Courier New"/>
          <w:sz w:val="20"/>
          <w:szCs w:val="20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7.1.   Все споры и разногласия, возникающие между Сторонами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исполнении Контракта,  </w:t>
      </w:r>
      <w:r>
        <w:rPr>
          <w:rFonts w:ascii="Times New Roman" w:hAnsi="Times New Roman" w:eastAsia="Calibri" w:cs="Times New Roman"/>
          <w:sz w:val="24"/>
          <w:szCs w:val="24"/>
        </w:rPr>
        <w:t xml:space="preserve">будут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разрешаться путем переговоров, в том числе путем направления претензий.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709"/>
        <w:jc w:val="both"/>
        <w:spacing w:after="100" w:afterAutospacing="1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7.2.  Претензия в письменной </w:t>
      </w:r>
      <w:r>
        <w:rPr>
          <w:rFonts w:ascii="Times New Roman" w:hAnsi="Times New Roman" w:eastAsia="Calibri" w:cs="Times New Roman"/>
          <w:sz w:val="24"/>
          <w:szCs w:val="24"/>
        </w:rPr>
        <w:t xml:space="preserve">форме направляется Стороне, допустившей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нарушение   условий Контракта.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претензии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указываются допущенные нарушения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со ссылкой на соответствующие положения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Контракта или его приложений,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стоимостная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оценка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ответственности  (неустойки), а также действия, которые должны быть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произведены для устранения нарушений.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709"/>
        <w:jc w:val="both"/>
        <w:spacing w:after="100" w:afterAutospacing="1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</w:t>
      </w:r>
      <w:r>
        <w:rPr>
          <w:rFonts w:ascii="Times New Roman" w:hAnsi="Times New Roman" w:eastAsia="Calibri" w:cs="Times New Roman"/>
          <w:sz w:val="24"/>
          <w:szCs w:val="24"/>
        </w:rPr>
        <w:t xml:space="preserve">7</w:t>
      </w:r>
      <w:r>
        <w:rPr>
          <w:rFonts w:ascii="Times New Roman" w:hAnsi="Times New Roman" w:eastAsia="Calibri" w:cs="Times New Roman"/>
          <w:sz w:val="24"/>
          <w:szCs w:val="24"/>
        </w:rPr>
        <w:t xml:space="preserve">.3.  Срок</w:t>
      </w:r>
      <w:r>
        <w:rPr>
          <w:rFonts w:ascii="Times New Roman" w:hAnsi="Times New Roman" w:eastAsia="Calibri" w:cs="Times New Roman"/>
          <w:sz w:val="24"/>
          <w:szCs w:val="24"/>
        </w:rPr>
        <w:t xml:space="preserve"> рассмотрения  писем,  уведомлений  или  претензий  не может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превышать  </w:t>
      </w:r>
      <w:r>
        <w:rPr>
          <w:rFonts w:ascii="Times New Roman" w:hAnsi="Times New Roman" w:eastAsia="Calibri" w:cs="Times New Roman"/>
          <w:sz w:val="24"/>
          <w:szCs w:val="24"/>
        </w:rPr>
        <w:t xml:space="preserve">10 (десять)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рабочих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дней  со  дня  их  получения,  если  настоящим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 Контрактом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не  предусмотрены  иные  сроки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расс</w:t>
      </w:r>
      <w:r>
        <w:rPr>
          <w:rFonts w:ascii="Times New Roman" w:hAnsi="Times New Roman" w:eastAsia="Calibri" w:cs="Times New Roman"/>
          <w:sz w:val="24"/>
          <w:szCs w:val="24"/>
        </w:rPr>
        <w:t xml:space="preserve">мотрения. Переписка Сторон </w:t>
      </w:r>
      <w:r>
        <w:rPr>
          <w:rFonts w:ascii="Times New Roman" w:hAnsi="Times New Roman" w:eastAsia="Calibri" w:cs="Times New Roman"/>
          <w:sz w:val="24"/>
          <w:szCs w:val="24"/>
        </w:rPr>
        <w:t xml:space="preserve">может  осуществляться  в  виде  письма,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телеграммы,  а  также  электронного  сообщения с последующим представлением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оригинала документа.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709"/>
        <w:jc w:val="both"/>
        <w:spacing w:after="100" w:afterAutospacing="1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7.4.   При   неурегулировании   Сторонами  в  досудебном  порядке  спор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передается на разрешение в арбитражный суд согласно порядку, установленному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законодательством Российской Федерации.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709"/>
        <w:jc w:val="both"/>
        <w:spacing w:after="100" w:afterAutospacing="1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8.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ДЕЙСТВИЕ ОБСТОЯТЕЛЬСТВ НЕПРЕОДОЛИМОЙ СИЛЫ.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.1.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ab/>
        <w:t xml:space="preserve">Ни одна из Сторон не несет ответственности перед другой Стороной за неисполнение обязательств по Контракту, обусловленное действием обстоя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тельств непреодолимой силы, то есть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чрезвычайных и непредотвратим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.2.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ab/>
        <w:t xml:space="preserve"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.3.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ab/>
        <w:t xml:space="preserve">Сторона, которая не исполняет обязательств по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9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. ПОРЯДОК ИЗМЕНЕНИЯ И РАСТОРЖЕНИЯ КОНТРАКТА.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.1. Любые изменения к Контракту имеют силу только при условии их оформления в письменном виде и подписания Сторонами.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.2. Расторжение Контракта допускается по соглашению Сторон, по решению суда, в случае одностороннего отказа Стороны Контракта от исполнения  Контракта в соответствии с гражданским 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.3. Сторона, решившая расторгнуть Контракт, должна направить письменное уведомление о своем намерении другой Стороне не позднее, чем за 30 (тридцать) дней до предполагаемого дня его расторжения.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.4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Решение об одностороннем отказе от исполнения Контракта направляется другой Стороны в порядке и в сроки, предусмотренн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ые Федеральным законом.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Данное решение вступает в силу и Контракт считается расторгнутым через 10 (десять) дней с даты надлежащего уведомления другой Стороны об одностороннем отказе от исполнения Контракта.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.5. При расторжении Контракта, в связи с односторонним отказом 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тороны от исполнения Контракта,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.6. Существенные условия настоящего Контракта могут быть изменены в случаях и в порядке, предусмо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тренных Федеральным законом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гражданским кодексом Российской Федерации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10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. ПРОЧИЕ УСЛОВИЯ.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</w:p>
    <w:p>
      <w:pPr>
        <w:pStyle w:val="84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10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.1. Контракт вступает в силу с даты его подписания Сторонами, </w:t>
      </w:r>
      <w:r>
        <w:rPr>
          <w:rFonts w:ascii="Times New Roman" w:hAnsi="Times New Roman" w:cs="Times New Roman"/>
          <w:sz w:val="24"/>
          <w:szCs w:val="24"/>
        </w:rPr>
        <w:t xml:space="preserve">и действует </w:t>
      </w:r>
      <w:r>
        <w:rPr>
          <w:rFonts w:ascii="Times New Roman" w:hAnsi="Times New Roman" w:cs="Times New Roman"/>
          <w:sz w:val="24"/>
          <w:szCs w:val="24"/>
        </w:rPr>
        <w:t xml:space="preserve">до 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ноября </w:t>
      </w:r>
      <w:r>
        <w:rPr>
          <w:rFonts w:ascii="Times New Roman" w:hAnsi="Times New Roman" w:cs="Times New Roman"/>
          <w:sz w:val="24"/>
          <w:szCs w:val="24"/>
        </w:rPr>
        <w:t xml:space="preserve">20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 Контракт составлен в двух экземплярах, имеющих одинаковую юридическую силу, по одному для каждой из Сторон.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 Все дополнительные соглашения Сторон, акты и иные Приложения к Контракту, подписанные Сторонами при исполнении Контракта, являются его неотъемлемой частью.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10.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ab/>
        <w:t xml:space="preserve">Неотъемлемой частью Контракта является: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Приложение № 1 –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Акт приема-передачи контейнера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– на 1 листе;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Приложение №2 – Образец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талона по форме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– на 1 листе.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</w:r>
    </w:p>
    <w:p>
      <w:pPr>
        <w:ind w:right="255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ЮРИДИЧЕСКИЕ АДРЕСА И ПОДПИСИ СТОРОН: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right="255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tbl>
      <w:tblPr>
        <w:tblpPr w:horzAnchor="margin" w:tblpXSpec="center" w:vertAnchor="text" w:tblpY="50" w:leftFromText="180" w:topFromText="0" w:rightFromText="180" w:bottomFromText="0"/>
        <w:tblW w:w="11165" w:type="dxa"/>
        <w:tblLook w:val="04A0" w:firstRow="1" w:lastRow="0" w:firstColumn="1" w:lastColumn="0" w:noHBand="0" w:noVBand="1"/>
      </w:tblPr>
      <w:tblGrid>
        <w:gridCol w:w="5349"/>
        <w:gridCol w:w="5816"/>
      </w:tblGrid>
      <w:tr>
        <w:tblPrEx/>
        <w:trPr>
          <w:trHeight w:val="2370"/>
        </w:trPr>
        <w:tc>
          <w:tcPr>
            <w:tcW w:w="5349" w:type="dxa"/>
            <w:textDirection w:val="lrTb"/>
            <w:noWrap w:val="false"/>
          </w:tcPr>
          <w:p>
            <w:pPr>
              <w:ind w:right="255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ЗАКАЗЧИК: 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Татарстанская таможня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ОГРН 1021603150150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 1653021311КПП 165701001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Лицевой счет № 03111509310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УФК по Нижегородской области (Татарстанская таможня)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Р/с 03211643000000013233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ОКЦ № 1 Волго-Вятского ГУ Банка России//УФК по Нижегородской области,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Нижний Новгород.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БИК 012202102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К/с 40102810745370000024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54448441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Тел.: 8(843)2-919-375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816" w:type="dxa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right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№1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Контракту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r>
        <w:rPr>
          <w:rFonts w:ascii="Times New Roman" w:hAnsi="Times New Roman" w:cs="Times New Roman"/>
          <w:b/>
          <w:sz w:val="24"/>
          <w:szCs w:val="24"/>
        </w:rPr>
        <w:t xml:space="preserve">___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</w:t>
      </w:r>
      <w:r>
        <w:rPr>
          <w:rFonts w:ascii="Times New Roman" w:hAnsi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________ </w:t>
      </w:r>
      <w:r>
        <w:rPr>
          <w:rStyle w:val="84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55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55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Приема-передачи контейнер</w:t>
      </w:r>
      <w:r>
        <w:rPr>
          <w:rFonts w:ascii="Times New Roman" w:hAnsi="Times New Roman" w:cs="Times New Roman"/>
          <w:b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Казань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«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20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Татарстанская таможня от имени Российской Федерации в целях обеспечения государственных нужд, в лице  ___________________________________, действующего на основании доверенности и Общего положения о таможне, утвержденного приказом ФТС России от 20 сентя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бря 2021 г. № 798, и ________________________________, именуемая в дальнейшем Заказчик, с одной стороны и ______________________, именуемое в дальнейшем Исполнитель в лице ____________________________, действующего на основании _____________, с другой стор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оны, вместе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совместно</w:t>
      </w:r>
      <w:r>
        <w:rPr>
          <w:rFonts w:ascii="Times New Roman" w:hAnsi="Times New Roman" w:cs="Times New Roman"/>
          <w:sz w:val="24"/>
          <w:szCs w:val="24"/>
        </w:rPr>
        <w:t xml:space="preserve"> именуемые Стороны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составили настоящий акт о том, что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срок действия Контракта было предоставлено в пользование Заказчику следующее имущество: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00"/>
        <w:gridCol w:w="3078"/>
        <w:gridCol w:w="1672"/>
        <w:gridCol w:w="3186"/>
        <w:gridCol w:w="2046"/>
      </w:tblGrid>
      <w:tr>
        <w:tblPrEx/>
        <w:trPr>
          <w:trHeight w:val="2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0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8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(Место вывоза)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2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6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(руб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(руб.)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0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8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объемом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г. Казань,                     ул. Короленко, 56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2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6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0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8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объемом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г. Казань,                    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Орненбургский тракт, 144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2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6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vAlign w:val="center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right="25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за сохранность контейнера несет Заказчик. В случае порчи контейнера действиями Заказчика или третьих лиц, Сторонами оформляется соответствующий акт о нанесения повреждений контейнеру, который подписывается и утверждается Сторонами. Данный Акт служит основа</w:t>
      </w:r>
      <w:r>
        <w:rPr>
          <w:rFonts w:ascii="Times New Roman" w:hAnsi="Times New Roman" w:cs="Times New Roman"/>
          <w:sz w:val="24"/>
          <w:szCs w:val="24"/>
        </w:rPr>
        <w:t xml:space="preserve">нием для расчета суммы возмещения вреда Исполнителю. В случае утраты контейнера, переданного на основании данного акта приема-передачи, Заказчик полностью возмещает причиненный Исполнителю вред из расчета сумм, указанных в п. 1 настоящего  акта приема-пере</w:t>
      </w:r>
      <w:r>
        <w:rPr>
          <w:rFonts w:ascii="Times New Roman" w:hAnsi="Times New Roman" w:cs="Times New Roman"/>
          <w:sz w:val="24"/>
          <w:szCs w:val="24"/>
        </w:rPr>
        <w:t xml:space="preserve">дачи с учетом износа.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Настоящий акт приема-передачи вступает в силу и становится обязательным для сторон с момента его подписания.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Акт приема-передачи составлен в двух экземплярах, по одному для каждой стороны.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pPr w:horzAnchor="margin" w:tblpXSpec="left" w:vertAnchor="text" w:tblpY="-45" w:leftFromText="180" w:topFromText="0" w:rightFromText="180" w:bottomFromText="0"/>
        <w:tblW w:w="10834" w:type="dxa"/>
        <w:tblLook w:val="04A0" w:firstRow="1" w:lastRow="0" w:firstColumn="1" w:lastColumn="0" w:noHBand="0" w:noVBand="1"/>
      </w:tblPr>
      <w:tblGrid>
        <w:gridCol w:w="5306"/>
        <w:gridCol w:w="5528"/>
      </w:tblGrid>
      <w:tr>
        <w:tblPrEx/>
        <w:trPr>
          <w:trHeight w:val="704"/>
        </w:trPr>
        <w:tc>
          <w:tcPr>
            <w:gridSpan w:val="2"/>
            <w:tcW w:w="10834" w:type="dxa"/>
            <w:textDirection w:val="lrTb"/>
            <w:noWrap w:val="false"/>
          </w:tcPr>
          <w:p>
            <w:pPr>
              <w:ind w:right="255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Подписи сторон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right="25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114"/>
        </w:trPr>
        <w:tc>
          <w:tcPr>
            <w:tcW w:w="5306" w:type="dxa"/>
            <w:textDirection w:val="lrTb"/>
            <w:noWrap w:val="false"/>
          </w:tcPr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4982"/>
            </w:tblGrid>
            <w:tr>
              <w:tblPrEx/>
              <w:trPr/>
              <w:tc>
                <w:tcPr>
                  <w:shd w:val="clear" w:color="auto" w:fill="auto"/>
                  <w:tcW w:w="5040" w:type="dxa"/>
                  <w:textDirection w:val="lrTb"/>
                  <w:noWrap w:val="false"/>
                </w:tcPr>
                <w:p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W w:w="504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_____________/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/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М.П.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</w:tbl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right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№2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Контракту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r>
        <w:rPr>
          <w:rFonts w:ascii="Times New Roman" w:hAnsi="Times New Roman" w:cs="Times New Roman"/>
          <w:b/>
          <w:sz w:val="24"/>
          <w:szCs w:val="24"/>
        </w:rPr>
        <w:t xml:space="preserve">___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</w:t>
      </w:r>
      <w:r>
        <w:rPr>
          <w:rFonts w:ascii="Times New Roman" w:hAnsi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________ </w:t>
      </w:r>
      <w:r>
        <w:rPr>
          <w:rStyle w:val="84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ind w:right="255"/>
        <w:jc w:val="right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center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b/>
          <w:color w:val="eeece1" w:themeColor="background2"/>
          <w:sz w:val="96"/>
          <w:szCs w:val="96"/>
        </w:rPr>
      </w:pPr>
      <w:r>
        <w:rPr>
          <w:rFonts w:ascii="Times New Roman" w:hAnsi="Times New Roman" w:cs="Times New Roman"/>
          <w:b/>
          <w:color w:val="eeece1" w:themeColor="background2"/>
          <w:sz w:val="96"/>
          <w:szCs w:val="96"/>
        </w:rPr>
        <w:t xml:space="preserve">образец</w:t>
      </w:r>
      <w:r>
        <w:rPr>
          <w:rFonts w:ascii="Times New Roman" w:hAnsi="Times New Roman" w:cs="Times New Roman"/>
          <w:b/>
          <w:color w:val="eeece1" w:themeColor="background2"/>
          <w:sz w:val="96"/>
          <w:szCs w:val="96"/>
        </w:rPr>
      </w:r>
      <w:r>
        <w:rPr>
          <w:rFonts w:ascii="Times New Roman" w:hAnsi="Times New Roman" w:cs="Times New Roman"/>
          <w:b/>
          <w:color w:val="eeece1" w:themeColor="background2"/>
          <w:sz w:val="96"/>
          <w:szCs w:val="96"/>
        </w:rPr>
      </w:r>
    </w:p>
    <w:tbl>
      <w:tblPr>
        <w:tblpPr w:horzAnchor="margin" w:tblpXSpec="center" w:vertAnchor="page" w:tblpY="1621" w:leftFromText="180" w:topFromText="0" w:rightFromText="180" w:bottomFromText="0"/>
        <w:tblW w:w="9190" w:type="dxa"/>
        <w:tblLook w:val="04A0" w:firstRow="1" w:lastRow="0" w:firstColumn="1" w:lastColumn="0" w:noHBand="0" w:noVBand="1"/>
      </w:tblPr>
      <w:tblGrid>
        <w:gridCol w:w="1006"/>
        <w:gridCol w:w="1006"/>
        <w:gridCol w:w="989"/>
        <w:gridCol w:w="989"/>
        <w:gridCol w:w="989"/>
        <w:gridCol w:w="994"/>
        <w:gridCol w:w="991"/>
        <w:gridCol w:w="1008"/>
        <w:gridCol w:w="1218"/>
      </w:tblGrid>
      <w:tr>
        <w:tblPrEx/>
        <w:trPr>
          <w:trHeight w:val="255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52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9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000000" w:sz="4" w:space="0"/>
            </w:tcBorders>
            <w:tcW w:w="9190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Талон № ____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4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9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000000" w:sz="4" w:space="0"/>
            </w:tcBorders>
            <w:tcW w:w="9190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 __________________20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94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5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97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Марка автомобиля 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21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Гос. номерной знак 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4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6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973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ФИО водителя________________________________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4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6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973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организации 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217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 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4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6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973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контейнеров __________объем конт. 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4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3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00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Сдал (полный конт.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3"/>
            <w:tcW w:w="2993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Принял (полны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конт.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4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990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представитель Заказчика 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21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представитель Исполнителя 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4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0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3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00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Принял (пустой конт.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3"/>
            <w:tcW w:w="2993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Сдал (пустой конт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4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990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представитель Заказчика 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21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представитель Исполнителя 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6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89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94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91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18" w:type="dxa"/>
            <w:vAlign w:val="bottom"/>
            <w:textDirection w:val="lrTb"/>
            <w:noWrap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pPr w:horzAnchor="margin" w:tblpXSpec="left" w:vertAnchor="text" w:tblpY="57" w:leftFromText="180" w:topFromText="0" w:rightFromText="180" w:bottomFromText="0"/>
        <w:tblW w:w="10834" w:type="dxa"/>
        <w:tblLook w:val="04A0" w:firstRow="1" w:lastRow="0" w:firstColumn="1" w:lastColumn="0" w:noHBand="0" w:noVBand="1"/>
      </w:tblPr>
      <w:tblGrid>
        <w:gridCol w:w="10834"/>
      </w:tblGrid>
      <w:tr>
        <w:tblPrEx/>
        <w:trPr>
          <w:trHeight w:val="420"/>
        </w:trPr>
        <w:tc>
          <w:tcPr>
            <w:tcW w:w="10834" w:type="dxa"/>
            <w:textDirection w:val="lrTb"/>
            <w:noWrap w:val="false"/>
          </w:tcPr>
          <w:p>
            <w:pPr>
              <w:ind w:right="255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Подписи сторон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tbl>
      <w:tblPr>
        <w:tblpPr w:horzAnchor="margin" w:tblpXSpec="left" w:vertAnchor="text" w:tblpY="-45" w:leftFromText="180" w:topFromText="0" w:rightFromText="180" w:bottomFromText="0"/>
        <w:tblW w:w="10834" w:type="dxa"/>
        <w:tblLook w:val="04A0" w:firstRow="1" w:lastRow="0" w:firstColumn="1" w:lastColumn="0" w:noHBand="0" w:noVBand="1"/>
      </w:tblPr>
      <w:tblGrid>
        <w:gridCol w:w="5306"/>
        <w:gridCol w:w="5528"/>
      </w:tblGrid>
      <w:tr>
        <w:tblPrEx/>
        <w:trPr>
          <w:trHeight w:val="1114"/>
        </w:trPr>
        <w:tc>
          <w:tcPr>
            <w:tcW w:w="5306" w:type="dxa"/>
            <w:textDirection w:val="lrTb"/>
            <w:noWrap w:val="false"/>
          </w:tcPr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4982"/>
            </w:tblGrid>
            <w:tr>
              <w:tblPrEx/>
              <w:trPr/>
              <w:tc>
                <w:tcPr>
                  <w:shd w:val="clear" w:color="auto" w:fill="auto"/>
                  <w:tcW w:w="5040" w:type="dxa"/>
                  <w:textDirection w:val="lrTb"/>
                  <w:noWrap w:val="false"/>
                </w:tcPr>
                <w:p>
                  <w:pPr>
                    <w:rPr>
                      <w:rFonts w:ascii="Times New Roman" w:hAnsi="Times New Roman" w:cs="Times New Roman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W w:w="5040" w:type="dxa"/>
                  <w:textDirection w:val="lrTb"/>
                  <w:noWrap w:val="false"/>
                </w:tcPr>
                <w:p>
                  <w:pPr>
                    <w:rPr>
                      <w:rFonts w:ascii="Times New Roman" w:hAnsi="Times New Roman" w:cs="Times New Roman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</w:rPr>
                    <w:t xml:space="preserve">______________/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</w:t>
                  </w:r>
                  <w:r>
                    <w:rPr>
                      <w:rFonts w:ascii="Times New Roman" w:hAnsi="Times New Roman" w:cs="Times New Roman"/>
                    </w:rPr>
                    <w:t xml:space="preserve"> /</w: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</w:rPr>
                    <w:framePr w:hSpace="180" w:wrap="around" w:vAnchor="text" w:hAnchor="margin" w:y="-45"/>
                  </w:pPr>
                  <w:r>
                    <w:rPr>
                      <w:rFonts w:ascii="Times New Roman" w:hAnsi="Times New Roman" w:cs="Times New Roman"/>
                    </w:rPr>
                    <w:t xml:space="preserve">М.П.</w: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</w:tr>
          </w:tbl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right="255"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М.П.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</w:p>
        </w:tc>
      </w:tr>
    </w:tbl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255"/>
        <w:jc w:val="both"/>
        <w:spacing w:after="0" w:line="240" w:lineRule="auto"/>
        <w:tabs>
          <w:tab w:val="left" w:pos="122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3"/>
    <w:next w:val="833"/>
    <w:link w:val="66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1 Char"/>
    <w:basedOn w:val="834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3"/>
    <w:next w:val="833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basedOn w:val="834"/>
    <w:link w:val="661"/>
    <w:uiPriority w:val="9"/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3 Char"/>
    <w:basedOn w:val="834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6">
    <w:name w:val="Heading 4 Char"/>
    <w:basedOn w:val="834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7">
    <w:name w:val="Heading 5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8">
    <w:name w:val="Heading 5 Char"/>
    <w:basedOn w:val="834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9">
    <w:name w:val="Heading 6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0">
    <w:name w:val="Heading 6 Char"/>
    <w:basedOn w:val="834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1">
    <w:name w:val="Heading 7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7 Char"/>
    <w:basedOn w:val="834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3">
    <w:name w:val="Heading 8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8 Char"/>
    <w:basedOn w:val="834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5">
    <w:name w:val="Heading 9"/>
    <w:basedOn w:val="833"/>
    <w:next w:val="833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Heading 9 Char"/>
    <w:basedOn w:val="834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3"/>
    <w:next w:val="833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4"/>
    <w:link w:val="678"/>
    <w:uiPriority w:val="10"/>
    <w:rPr>
      <w:sz w:val="48"/>
      <w:szCs w:val="48"/>
    </w:rPr>
  </w:style>
  <w:style w:type="paragraph" w:styleId="680">
    <w:name w:val="Subtitle"/>
    <w:basedOn w:val="833"/>
    <w:next w:val="833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4"/>
    <w:link w:val="680"/>
    <w:uiPriority w:val="11"/>
    <w:rPr>
      <w:sz w:val="24"/>
      <w:szCs w:val="24"/>
    </w:rPr>
  </w:style>
  <w:style w:type="paragraph" w:styleId="682">
    <w:name w:val="Quote"/>
    <w:basedOn w:val="833"/>
    <w:next w:val="833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3"/>
    <w:next w:val="833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character" w:styleId="686">
    <w:name w:val="Header Char"/>
    <w:basedOn w:val="834"/>
    <w:link w:val="847"/>
    <w:uiPriority w:val="99"/>
  </w:style>
  <w:style w:type="character" w:styleId="687">
    <w:name w:val="Footer Char"/>
    <w:basedOn w:val="834"/>
    <w:link w:val="849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4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ody Text Indent 3"/>
    <w:basedOn w:val="833"/>
    <w:link w:val="838"/>
    <w:unhideWhenUsed/>
    <w:pPr>
      <w:ind w:left="283"/>
      <w:spacing w:after="120" w:line="240" w:lineRule="auto"/>
    </w:pPr>
    <w:rPr>
      <w:rFonts w:ascii="Times New Roman" w:hAnsi="Times New Roman" w:eastAsia="Times New Roman" w:cs="Times New Roman"/>
      <w:sz w:val="16"/>
      <w:szCs w:val="16"/>
    </w:rPr>
  </w:style>
  <w:style w:type="character" w:styleId="838" w:customStyle="1">
    <w:name w:val="Основной текст с отступом 3 Знак"/>
    <w:basedOn w:val="834"/>
    <w:link w:val="837"/>
    <w:rPr>
      <w:rFonts w:ascii="Times New Roman" w:hAnsi="Times New Roman" w:eastAsia="Times New Roman" w:cs="Times New Roman"/>
      <w:sz w:val="16"/>
      <w:szCs w:val="16"/>
    </w:rPr>
  </w:style>
  <w:style w:type="paragraph" w:styleId="839" w:customStyle="1">
    <w:name w:val="Обычный (веб)19"/>
    <w:basedOn w:val="833"/>
    <w:pPr>
      <w:spacing w:after="75" w:line="240" w:lineRule="auto"/>
    </w:pPr>
    <w:rPr>
      <w:rFonts w:ascii="Times New Roman" w:hAnsi="Times New Roman" w:eastAsia="Times New Roman" w:cs="Times New Roman"/>
      <w:sz w:val="19"/>
      <w:szCs w:val="19"/>
      <w:lang w:eastAsia="ru-RU"/>
    </w:rPr>
  </w:style>
  <w:style w:type="character" w:styleId="840">
    <w:name w:val="Strong"/>
    <w:basedOn w:val="834"/>
    <w:qFormat/>
    <w:rPr>
      <w:b/>
      <w:bCs/>
    </w:rPr>
  </w:style>
  <w:style w:type="table" w:styleId="841">
    <w:name w:val="Table Grid"/>
    <w:basedOn w:val="83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2">
    <w:name w:val="Balloon Text"/>
    <w:basedOn w:val="833"/>
    <w:link w:val="84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3" w:customStyle="1">
    <w:name w:val="Текст выноски Знак"/>
    <w:basedOn w:val="834"/>
    <w:link w:val="842"/>
    <w:uiPriority w:val="99"/>
    <w:semiHidden/>
    <w:rPr>
      <w:rFonts w:ascii="Tahoma" w:hAnsi="Tahoma" w:cs="Tahoma"/>
      <w:sz w:val="16"/>
      <w:szCs w:val="16"/>
    </w:rPr>
  </w:style>
  <w:style w:type="paragraph" w:styleId="844">
    <w:name w:val="List Paragraph"/>
    <w:basedOn w:val="833"/>
    <w:uiPriority w:val="34"/>
    <w:qFormat/>
    <w:pPr>
      <w:contextualSpacing/>
      <w:ind w:left="720"/>
    </w:pPr>
  </w:style>
  <w:style w:type="paragraph" w:styleId="845" w:customStyle="1">
    <w:name w:val="ConsPlusNonformat"/>
    <w:link w:val="846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846" w:customStyle="1">
    <w:name w:val="ConsPlusNonformat Знак"/>
    <w:link w:val="845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847">
    <w:name w:val="Header"/>
    <w:basedOn w:val="833"/>
    <w:link w:val="8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8" w:customStyle="1">
    <w:name w:val="Верхний колонтитул Знак"/>
    <w:basedOn w:val="834"/>
    <w:link w:val="847"/>
    <w:uiPriority w:val="99"/>
  </w:style>
  <w:style w:type="paragraph" w:styleId="849">
    <w:name w:val="Footer"/>
    <w:basedOn w:val="833"/>
    <w:link w:val="85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0" w:customStyle="1">
    <w:name w:val="Нижний колонтитул Знак"/>
    <w:basedOn w:val="834"/>
    <w:link w:val="84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070CD-E35A-409C-93D4-B496BA48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Torgi-Fathutdinova</cp:lastModifiedBy>
  <cp:revision>68</cp:revision>
  <dcterms:created xsi:type="dcterms:W3CDTF">2020-02-11T05:45:00Z</dcterms:created>
  <dcterms:modified xsi:type="dcterms:W3CDTF">2026-07-22T17:16:14Z</dcterms:modified>
</cp:coreProperties>
</file>