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B54B" w14:textId="77777777" w:rsidR="00CB6566" w:rsidRPr="00CB6566" w:rsidRDefault="00CB6566" w:rsidP="00CB6566">
      <w:pPr>
        <w:spacing w:after="0" w:line="240" w:lineRule="auto"/>
        <w:jc w:val="center"/>
        <w:rPr>
          <w:rFonts w:ascii="Times New Roman" w:eastAsia="Times New Roman" w:hAnsi="Times New Roman" w:cs="Times New Roman"/>
          <w:b/>
          <w:bCs/>
          <w:lang w:eastAsia="ru-RU"/>
        </w:rPr>
      </w:pPr>
      <w:r w:rsidRPr="00CB6566">
        <w:rPr>
          <w:rFonts w:ascii="Times New Roman" w:eastAsia="Times New Roman" w:hAnsi="Times New Roman" w:cs="Times New Roman"/>
          <w:b/>
          <w:bCs/>
          <w:lang w:eastAsia="ru-RU"/>
        </w:rPr>
        <w:t xml:space="preserve">ТЕХНИЧЕСКОЕ ЗАДАНИЕ </w:t>
      </w:r>
    </w:p>
    <w:p w14:paraId="570DD011" w14:textId="77777777" w:rsidR="00CB6566" w:rsidRPr="00CB6566" w:rsidRDefault="00CB6566" w:rsidP="00CB6566">
      <w:pPr>
        <w:spacing w:after="0" w:line="240" w:lineRule="auto"/>
        <w:jc w:val="center"/>
        <w:rPr>
          <w:rFonts w:ascii="Times New Roman" w:eastAsia="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2592"/>
        <w:gridCol w:w="6094"/>
      </w:tblGrid>
      <w:tr w:rsidR="00CB6566" w:rsidRPr="00CB6566" w14:paraId="1D188E41" w14:textId="77777777" w:rsidTr="00A04A49">
        <w:trPr>
          <w:trHeight w:val="699"/>
        </w:trPr>
        <w:tc>
          <w:tcPr>
            <w:tcW w:w="211" w:type="pct"/>
            <w:vAlign w:val="center"/>
          </w:tcPr>
          <w:p w14:paraId="47F40380" w14:textId="77777777" w:rsidR="00CB6566" w:rsidRPr="00CB6566" w:rsidRDefault="00CB6566" w:rsidP="00CB6566">
            <w:pPr>
              <w:suppressAutoHyphens/>
              <w:spacing w:after="0" w:line="240" w:lineRule="auto"/>
              <w:jc w:val="center"/>
              <w:rPr>
                <w:rFonts w:ascii="Times New Roman" w:eastAsia="Times New Roman" w:hAnsi="Times New Roman" w:cs="Times New Roman"/>
                <w:b/>
                <w:kern w:val="1"/>
                <w:lang w:eastAsia="ar-SA"/>
              </w:rPr>
            </w:pPr>
            <w:r w:rsidRPr="00CB6566">
              <w:rPr>
                <w:rFonts w:ascii="Times New Roman" w:eastAsia="Times New Roman" w:hAnsi="Times New Roman" w:cs="Times New Roman"/>
                <w:b/>
                <w:kern w:val="1"/>
                <w:lang w:eastAsia="ar-SA"/>
              </w:rPr>
              <w:t>№№ п/п</w:t>
            </w:r>
          </w:p>
        </w:tc>
        <w:tc>
          <w:tcPr>
            <w:tcW w:w="1458" w:type="pct"/>
            <w:vAlign w:val="center"/>
          </w:tcPr>
          <w:p w14:paraId="773731D8" w14:textId="77777777" w:rsidR="00CB6566" w:rsidRPr="00CB6566" w:rsidRDefault="00CB6566" w:rsidP="00CB6566">
            <w:pPr>
              <w:suppressAutoHyphens/>
              <w:spacing w:after="0" w:line="240" w:lineRule="auto"/>
              <w:jc w:val="center"/>
              <w:rPr>
                <w:rFonts w:ascii="Times New Roman" w:eastAsia="Times New Roman" w:hAnsi="Times New Roman" w:cs="Times New Roman"/>
                <w:b/>
                <w:kern w:val="1"/>
                <w:lang w:eastAsia="ar-SA"/>
              </w:rPr>
            </w:pPr>
            <w:r w:rsidRPr="00CB6566">
              <w:rPr>
                <w:rFonts w:ascii="Times New Roman" w:eastAsia="Times New Roman" w:hAnsi="Times New Roman" w:cs="Times New Roman"/>
                <w:b/>
                <w:kern w:val="1"/>
                <w:lang w:eastAsia="ar-SA"/>
              </w:rPr>
              <w:t>Параметры</w:t>
            </w:r>
          </w:p>
        </w:tc>
        <w:tc>
          <w:tcPr>
            <w:tcW w:w="3331" w:type="pct"/>
            <w:vAlign w:val="center"/>
          </w:tcPr>
          <w:p w14:paraId="1B801E56" w14:textId="77777777" w:rsidR="00CB6566" w:rsidRPr="00CB6566" w:rsidRDefault="00CB6566" w:rsidP="00CB6566">
            <w:pPr>
              <w:suppressAutoHyphens/>
              <w:spacing w:after="0" w:line="240" w:lineRule="auto"/>
              <w:jc w:val="center"/>
              <w:rPr>
                <w:rFonts w:ascii="Times New Roman" w:eastAsia="Times New Roman" w:hAnsi="Times New Roman" w:cs="Times New Roman"/>
                <w:b/>
                <w:kern w:val="1"/>
                <w:lang w:eastAsia="ar-SA"/>
              </w:rPr>
            </w:pPr>
            <w:r w:rsidRPr="00CB6566">
              <w:rPr>
                <w:rFonts w:ascii="Times New Roman" w:eastAsia="Times New Roman" w:hAnsi="Times New Roman" w:cs="Times New Roman"/>
                <w:b/>
                <w:kern w:val="1"/>
                <w:lang w:eastAsia="ar-SA"/>
              </w:rPr>
              <w:t>Значение</w:t>
            </w:r>
          </w:p>
        </w:tc>
      </w:tr>
      <w:tr w:rsidR="00CB6566" w:rsidRPr="00CB6566" w14:paraId="2A0C8A58" w14:textId="77777777" w:rsidTr="00A04A49">
        <w:trPr>
          <w:trHeight w:val="340"/>
        </w:trPr>
        <w:tc>
          <w:tcPr>
            <w:tcW w:w="211" w:type="pct"/>
            <w:vAlign w:val="center"/>
          </w:tcPr>
          <w:p w14:paraId="52161241" w14:textId="77777777" w:rsidR="00CB6566" w:rsidRPr="00CB6566" w:rsidRDefault="00CB6566" w:rsidP="00CB6566">
            <w:pPr>
              <w:suppressAutoHyphens/>
              <w:spacing w:after="0" w:line="240" w:lineRule="auto"/>
              <w:jc w:val="center"/>
              <w:rPr>
                <w:rFonts w:ascii="Times New Roman" w:eastAsia="Times New Roman" w:hAnsi="Times New Roman" w:cs="Times New Roman"/>
                <w:b/>
                <w:kern w:val="1"/>
                <w:lang w:eastAsia="ar-SA"/>
              </w:rPr>
            </w:pPr>
            <w:r w:rsidRPr="00CB6566">
              <w:rPr>
                <w:rFonts w:ascii="Times New Roman" w:eastAsia="Times New Roman" w:hAnsi="Times New Roman" w:cs="Times New Roman"/>
                <w:b/>
                <w:kern w:val="1"/>
                <w:lang w:eastAsia="ar-SA"/>
              </w:rPr>
              <w:t>1</w:t>
            </w:r>
          </w:p>
        </w:tc>
        <w:tc>
          <w:tcPr>
            <w:tcW w:w="1458" w:type="pct"/>
            <w:vAlign w:val="center"/>
          </w:tcPr>
          <w:p w14:paraId="33C71BC2"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Сроки (график) поставки товара, выполнения работы, оказания услуги</w:t>
            </w:r>
          </w:p>
        </w:tc>
        <w:tc>
          <w:tcPr>
            <w:tcW w:w="3331" w:type="pct"/>
            <w:vAlign w:val="center"/>
          </w:tcPr>
          <w:p w14:paraId="7880BAA3"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Товар Заказчику поставляется партиями в соответствии с условиями Контракта. Количество товара в каждой партии определяется на основании Заявки Заказчика.</w:t>
            </w:r>
          </w:p>
          <w:p w14:paraId="7D850542" w14:textId="77777777" w:rsidR="00CB6566" w:rsidRPr="00CB6566" w:rsidRDefault="00CB6566" w:rsidP="00CB6566">
            <w:pPr>
              <w:suppressAutoHyphens/>
              <w:spacing w:after="0" w:line="240" w:lineRule="auto"/>
              <w:jc w:val="both"/>
              <w:rPr>
                <w:rFonts w:ascii="Times New Roman" w:eastAsia="Times New Roman" w:hAnsi="Times New Roman" w:cs="Times New Roman"/>
                <w:b/>
                <w:kern w:val="1"/>
                <w:lang w:eastAsia="ar-SA"/>
              </w:rPr>
            </w:pPr>
            <w:r w:rsidRPr="00CB6566">
              <w:rPr>
                <w:rFonts w:ascii="Times New Roman" w:eastAsia="Times New Roman" w:hAnsi="Times New Roman" w:cs="Times New Roman"/>
                <w:b/>
                <w:kern w:val="1"/>
                <w:lang w:eastAsia="ar-SA"/>
              </w:rPr>
              <w:t>Заявка направляется Заказчиком не позднее чем за 1 (один) календарный день до предполагаемой поставки товара в пределах срока, а именно с даты заключения Контракта по 14.12.2026 года включительно.</w:t>
            </w:r>
          </w:p>
          <w:p w14:paraId="7327B387"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 xml:space="preserve">Поставка осуществляется в будние дни, по заявкам заказчика, на следующий день до 12:00 со дня направления заявки, начиная с даты заключения Контракта. Заявка Заказчика направляется Поставщику до 16:00 предыдущего дня до даты поставки. Последний срок поставки товара 31.12.2026 г. </w:t>
            </w:r>
          </w:p>
          <w:p w14:paraId="551F3A4D"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p>
        </w:tc>
      </w:tr>
      <w:tr w:rsidR="00CB6566" w:rsidRPr="00CB6566" w14:paraId="523D62EE" w14:textId="77777777" w:rsidTr="00A04A49">
        <w:trPr>
          <w:trHeight w:val="340"/>
        </w:trPr>
        <w:tc>
          <w:tcPr>
            <w:tcW w:w="211" w:type="pct"/>
            <w:vAlign w:val="center"/>
          </w:tcPr>
          <w:p w14:paraId="3E241ACD" w14:textId="77777777" w:rsidR="00CB6566" w:rsidRPr="00CB6566" w:rsidRDefault="00CB6566" w:rsidP="00CB6566">
            <w:pPr>
              <w:suppressAutoHyphens/>
              <w:spacing w:after="0" w:line="240" w:lineRule="auto"/>
              <w:jc w:val="center"/>
              <w:rPr>
                <w:rFonts w:ascii="Times New Roman" w:eastAsia="Times New Roman" w:hAnsi="Times New Roman" w:cs="Times New Roman"/>
                <w:b/>
                <w:kern w:val="1"/>
                <w:lang w:eastAsia="ar-SA"/>
              </w:rPr>
            </w:pPr>
            <w:r w:rsidRPr="00CB6566">
              <w:rPr>
                <w:rFonts w:ascii="Times New Roman" w:eastAsia="Times New Roman" w:hAnsi="Times New Roman" w:cs="Times New Roman"/>
                <w:b/>
                <w:kern w:val="1"/>
                <w:lang w:eastAsia="ar-SA"/>
              </w:rPr>
              <w:t>2</w:t>
            </w:r>
          </w:p>
        </w:tc>
        <w:tc>
          <w:tcPr>
            <w:tcW w:w="1458" w:type="pct"/>
            <w:vAlign w:val="center"/>
          </w:tcPr>
          <w:p w14:paraId="0A24F33B"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Место поставки товара, выполнения работы, оказания услуги</w:t>
            </w:r>
          </w:p>
        </w:tc>
        <w:tc>
          <w:tcPr>
            <w:tcW w:w="3331" w:type="pct"/>
            <w:vAlign w:val="center"/>
          </w:tcPr>
          <w:p w14:paraId="4693E038"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Место поставки: 108841, г. Москва, г. Троицк, ул. Нагибина д. 4 стр. 1, ФГБУ ЦР Минздрава России.</w:t>
            </w:r>
          </w:p>
          <w:p w14:paraId="320DB09E"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p>
        </w:tc>
      </w:tr>
      <w:tr w:rsidR="00CB6566" w:rsidRPr="00CB6566" w14:paraId="080950D6" w14:textId="77777777" w:rsidTr="00A04A49">
        <w:trPr>
          <w:trHeight w:val="340"/>
        </w:trPr>
        <w:tc>
          <w:tcPr>
            <w:tcW w:w="211" w:type="pct"/>
            <w:vAlign w:val="center"/>
          </w:tcPr>
          <w:p w14:paraId="180933E2" w14:textId="77777777" w:rsidR="00CB6566" w:rsidRPr="00CB6566" w:rsidRDefault="00CB6566" w:rsidP="00CB6566">
            <w:pPr>
              <w:suppressAutoHyphens/>
              <w:spacing w:after="0" w:line="240" w:lineRule="auto"/>
              <w:jc w:val="center"/>
              <w:rPr>
                <w:rFonts w:ascii="Times New Roman" w:eastAsia="Times New Roman" w:hAnsi="Times New Roman" w:cs="Times New Roman"/>
                <w:b/>
                <w:kern w:val="1"/>
                <w:lang w:eastAsia="ar-SA"/>
              </w:rPr>
            </w:pPr>
            <w:r w:rsidRPr="00CB6566">
              <w:rPr>
                <w:rFonts w:ascii="Times New Roman" w:eastAsia="Times New Roman" w:hAnsi="Times New Roman" w:cs="Times New Roman"/>
                <w:b/>
                <w:kern w:val="1"/>
                <w:lang w:eastAsia="ar-SA"/>
              </w:rPr>
              <w:t>3</w:t>
            </w:r>
          </w:p>
        </w:tc>
        <w:tc>
          <w:tcPr>
            <w:tcW w:w="1458" w:type="pct"/>
            <w:vAlign w:val="center"/>
          </w:tcPr>
          <w:p w14:paraId="34181C66"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Требования к качеству товара, работы, услуги</w:t>
            </w:r>
          </w:p>
        </w:tc>
        <w:tc>
          <w:tcPr>
            <w:tcW w:w="3331" w:type="pct"/>
            <w:vAlign w:val="center"/>
          </w:tcPr>
          <w:p w14:paraId="1C0650D8"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39583580"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p>
        </w:tc>
      </w:tr>
      <w:tr w:rsidR="00CB6566" w:rsidRPr="00CB6566" w14:paraId="6003DC23" w14:textId="77777777" w:rsidTr="00A04A49">
        <w:trPr>
          <w:trHeight w:val="340"/>
        </w:trPr>
        <w:tc>
          <w:tcPr>
            <w:tcW w:w="211" w:type="pct"/>
            <w:vAlign w:val="center"/>
          </w:tcPr>
          <w:p w14:paraId="686ED358" w14:textId="77777777" w:rsidR="00CB6566" w:rsidRPr="00CB6566" w:rsidRDefault="00CB6566" w:rsidP="00CB6566">
            <w:pPr>
              <w:suppressAutoHyphens/>
              <w:spacing w:after="0" w:line="240" w:lineRule="auto"/>
              <w:jc w:val="center"/>
              <w:rPr>
                <w:rFonts w:ascii="Times New Roman" w:eastAsia="Times New Roman" w:hAnsi="Times New Roman" w:cs="Times New Roman"/>
                <w:b/>
                <w:kern w:val="1"/>
                <w:lang w:eastAsia="ar-SA"/>
              </w:rPr>
            </w:pPr>
            <w:r w:rsidRPr="00CB6566">
              <w:rPr>
                <w:rFonts w:ascii="Times New Roman" w:eastAsia="Times New Roman" w:hAnsi="Times New Roman" w:cs="Times New Roman"/>
                <w:b/>
                <w:kern w:val="1"/>
                <w:lang w:eastAsia="ar-SA"/>
              </w:rPr>
              <w:t>4</w:t>
            </w:r>
          </w:p>
        </w:tc>
        <w:tc>
          <w:tcPr>
            <w:tcW w:w="1458" w:type="pct"/>
            <w:vAlign w:val="center"/>
          </w:tcPr>
          <w:p w14:paraId="7EAEBA3F"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Требования к упаковке товара</w:t>
            </w:r>
          </w:p>
        </w:tc>
        <w:tc>
          <w:tcPr>
            <w:tcW w:w="3331" w:type="pct"/>
            <w:vAlign w:val="center"/>
          </w:tcPr>
          <w:p w14:paraId="102BF694"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019F50A1"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4" w:history="1">
              <w:r w:rsidRPr="00CB6566">
                <w:rPr>
                  <w:rFonts w:ascii="Times New Roman" w:eastAsia="Times New Roman" w:hAnsi="Times New Roman" w:cs="Times New Roman"/>
                  <w:kern w:val="1"/>
                  <w:lang w:eastAsia="ar-SA"/>
                </w:rPr>
                <w:t>пунктом 3.3 раздела 3</w:t>
              </w:r>
            </w:hyperlink>
            <w:r w:rsidRPr="00CB6566">
              <w:rPr>
                <w:rFonts w:ascii="Times New Roman" w:eastAsia="Times New Roman" w:hAnsi="Times New Roman" w:cs="Times New Roman"/>
                <w:kern w:val="1"/>
                <w:lang w:eastAsia="ar-SA"/>
              </w:rPr>
              <w:t xml:space="preserve"> Контракта. Такой Товар не засчитывается в счет исполнения обязательств по настоящему Контракту. </w:t>
            </w:r>
          </w:p>
          <w:p w14:paraId="57E4E131"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 xml:space="preserve">Поставщик несет ответственность перед Заказчиком за повреждение Товара вследствие его ненадлежащей упаковки. На упаковке должна быть маркировка, содержащая информацию согласно </w:t>
            </w:r>
            <w:hyperlink r:id="rId5" w:history="1">
              <w:r w:rsidRPr="00CB6566">
                <w:rPr>
                  <w:rFonts w:ascii="Times New Roman" w:eastAsia="Times New Roman" w:hAnsi="Times New Roman" w:cs="Times New Roman"/>
                  <w:kern w:val="1"/>
                  <w:lang w:eastAsia="ar-SA"/>
                </w:rPr>
                <w:t>части 4.1 статьи 4</w:t>
              </w:r>
            </w:hyperlink>
            <w:r w:rsidRPr="00CB6566">
              <w:rPr>
                <w:rFonts w:ascii="Times New Roman" w:eastAsia="Times New Roman" w:hAnsi="Times New Roman" w:cs="Times New Roman"/>
                <w:kern w:val="1"/>
                <w:lang w:eastAsia="ar-SA"/>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029FF131"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CF4A251"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p>
        </w:tc>
      </w:tr>
      <w:tr w:rsidR="00CB6566" w:rsidRPr="00CB6566" w14:paraId="3E85B7AD" w14:textId="77777777" w:rsidTr="00A04A49">
        <w:trPr>
          <w:trHeight w:val="340"/>
        </w:trPr>
        <w:tc>
          <w:tcPr>
            <w:tcW w:w="211" w:type="pct"/>
            <w:vAlign w:val="center"/>
          </w:tcPr>
          <w:p w14:paraId="0F210BFA" w14:textId="77777777" w:rsidR="00CB6566" w:rsidRPr="00CB6566" w:rsidRDefault="00CB6566" w:rsidP="00CB6566">
            <w:pPr>
              <w:suppressAutoHyphens/>
              <w:spacing w:after="0" w:line="240" w:lineRule="auto"/>
              <w:jc w:val="center"/>
              <w:rPr>
                <w:rFonts w:ascii="Times New Roman" w:eastAsia="Times New Roman" w:hAnsi="Times New Roman" w:cs="Times New Roman"/>
                <w:b/>
                <w:kern w:val="1"/>
                <w:lang w:eastAsia="ar-SA"/>
              </w:rPr>
            </w:pPr>
            <w:r w:rsidRPr="00CB6566">
              <w:rPr>
                <w:rFonts w:ascii="Times New Roman" w:eastAsia="Times New Roman" w:hAnsi="Times New Roman" w:cs="Times New Roman"/>
                <w:b/>
                <w:kern w:val="1"/>
                <w:lang w:eastAsia="ar-SA"/>
              </w:rPr>
              <w:t>5</w:t>
            </w:r>
          </w:p>
        </w:tc>
        <w:tc>
          <w:tcPr>
            <w:tcW w:w="1458" w:type="pct"/>
            <w:vAlign w:val="center"/>
          </w:tcPr>
          <w:p w14:paraId="01D52075"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Требования к порядку отгрузки, поставки товара</w:t>
            </w:r>
          </w:p>
        </w:tc>
        <w:tc>
          <w:tcPr>
            <w:tcW w:w="3331" w:type="pct"/>
            <w:vAlign w:val="center"/>
          </w:tcPr>
          <w:p w14:paraId="684AE98A" w14:textId="77777777" w:rsidR="00CB6566" w:rsidRPr="00CB6566" w:rsidRDefault="00CB6566" w:rsidP="00CB6566">
            <w:pPr>
              <w:suppressAutoHyphens/>
              <w:spacing w:after="0" w:line="240" w:lineRule="auto"/>
              <w:ind w:firstLine="540"/>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 xml:space="preserve">Товар Заказчику поставляется партиями в соответствии с условиями Контракта. Количество Товара в каждой партии определяется на основании Заявки Заказчика. Заказчик направляет Заявки в пределах срока, установленного пунктом </w:t>
            </w:r>
            <w:r w:rsidRPr="00CB6566">
              <w:rPr>
                <w:rFonts w:ascii="Times New Roman" w:eastAsia="Times New Roman" w:hAnsi="Times New Roman" w:cs="Times New Roman"/>
                <w:kern w:val="1"/>
                <w:lang w:eastAsia="ar-SA"/>
              </w:rPr>
              <w:lastRenderedPageBreak/>
              <w:t>Контракта. При этом направление Заявок за пределами срока, установленного пунктом, не допускается. Поставка Товара на основании не подписанной Заказчиком Заявки не допускается.</w:t>
            </w:r>
          </w:p>
          <w:p w14:paraId="1CEE4674" w14:textId="77777777" w:rsidR="00CB6566" w:rsidRPr="00CB6566" w:rsidRDefault="00CB6566" w:rsidP="00CB6566">
            <w:pPr>
              <w:suppressAutoHyphens/>
              <w:spacing w:after="0" w:line="240" w:lineRule="auto"/>
              <w:ind w:firstLine="540"/>
              <w:jc w:val="both"/>
              <w:rPr>
                <w:rFonts w:ascii="Times New Roman" w:eastAsia="Times New Roman" w:hAnsi="Times New Roman" w:cs="Times New Roman"/>
                <w:bCs/>
                <w:kern w:val="1"/>
                <w:lang w:eastAsia="ar-SA"/>
              </w:rPr>
            </w:pPr>
            <w:r w:rsidRPr="00CB6566">
              <w:rPr>
                <w:rFonts w:ascii="Times New Roman" w:eastAsia="Times New Roman" w:hAnsi="Times New Roman" w:cs="Times New Roman"/>
                <w:b/>
                <w:bCs/>
                <w:kern w:val="1"/>
                <w:lang w:eastAsia="ar-SA"/>
              </w:rPr>
              <w:t>Заявки в адрес Поставщика направляются по адресу электронной почты.</w:t>
            </w:r>
            <w:r w:rsidRPr="00CB6566">
              <w:rPr>
                <w:rFonts w:ascii="Times New Roman" w:eastAsia="Times New Roman" w:hAnsi="Times New Roman" w:cs="Times New Roman"/>
                <w:bCs/>
                <w:kern w:val="1"/>
                <w:lang w:eastAsia="ar-SA"/>
              </w:rPr>
              <w:t xml:space="preserve"> Все заявки, отправленные Заказчиком с адресов электронной почты Заказчика с доменным именем @fgbucr.ru по вышеуказанному адресу электронной почты Поставщика, признаются направленными уполномоченными лицами Заказчика и надлежащим образом.</w:t>
            </w:r>
          </w:p>
          <w:p w14:paraId="7C118928" w14:textId="77777777" w:rsidR="00CB6566" w:rsidRPr="00CB6566" w:rsidRDefault="00CB6566" w:rsidP="00CB6566">
            <w:pPr>
              <w:suppressAutoHyphens/>
              <w:spacing w:after="0" w:line="240" w:lineRule="auto"/>
              <w:ind w:firstLine="540"/>
              <w:jc w:val="both"/>
              <w:rPr>
                <w:rFonts w:ascii="Times New Roman" w:eastAsia="Times New Roman" w:hAnsi="Times New Roman" w:cs="Times New Roman"/>
                <w:bCs/>
                <w:kern w:val="1"/>
                <w:lang w:eastAsia="ar-SA"/>
              </w:rPr>
            </w:pPr>
            <w:r w:rsidRPr="00CB6566">
              <w:rPr>
                <w:rFonts w:ascii="Times New Roman" w:eastAsia="Times New Roman" w:hAnsi="Times New Roman" w:cs="Times New Roman"/>
                <w:bCs/>
                <w:kern w:val="1"/>
                <w:lang w:eastAsia="ar-SA"/>
              </w:rPr>
              <w:t>Датой передачи заявки считается день отправления сообщения по электронной почте. Ответственность за получение заявок, за факты подтверждения получения Поставщиком вышеуказанным способом лежит на Поставщике. Заказчик не несет ответственности за задержку доставки заявки, если такая задержка явилась результатом неисправности систем связи, действия/бездействия Поставщика или/и его провайдеров или иных форс-мажорных обстоятельств.</w:t>
            </w:r>
          </w:p>
          <w:p w14:paraId="47C7CC80" w14:textId="77777777" w:rsidR="00CB6566" w:rsidRPr="00CB6566" w:rsidRDefault="00CB6566" w:rsidP="00CB6566">
            <w:pPr>
              <w:suppressAutoHyphens/>
              <w:spacing w:after="0" w:line="240" w:lineRule="auto"/>
              <w:ind w:firstLine="540"/>
              <w:jc w:val="both"/>
              <w:rPr>
                <w:rFonts w:ascii="Times New Roman" w:eastAsia="Times New Roman" w:hAnsi="Times New Roman" w:cs="Times New Roman"/>
                <w:bCs/>
                <w:kern w:val="1"/>
                <w:lang w:eastAsia="ar-SA"/>
              </w:rPr>
            </w:pPr>
            <w:r w:rsidRPr="00CB6566">
              <w:rPr>
                <w:rFonts w:ascii="Times New Roman" w:eastAsia="Times New Roman" w:hAnsi="Times New Roman" w:cs="Times New Roman"/>
                <w:bCs/>
                <w:kern w:val="1"/>
                <w:lang w:eastAsia="ar-SA"/>
              </w:rPr>
              <w:t>В случае возникновения спора между Сторонами о действительности заявок, направленных вышеуказанным способом, или о направлении заявки неуполномоченным лицом Заказчика доказывание таких обстоятельств осуществляет Поставщик.</w:t>
            </w:r>
          </w:p>
          <w:p w14:paraId="56FD25D6" w14:textId="77777777" w:rsidR="00CB6566" w:rsidRPr="00CB6566" w:rsidRDefault="00CB6566" w:rsidP="00CB6566">
            <w:pPr>
              <w:suppressAutoHyphens/>
              <w:spacing w:after="0" w:line="240" w:lineRule="auto"/>
              <w:ind w:firstLine="540"/>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Порядок определения количества поставляемого Товара на основании Заявок Заказчика включает в себя учет объемов поставляемых по Заявкам Товаров (позиций Товаров) исходя из определения такого объема как частное от деления максимальной цены Контракта (максимальной цены позиции Товара, указанной в Приложении N 1 к Контракту),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превышать максимальную цену Контракта с учетом распределения по позициям Товара (при их наличии), указанного в Приложении N 1 к Контракту.</w:t>
            </w:r>
          </w:p>
          <w:p w14:paraId="48A16CB1" w14:textId="77777777" w:rsidR="00CB6566" w:rsidRPr="00CB6566" w:rsidRDefault="00CB6566" w:rsidP="00CB6566">
            <w:pPr>
              <w:suppressAutoHyphens/>
              <w:spacing w:after="0" w:line="240" w:lineRule="auto"/>
              <w:ind w:firstLine="540"/>
              <w:jc w:val="both"/>
              <w:rPr>
                <w:rFonts w:ascii="Times New Roman" w:eastAsia="Times New Roman" w:hAnsi="Times New Roman" w:cs="Times New Roman"/>
                <w:b/>
                <w:kern w:val="1"/>
                <w:lang w:eastAsia="ar-SA"/>
              </w:rPr>
            </w:pPr>
            <w:r w:rsidRPr="00CB6566">
              <w:rPr>
                <w:rFonts w:ascii="Times New Roman" w:eastAsia="Times New Roman" w:hAnsi="Times New Roman" w:cs="Times New Roman"/>
                <w:b/>
                <w:kern w:val="1"/>
                <w:lang w:eastAsia="ar-SA"/>
              </w:rPr>
              <w:t>Заявка направляется Заказчиком не позднее чем за 1 (один) календарный день до предполагаемой поставки товара в пределах срока, а именно с с даты заключения Контракта по 14.12.2026 г. включительно.</w:t>
            </w:r>
          </w:p>
          <w:p w14:paraId="73D395FE" w14:textId="77777777" w:rsidR="00CB6566" w:rsidRPr="00CB6566" w:rsidRDefault="00CB6566" w:rsidP="00CB6566">
            <w:pPr>
              <w:suppressAutoHyphens/>
              <w:spacing w:after="0" w:line="240" w:lineRule="auto"/>
              <w:ind w:firstLine="540"/>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Поставка по Заявкам осуществляется в течение 1 календарного дня со дня отправки Заявки Заказчиком.</w:t>
            </w:r>
          </w:p>
          <w:p w14:paraId="172E2D5C" w14:textId="77777777" w:rsidR="00CB6566" w:rsidRPr="00CB6566" w:rsidRDefault="00CB6566" w:rsidP="00CB6566">
            <w:pPr>
              <w:suppressAutoHyphens/>
              <w:spacing w:after="0" w:line="240" w:lineRule="auto"/>
              <w:ind w:firstLine="540"/>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 xml:space="preserve">В день доставки Товара </w:t>
            </w:r>
            <w:r w:rsidRPr="00CB6566">
              <w:rPr>
                <w:rFonts w:ascii="Times New Roman" w:eastAsia="Times New Roman" w:hAnsi="Times New Roman" w:cs="Times New Roman"/>
                <w:bCs/>
                <w:kern w:val="1"/>
                <w:lang w:eastAsia="ar-SA"/>
              </w:rPr>
              <w:t>по адресу поставки Товара, указанному в соответствии с условиями Контракта, Поставщик обязан передать Заказчику подписанные со своей стороны, оформленную в установленном порядке на бумажном носителе товарную накладную по форме № ТОРГ-12 в 2 (двух) экземплярах (по 1 (одному) экземпляру для каждой из Сторон), а</w:t>
            </w:r>
            <w:r w:rsidRPr="00CB6566">
              <w:rPr>
                <w:rFonts w:ascii="Times New Roman" w:eastAsia="Times New Roman" w:hAnsi="Times New Roman" w:cs="Times New Roman"/>
                <w:kern w:val="1"/>
                <w:lang w:eastAsia="ar-SA"/>
              </w:rPr>
              <w:t xml:space="preserve"> Заказчик осуществить приемку Товара по количеству упаковок Товара, комплекту, явным видимым повреждениям упаковки и качеству Товара.</w:t>
            </w:r>
          </w:p>
          <w:p w14:paraId="618ECE1A"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br/>
            </w:r>
          </w:p>
        </w:tc>
      </w:tr>
      <w:tr w:rsidR="00CB6566" w:rsidRPr="00CB6566" w14:paraId="7275B4A9" w14:textId="77777777" w:rsidTr="00A04A49">
        <w:trPr>
          <w:trHeight w:val="340"/>
        </w:trPr>
        <w:tc>
          <w:tcPr>
            <w:tcW w:w="211" w:type="pct"/>
            <w:vAlign w:val="center"/>
          </w:tcPr>
          <w:p w14:paraId="2AE447D5" w14:textId="77777777" w:rsidR="00CB6566" w:rsidRPr="00CB6566" w:rsidRDefault="00CB6566" w:rsidP="00CB6566">
            <w:pPr>
              <w:suppressAutoHyphens/>
              <w:spacing w:after="0" w:line="240" w:lineRule="auto"/>
              <w:jc w:val="center"/>
              <w:rPr>
                <w:rFonts w:ascii="Times New Roman" w:eastAsia="Times New Roman" w:hAnsi="Times New Roman" w:cs="Times New Roman"/>
                <w:b/>
                <w:kern w:val="1"/>
                <w:lang w:eastAsia="ar-SA"/>
              </w:rPr>
            </w:pPr>
            <w:r w:rsidRPr="00CB6566">
              <w:rPr>
                <w:rFonts w:ascii="Times New Roman" w:eastAsia="Times New Roman" w:hAnsi="Times New Roman" w:cs="Times New Roman"/>
                <w:b/>
                <w:kern w:val="1"/>
                <w:lang w:eastAsia="ar-SA"/>
              </w:rPr>
              <w:lastRenderedPageBreak/>
              <w:t>6</w:t>
            </w:r>
          </w:p>
        </w:tc>
        <w:tc>
          <w:tcPr>
            <w:tcW w:w="1458" w:type="pct"/>
            <w:vAlign w:val="center"/>
          </w:tcPr>
          <w:p w14:paraId="12A48402"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Требования к гарантийному сроку товара, работы, услуги и (или) объему предоставления гарантий их качества</w:t>
            </w:r>
          </w:p>
        </w:tc>
        <w:tc>
          <w:tcPr>
            <w:tcW w:w="3331" w:type="pct"/>
            <w:vAlign w:val="center"/>
          </w:tcPr>
          <w:p w14:paraId="4C68FB18"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Остаточный срок годности товара на момент поставки должен составлять не менее срока, указанного в описании объекта закупки.</w:t>
            </w:r>
          </w:p>
        </w:tc>
      </w:tr>
      <w:tr w:rsidR="00CB6566" w:rsidRPr="00CB6566" w14:paraId="503AAE6E" w14:textId="77777777" w:rsidTr="00A04A49">
        <w:trPr>
          <w:trHeight w:val="340"/>
        </w:trPr>
        <w:tc>
          <w:tcPr>
            <w:tcW w:w="211" w:type="pct"/>
            <w:vAlign w:val="center"/>
          </w:tcPr>
          <w:p w14:paraId="28A0BBA5" w14:textId="77777777" w:rsidR="00CB6566" w:rsidRPr="00CB6566" w:rsidRDefault="00CB6566" w:rsidP="00CB6566">
            <w:pPr>
              <w:suppressAutoHyphens/>
              <w:spacing w:after="0" w:line="240" w:lineRule="auto"/>
              <w:jc w:val="center"/>
              <w:rPr>
                <w:rFonts w:ascii="Times New Roman" w:eastAsia="Times New Roman" w:hAnsi="Times New Roman" w:cs="Times New Roman"/>
                <w:b/>
                <w:kern w:val="1"/>
                <w:lang w:eastAsia="ar-SA"/>
              </w:rPr>
            </w:pPr>
            <w:r w:rsidRPr="00CB6566">
              <w:rPr>
                <w:rFonts w:ascii="Times New Roman" w:eastAsia="Times New Roman" w:hAnsi="Times New Roman" w:cs="Times New Roman"/>
                <w:b/>
                <w:kern w:val="1"/>
                <w:lang w:eastAsia="ar-SA"/>
              </w:rPr>
              <w:lastRenderedPageBreak/>
              <w:t>7</w:t>
            </w:r>
          </w:p>
        </w:tc>
        <w:tc>
          <w:tcPr>
            <w:tcW w:w="1458" w:type="pct"/>
            <w:vAlign w:val="center"/>
          </w:tcPr>
          <w:p w14:paraId="394B7359" w14:textId="77777777" w:rsidR="00CB6566" w:rsidRPr="00CB6566" w:rsidRDefault="00CB6566" w:rsidP="00CB6566">
            <w:pPr>
              <w:suppressAutoHyphens/>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Документы, подтверждающие соответствие товара, работы, услуги требованиям, установленным в соответствии с законодательством РФ</w:t>
            </w:r>
          </w:p>
        </w:tc>
        <w:tc>
          <w:tcPr>
            <w:tcW w:w="3331" w:type="pct"/>
            <w:vAlign w:val="center"/>
          </w:tcPr>
          <w:p w14:paraId="1E94DEF9" w14:textId="77777777" w:rsidR="00CB6566" w:rsidRPr="00CB6566" w:rsidRDefault="00CB6566" w:rsidP="00CB6566">
            <w:pPr>
              <w:suppressAutoHyphens/>
              <w:spacing w:after="0" w:line="240" w:lineRule="auto"/>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Сертификат соответствия / Декларация о соответствии</w:t>
            </w:r>
          </w:p>
        </w:tc>
      </w:tr>
      <w:tr w:rsidR="00CB6566" w:rsidRPr="00CB6566" w14:paraId="65AD8DE7" w14:textId="77777777" w:rsidTr="00A04A49">
        <w:trPr>
          <w:trHeight w:val="340"/>
        </w:trPr>
        <w:tc>
          <w:tcPr>
            <w:tcW w:w="211" w:type="pct"/>
            <w:vAlign w:val="center"/>
          </w:tcPr>
          <w:p w14:paraId="76427FBC" w14:textId="77777777" w:rsidR="00CB6566" w:rsidRPr="00CB6566" w:rsidRDefault="00CB6566" w:rsidP="00CB6566">
            <w:pPr>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CB6566">
              <w:rPr>
                <w:rFonts w:ascii="Times New Roman" w:eastAsia="Times New Roman" w:hAnsi="Times New Roman" w:cs="Times New Roman"/>
                <w:b/>
                <w:kern w:val="1"/>
                <w:lang w:eastAsia="ar-SA"/>
              </w:rPr>
              <w:t>8</w:t>
            </w:r>
          </w:p>
        </w:tc>
        <w:tc>
          <w:tcPr>
            <w:tcW w:w="1458" w:type="pct"/>
            <w:vAlign w:val="center"/>
          </w:tcPr>
          <w:p w14:paraId="702B3DF7" w14:textId="77777777" w:rsidR="00CB6566" w:rsidRPr="00CB6566" w:rsidRDefault="00CB6566" w:rsidP="00CB6566">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CB6566">
              <w:rPr>
                <w:rFonts w:ascii="Times New Roman" w:eastAsia="Times New Roman" w:hAnsi="Times New Roman" w:cs="Times New Roman"/>
                <w:kern w:val="1"/>
                <w:lang w:eastAsia="ar-SA"/>
              </w:rPr>
              <w:t>Документы, подтверждающие соответствие участника закупки требованиям, устанавливаемым в соответствии с законодательством РФ к лицам, осуществляющим поставки товаров, выполнение работ, оказание услуг, являющихся предметом закупки</w:t>
            </w:r>
          </w:p>
        </w:tc>
        <w:tc>
          <w:tcPr>
            <w:tcW w:w="3331" w:type="pct"/>
            <w:vAlign w:val="center"/>
          </w:tcPr>
          <w:p w14:paraId="45F51182" w14:textId="77777777" w:rsidR="00CB6566" w:rsidRPr="00CB6566" w:rsidRDefault="00CB6566" w:rsidP="00CB6566">
            <w:pPr>
              <w:suppressAutoHyphens/>
              <w:spacing w:after="0" w:line="240" w:lineRule="auto"/>
              <w:rPr>
                <w:rFonts w:ascii="Times New Roman" w:eastAsia="Times New Roman" w:hAnsi="Times New Roman" w:cs="Times New Roman"/>
                <w:kern w:val="1"/>
                <w:lang w:eastAsia="ar-SA"/>
              </w:rPr>
            </w:pPr>
          </w:p>
        </w:tc>
      </w:tr>
    </w:tbl>
    <w:p w14:paraId="4E29C36A" w14:textId="77777777" w:rsidR="00CB6566" w:rsidRPr="00CB6566" w:rsidRDefault="00CB6566" w:rsidP="00CB6566">
      <w:pPr>
        <w:spacing w:after="0" w:line="240" w:lineRule="auto"/>
        <w:jc w:val="center"/>
        <w:rPr>
          <w:rFonts w:ascii="Times New Roman" w:eastAsia="Times New Roman" w:hAnsi="Times New Roman" w:cs="Times New Roman"/>
          <w:lang w:eastAsia="ru-RU"/>
        </w:rPr>
      </w:pPr>
    </w:p>
    <w:p w14:paraId="333A93F3" w14:textId="77777777" w:rsidR="00CB6566" w:rsidRPr="00CB6566" w:rsidRDefault="00CB6566" w:rsidP="00CB6566">
      <w:pPr>
        <w:spacing w:after="0" w:line="240" w:lineRule="auto"/>
        <w:jc w:val="center"/>
        <w:rPr>
          <w:rFonts w:ascii="Times New Roman" w:eastAsia="Times New Roman" w:hAnsi="Times New Roman" w:cs="Times New Roman"/>
          <w:b/>
          <w:bCs/>
          <w:lang w:eastAsia="ru-RU"/>
        </w:rPr>
      </w:pPr>
      <w:r w:rsidRPr="00CB6566">
        <w:rPr>
          <w:rFonts w:ascii="Times New Roman" w:eastAsia="Times New Roman" w:hAnsi="Times New Roman" w:cs="Times New Roman"/>
          <w:b/>
          <w:bCs/>
          <w:lang w:eastAsia="ru-RU"/>
        </w:rPr>
        <w:t>Требования к качественным, техническим и функциональным характеристикам (потребительским свойствам) товаров, требования к их безопасности, упаковке и транспортировке</w:t>
      </w:r>
    </w:p>
    <w:p w14:paraId="694A8DF8" w14:textId="77777777" w:rsidR="00CB6566" w:rsidRPr="00CB6566" w:rsidRDefault="00CB6566" w:rsidP="00CB6566">
      <w:pPr>
        <w:spacing w:after="0" w:line="240" w:lineRule="auto"/>
        <w:rPr>
          <w:rFonts w:ascii="Arial Unicode MS" w:eastAsia="Arial Unicode MS" w:hAnsi="Arial Unicode MS" w:cs="Arial Unicode MS"/>
          <w:b/>
          <w:bCs/>
          <w:color w:val="000000"/>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590"/>
        <w:gridCol w:w="1445"/>
        <w:gridCol w:w="2899"/>
        <w:gridCol w:w="1696"/>
        <w:gridCol w:w="1202"/>
      </w:tblGrid>
      <w:tr w:rsidR="00CB6566" w:rsidRPr="00CB6566" w14:paraId="40A682F0" w14:textId="77777777" w:rsidTr="00A04A49">
        <w:trPr>
          <w:trHeight w:val="416"/>
          <w:jc w:val="center"/>
        </w:trPr>
        <w:tc>
          <w:tcPr>
            <w:tcW w:w="213" w:type="pct"/>
            <w:vAlign w:val="center"/>
          </w:tcPr>
          <w:p w14:paraId="6C3541E0"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 п/п</w:t>
            </w:r>
          </w:p>
        </w:tc>
        <w:tc>
          <w:tcPr>
            <w:tcW w:w="673" w:type="pct"/>
            <w:vAlign w:val="center"/>
          </w:tcPr>
          <w:p w14:paraId="522D25F6"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Наименование товара</w:t>
            </w:r>
          </w:p>
        </w:tc>
        <w:tc>
          <w:tcPr>
            <w:tcW w:w="745" w:type="pct"/>
            <w:vAlign w:val="center"/>
          </w:tcPr>
          <w:p w14:paraId="29162450"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Позиция КТРУ</w:t>
            </w:r>
          </w:p>
        </w:tc>
        <w:tc>
          <w:tcPr>
            <w:tcW w:w="1808" w:type="pct"/>
            <w:vAlign w:val="center"/>
          </w:tcPr>
          <w:p w14:paraId="517BD1A6"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Наименование характеристики</w:t>
            </w:r>
          </w:p>
        </w:tc>
        <w:tc>
          <w:tcPr>
            <w:tcW w:w="1090" w:type="pct"/>
            <w:vAlign w:val="center"/>
          </w:tcPr>
          <w:p w14:paraId="1626BD2D"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Значение характеристики</w:t>
            </w:r>
          </w:p>
        </w:tc>
        <w:tc>
          <w:tcPr>
            <w:tcW w:w="470" w:type="pct"/>
          </w:tcPr>
          <w:p w14:paraId="67342217"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 xml:space="preserve">Единица измерения </w:t>
            </w:r>
          </w:p>
          <w:p w14:paraId="560CB5C7"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p>
        </w:tc>
      </w:tr>
      <w:tr w:rsidR="00CB6566" w:rsidRPr="00CB6566" w14:paraId="59162FD1" w14:textId="77777777" w:rsidTr="00A04A49">
        <w:trPr>
          <w:trHeight w:val="416"/>
          <w:jc w:val="center"/>
        </w:trPr>
        <w:tc>
          <w:tcPr>
            <w:tcW w:w="213" w:type="pct"/>
            <w:vMerge w:val="restart"/>
            <w:vAlign w:val="center"/>
            <w:hideMark/>
          </w:tcPr>
          <w:p w14:paraId="4EF9FD64"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1</w:t>
            </w:r>
          </w:p>
        </w:tc>
        <w:tc>
          <w:tcPr>
            <w:tcW w:w="673" w:type="pct"/>
            <w:vMerge w:val="restart"/>
            <w:vAlign w:val="center"/>
            <w:hideMark/>
          </w:tcPr>
          <w:p w14:paraId="677AB4C0"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Изделия макаронные</w:t>
            </w:r>
          </w:p>
        </w:tc>
        <w:tc>
          <w:tcPr>
            <w:tcW w:w="745" w:type="pct"/>
            <w:vMerge w:val="restart"/>
            <w:vAlign w:val="center"/>
            <w:hideMark/>
          </w:tcPr>
          <w:p w14:paraId="69751844" w14:textId="14481B3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10.73.11.000-000000</w:t>
            </w:r>
            <w:r w:rsidR="009F3A0B">
              <w:rPr>
                <w:rFonts w:ascii="Times New Roman" w:eastAsia="Times New Roman" w:hAnsi="Times New Roman" w:cs="Times New Roman"/>
                <w:color w:val="000000"/>
                <w:lang w:eastAsia="ru-RU"/>
              </w:rPr>
              <w:t>12</w:t>
            </w:r>
          </w:p>
        </w:tc>
        <w:tc>
          <w:tcPr>
            <w:tcW w:w="1808" w:type="pct"/>
            <w:vAlign w:val="center"/>
            <w:hideMark/>
          </w:tcPr>
          <w:p w14:paraId="4C30E5D5"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Вид изделия макаронного</w:t>
            </w:r>
          </w:p>
        </w:tc>
        <w:tc>
          <w:tcPr>
            <w:tcW w:w="1090" w:type="pct"/>
            <w:vAlign w:val="center"/>
            <w:hideMark/>
          </w:tcPr>
          <w:p w14:paraId="0AEE0342"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Изделие макаронное фигурное</w:t>
            </w:r>
          </w:p>
        </w:tc>
        <w:tc>
          <w:tcPr>
            <w:tcW w:w="470" w:type="pct"/>
            <w:vMerge w:val="restart"/>
            <w:vAlign w:val="center"/>
          </w:tcPr>
          <w:p w14:paraId="67FFBD83"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кг</w:t>
            </w:r>
          </w:p>
        </w:tc>
      </w:tr>
      <w:tr w:rsidR="00CB6566" w:rsidRPr="00CB6566" w14:paraId="644DC8BD" w14:textId="77777777" w:rsidTr="00A04A49">
        <w:trPr>
          <w:trHeight w:val="420"/>
          <w:jc w:val="center"/>
        </w:trPr>
        <w:tc>
          <w:tcPr>
            <w:tcW w:w="213" w:type="pct"/>
            <w:vMerge/>
            <w:vAlign w:val="center"/>
            <w:hideMark/>
          </w:tcPr>
          <w:p w14:paraId="43354DFA"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673" w:type="pct"/>
            <w:vMerge/>
            <w:vAlign w:val="center"/>
            <w:hideMark/>
          </w:tcPr>
          <w:p w14:paraId="6EFD3C9F"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745" w:type="pct"/>
            <w:vMerge/>
            <w:vAlign w:val="center"/>
            <w:hideMark/>
          </w:tcPr>
          <w:p w14:paraId="040B8093"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1808" w:type="pct"/>
            <w:vAlign w:val="center"/>
            <w:hideMark/>
          </w:tcPr>
          <w:p w14:paraId="48502E97"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Вид сырья</w:t>
            </w:r>
          </w:p>
        </w:tc>
        <w:tc>
          <w:tcPr>
            <w:tcW w:w="1090" w:type="pct"/>
            <w:vAlign w:val="center"/>
            <w:hideMark/>
          </w:tcPr>
          <w:p w14:paraId="4718309F"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Пшеничная мука</w:t>
            </w:r>
          </w:p>
        </w:tc>
        <w:tc>
          <w:tcPr>
            <w:tcW w:w="470" w:type="pct"/>
            <w:vMerge/>
            <w:vAlign w:val="center"/>
          </w:tcPr>
          <w:p w14:paraId="060E0E78"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p>
        </w:tc>
      </w:tr>
      <w:tr w:rsidR="00CB6566" w:rsidRPr="00CB6566" w14:paraId="4EB79914" w14:textId="77777777" w:rsidTr="00A04A49">
        <w:trPr>
          <w:trHeight w:val="412"/>
          <w:jc w:val="center"/>
        </w:trPr>
        <w:tc>
          <w:tcPr>
            <w:tcW w:w="213" w:type="pct"/>
            <w:vMerge/>
            <w:vAlign w:val="center"/>
            <w:hideMark/>
          </w:tcPr>
          <w:p w14:paraId="171AEEE0"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673" w:type="pct"/>
            <w:vMerge/>
            <w:vAlign w:val="center"/>
            <w:hideMark/>
          </w:tcPr>
          <w:p w14:paraId="7F4AD6A5"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745" w:type="pct"/>
            <w:vMerge/>
            <w:vAlign w:val="center"/>
            <w:hideMark/>
          </w:tcPr>
          <w:p w14:paraId="75197EE2"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1808" w:type="pct"/>
            <w:vAlign w:val="center"/>
            <w:hideMark/>
          </w:tcPr>
          <w:p w14:paraId="6E25A98C"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Группа макаронных изделий из пшеничной муки</w:t>
            </w:r>
          </w:p>
        </w:tc>
        <w:tc>
          <w:tcPr>
            <w:tcW w:w="1090" w:type="pct"/>
            <w:vAlign w:val="center"/>
            <w:hideMark/>
          </w:tcPr>
          <w:p w14:paraId="35E64D08"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А</w:t>
            </w:r>
          </w:p>
        </w:tc>
        <w:tc>
          <w:tcPr>
            <w:tcW w:w="470" w:type="pct"/>
            <w:vMerge/>
            <w:vAlign w:val="center"/>
          </w:tcPr>
          <w:p w14:paraId="5F25F868"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p>
        </w:tc>
      </w:tr>
      <w:tr w:rsidR="00CB6566" w:rsidRPr="00CB6566" w14:paraId="736E23EB" w14:textId="77777777" w:rsidTr="00A04A49">
        <w:trPr>
          <w:trHeight w:val="461"/>
          <w:jc w:val="center"/>
        </w:trPr>
        <w:tc>
          <w:tcPr>
            <w:tcW w:w="213" w:type="pct"/>
            <w:vMerge/>
            <w:vAlign w:val="center"/>
            <w:hideMark/>
          </w:tcPr>
          <w:p w14:paraId="7478724C"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673" w:type="pct"/>
            <w:vMerge/>
            <w:vAlign w:val="center"/>
            <w:hideMark/>
          </w:tcPr>
          <w:p w14:paraId="4BC5CC3D"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745" w:type="pct"/>
            <w:vMerge/>
            <w:vAlign w:val="center"/>
            <w:hideMark/>
          </w:tcPr>
          <w:p w14:paraId="7E391919"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1808" w:type="pct"/>
            <w:vAlign w:val="center"/>
            <w:hideMark/>
          </w:tcPr>
          <w:p w14:paraId="6F84C539"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Сорт макаронных изделий из пшеничной муки</w:t>
            </w:r>
          </w:p>
        </w:tc>
        <w:tc>
          <w:tcPr>
            <w:tcW w:w="1090" w:type="pct"/>
            <w:vAlign w:val="center"/>
            <w:hideMark/>
          </w:tcPr>
          <w:p w14:paraId="538F0056"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Высший</w:t>
            </w:r>
          </w:p>
        </w:tc>
        <w:tc>
          <w:tcPr>
            <w:tcW w:w="470" w:type="pct"/>
            <w:vMerge/>
            <w:vAlign w:val="center"/>
          </w:tcPr>
          <w:p w14:paraId="300CBAFC"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p>
        </w:tc>
      </w:tr>
      <w:tr w:rsidR="00CB6566" w:rsidRPr="00CB6566" w14:paraId="4B218733" w14:textId="77777777" w:rsidTr="00A04A49">
        <w:trPr>
          <w:trHeight w:val="369"/>
          <w:jc w:val="center"/>
        </w:trPr>
        <w:tc>
          <w:tcPr>
            <w:tcW w:w="213" w:type="pct"/>
            <w:vMerge/>
            <w:vAlign w:val="center"/>
            <w:hideMark/>
          </w:tcPr>
          <w:p w14:paraId="6364EE6C"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673" w:type="pct"/>
            <w:vMerge/>
            <w:vAlign w:val="center"/>
            <w:hideMark/>
          </w:tcPr>
          <w:p w14:paraId="321B8F69"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745" w:type="pct"/>
            <w:vMerge/>
            <w:vAlign w:val="center"/>
            <w:hideMark/>
          </w:tcPr>
          <w:p w14:paraId="66597161"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1808" w:type="pct"/>
            <w:vAlign w:val="center"/>
            <w:hideMark/>
          </w:tcPr>
          <w:p w14:paraId="105F85F6"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Изделие быстрого приготовления</w:t>
            </w:r>
          </w:p>
        </w:tc>
        <w:tc>
          <w:tcPr>
            <w:tcW w:w="1090" w:type="pct"/>
            <w:vAlign w:val="center"/>
            <w:hideMark/>
          </w:tcPr>
          <w:p w14:paraId="3BA2DB2D"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Нет</w:t>
            </w:r>
          </w:p>
        </w:tc>
        <w:tc>
          <w:tcPr>
            <w:tcW w:w="470" w:type="pct"/>
            <w:vMerge/>
            <w:vAlign w:val="center"/>
          </w:tcPr>
          <w:p w14:paraId="71BF18A6"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p>
        </w:tc>
      </w:tr>
      <w:tr w:rsidR="00CB6566" w:rsidRPr="00CB6566" w14:paraId="3CE920A6" w14:textId="77777777" w:rsidTr="00A04A49">
        <w:trPr>
          <w:trHeight w:val="210"/>
          <w:jc w:val="center"/>
        </w:trPr>
        <w:tc>
          <w:tcPr>
            <w:tcW w:w="213" w:type="pct"/>
            <w:vMerge w:val="restart"/>
            <w:vAlign w:val="center"/>
          </w:tcPr>
          <w:p w14:paraId="604C82C5"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2</w:t>
            </w:r>
          </w:p>
        </w:tc>
        <w:tc>
          <w:tcPr>
            <w:tcW w:w="673" w:type="pct"/>
            <w:vMerge w:val="restart"/>
            <w:vAlign w:val="center"/>
          </w:tcPr>
          <w:p w14:paraId="7241B833"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Пшено</w:t>
            </w:r>
          </w:p>
        </w:tc>
        <w:tc>
          <w:tcPr>
            <w:tcW w:w="745" w:type="pct"/>
            <w:vMerge w:val="restart"/>
            <w:vAlign w:val="center"/>
          </w:tcPr>
          <w:p w14:paraId="5E44674C"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10.61.32.114-00000004</w:t>
            </w:r>
          </w:p>
        </w:tc>
        <w:tc>
          <w:tcPr>
            <w:tcW w:w="1808" w:type="pct"/>
            <w:tcBorders>
              <w:top w:val="single" w:sz="4" w:space="0" w:color="auto"/>
              <w:left w:val="single" w:sz="4" w:space="0" w:color="auto"/>
              <w:bottom w:val="single" w:sz="4" w:space="0" w:color="auto"/>
              <w:right w:val="single" w:sz="4" w:space="0" w:color="auto"/>
            </w:tcBorders>
            <w:shd w:val="clear" w:color="000000" w:fill="FFFFFF"/>
            <w:vAlign w:val="center"/>
          </w:tcPr>
          <w:p w14:paraId="013BC8AC" w14:textId="77777777" w:rsidR="00CB6566" w:rsidRPr="00CB6566" w:rsidRDefault="00CB6566" w:rsidP="00CB6566">
            <w:pPr>
              <w:suppressAutoHyphens/>
              <w:spacing w:after="0" w:line="240" w:lineRule="auto"/>
              <w:jc w:val="center"/>
              <w:rPr>
                <w:rFonts w:ascii="Times New Roman" w:eastAsia="Times New Roman" w:hAnsi="Times New Roman" w:cs="Times New Roman"/>
                <w:color w:val="000000"/>
                <w:kern w:val="1"/>
                <w:lang w:eastAsia="ar-SA"/>
              </w:rPr>
            </w:pPr>
            <w:r w:rsidRPr="00CB6566">
              <w:rPr>
                <w:rFonts w:ascii="Times New Roman" w:eastAsia="Times New Roman" w:hAnsi="Times New Roman" w:cs="Times New Roman"/>
                <w:color w:val="000000"/>
                <w:kern w:val="1"/>
                <w:lang w:eastAsia="ar-SA"/>
              </w:rPr>
              <w:t>Сорт</w:t>
            </w:r>
          </w:p>
        </w:tc>
        <w:tc>
          <w:tcPr>
            <w:tcW w:w="1090" w:type="pct"/>
            <w:tcBorders>
              <w:top w:val="single" w:sz="4" w:space="0" w:color="auto"/>
              <w:left w:val="single" w:sz="4" w:space="0" w:color="auto"/>
              <w:bottom w:val="single" w:sz="4" w:space="0" w:color="auto"/>
              <w:right w:val="single" w:sz="4" w:space="0" w:color="auto"/>
            </w:tcBorders>
            <w:shd w:val="clear" w:color="000000" w:fill="FFFFFF"/>
            <w:vAlign w:val="center"/>
          </w:tcPr>
          <w:p w14:paraId="6D8E1DD6" w14:textId="77777777" w:rsidR="00CB6566" w:rsidRPr="00CB6566" w:rsidRDefault="00CB6566" w:rsidP="00CB6566">
            <w:pPr>
              <w:suppressAutoHyphens/>
              <w:spacing w:after="0" w:line="240" w:lineRule="auto"/>
              <w:jc w:val="center"/>
              <w:rPr>
                <w:rFonts w:ascii="Times New Roman" w:eastAsia="Times New Roman" w:hAnsi="Times New Roman" w:cs="Times New Roman"/>
                <w:color w:val="000000"/>
                <w:kern w:val="1"/>
                <w:lang w:eastAsia="ar-SA"/>
              </w:rPr>
            </w:pPr>
            <w:r w:rsidRPr="00CB6566">
              <w:rPr>
                <w:rFonts w:ascii="Times New Roman" w:eastAsia="Times New Roman" w:hAnsi="Times New Roman" w:cs="Times New Roman"/>
                <w:color w:val="000000"/>
                <w:kern w:val="1"/>
                <w:sz w:val="24"/>
                <w:szCs w:val="24"/>
                <w:lang w:eastAsia="ar-SA"/>
              </w:rPr>
              <w:t>Высший</w:t>
            </w:r>
          </w:p>
        </w:tc>
        <w:tc>
          <w:tcPr>
            <w:tcW w:w="470" w:type="pct"/>
            <w:vMerge w:val="restart"/>
            <w:vAlign w:val="center"/>
          </w:tcPr>
          <w:p w14:paraId="001B9328"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r w:rsidRPr="00CB6566">
              <w:rPr>
                <w:rFonts w:ascii="Times New Roman" w:eastAsia="Times New Roman" w:hAnsi="Times New Roman" w:cs="Times New Roman"/>
                <w:color w:val="000000"/>
                <w:lang w:eastAsia="ru-RU"/>
              </w:rPr>
              <w:t>кг</w:t>
            </w:r>
          </w:p>
        </w:tc>
      </w:tr>
      <w:tr w:rsidR="00CB6566" w:rsidRPr="00CB6566" w14:paraId="4FB7ECC3" w14:textId="77777777" w:rsidTr="00A04A49">
        <w:trPr>
          <w:trHeight w:val="558"/>
          <w:jc w:val="center"/>
        </w:trPr>
        <w:tc>
          <w:tcPr>
            <w:tcW w:w="213" w:type="pct"/>
            <w:vMerge/>
            <w:vAlign w:val="center"/>
          </w:tcPr>
          <w:p w14:paraId="56966635"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673" w:type="pct"/>
            <w:vMerge/>
            <w:vAlign w:val="center"/>
          </w:tcPr>
          <w:p w14:paraId="62DBE8AD"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745" w:type="pct"/>
            <w:vMerge/>
            <w:vAlign w:val="center"/>
          </w:tcPr>
          <w:p w14:paraId="297A247E"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1808" w:type="pct"/>
            <w:tcBorders>
              <w:top w:val="nil"/>
              <w:left w:val="single" w:sz="4" w:space="0" w:color="auto"/>
              <w:bottom w:val="single" w:sz="4" w:space="0" w:color="auto"/>
              <w:right w:val="single" w:sz="4" w:space="0" w:color="auto"/>
            </w:tcBorders>
            <w:shd w:val="clear" w:color="000000" w:fill="FFFFFF"/>
            <w:vAlign w:val="center"/>
          </w:tcPr>
          <w:p w14:paraId="4DD6C1FA" w14:textId="77777777" w:rsidR="00CB6566" w:rsidRPr="00CB6566" w:rsidRDefault="00CB6566" w:rsidP="00CB6566">
            <w:pPr>
              <w:suppressAutoHyphens/>
              <w:spacing w:after="0" w:line="240" w:lineRule="auto"/>
              <w:jc w:val="center"/>
              <w:rPr>
                <w:rFonts w:ascii="Times New Roman" w:eastAsia="Times New Roman" w:hAnsi="Times New Roman" w:cs="Times New Roman"/>
                <w:color w:val="000000"/>
                <w:kern w:val="1"/>
                <w:lang w:eastAsia="ar-SA"/>
              </w:rPr>
            </w:pPr>
            <w:r w:rsidRPr="00CB6566">
              <w:rPr>
                <w:rFonts w:ascii="Times New Roman" w:eastAsia="Times New Roman" w:hAnsi="Times New Roman" w:cs="Times New Roman"/>
                <w:color w:val="000000"/>
                <w:kern w:val="1"/>
                <w:lang w:eastAsia="ar-SA"/>
              </w:rPr>
              <w:t>Соответствие продукции</w:t>
            </w:r>
          </w:p>
        </w:tc>
        <w:tc>
          <w:tcPr>
            <w:tcW w:w="1090" w:type="pct"/>
            <w:tcBorders>
              <w:top w:val="nil"/>
              <w:left w:val="single" w:sz="4" w:space="0" w:color="auto"/>
              <w:bottom w:val="single" w:sz="4" w:space="0" w:color="auto"/>
              <w:right w:val="single" w:sz="4" w:space="0" w:color="auto"/>
            </w:tcBorders>
            <w:shd w:val="clear" w:color="000000" w:fill="FFFFFF"/>
            <w:vAlign w:val="center"/>
          </w:tcPr>
          <w:p w14:paraId="42DC633F" w14:textId="77777777" w:rsidR="00CB6566" w:rsidRPr="00CB6566" w:rsidRDefault="00CB6566" w:rsidP="00CB6566">
            <w:pPr>
              <w:suppressAutoHyphens/>
              <w:spacing w:after="0" w:line="240" w:lineRule="auto"/>
              <w:jc w:val="center"/>
              <w:rPr>
                <w:rFonts w:ascii="Times New Roman" w:eastAsia="Times New Roman" w:hAnsi="Times New Roman" w:cs="Times New Roman"/>
                <w:color w:val="000000"/>
                <w:kern w:val="1"/>
                <w:lang w:eastAsia="ar-SA"/>
              </w:rPr>
            </w:pPr>
            <w:r w:rsidRPr="00CB6566">
              <w:rPr>
                <w:rFonts w:ascii="Times New Roman" w:eastAsia="Times New Roman" w:hAnsi="Times New Roman" w:cs="Times New Roman"/>
                <w:color w:val="000000"/>
                <w:kern w:val="1"/>
                <w:sz w:val="24"/>
                <w:szCs w:val="24"/>
                <w:lang w:eastAsia="ar-SA"/>
              </w:rPr>
              <w:t xml:space="preserve">ГОСТ 572-2016 и </w:t>
            </w:r>
            <w:r w:rsidRPr="00CB6566">
              <w:rPr>
                <w:rFonts w:ascii="Times New Roman" w:eastAsia="Times New Roman" w:hAnsi="Times New Roman" w:cs="Times New Roman"/>
                <w:color w:val="000000"/>
                <w:kern w:val="1"/>
                <w:sz w:val="24"/>
                <w:szCs w:val="24"/>
                <w:lang w:eastAsia="ar-SA"/>
              </w:rPr>
              <w:br/>
              <w:t>ТР ТС 021/2011</w:t>
            </w:r>
          </w:p>
        </w:tc>
        <w:tc>
          <w:tcPr>
            <w:tcW w:w="470" w:type="pct"/>
            <w:vMerge/>
          </w:tcPr>
          <w:p w14:paraId="1BD8300C"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p>
        </w:tc>
      </w:tr>
      <w:tr w:rsidR="00CB6566" w:rsidRPr="00CB6566" w14:paraId="5287321D" w14:textId="77777777" w:rsidTr="00A04A49">
        <w:trPr>
          <w:trHeight w:val="336"/>
          <w:jc w:val="center"/>
        </w:trPr>
        <w:tc>
          <w:tcPr>
            <w:tcW w:w="213" w:type="pct"/>
            <w:vMerge/>
            <w:vAlign w:val="center"/>
          </w:tcPr>
          <w:p w14:paraId="5E02DBB7"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673" w:type="pct"/>
            <w:vMerge/>
            <w:vAlign w:val="center"/>
          </w:tcPr>
          <w:p w14:paraId="2EB3E462"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745" w:type="pct"/>
            <w:vMerge/>
            <w:vAlign w:val="center"/>
          </w:tcPr>
          <w:p w14:paraId="464D4277"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1808" w:type="pct"/>
            <w:tcBorders>
              <w:top w:val="nil"/>
              <w:left w:val="single" w:sz="4" w:space="0" w:color="auto"/>
              <w:bottom w:val="single" w:sz="4" w:space="0" w:color="auto"/>
              <w:right w:val="single" w:sz="4" w:space="0" w:color="auto"/>
            </w:tcBorders>
            <w:shd w:val="clear" w:color="000000" w:fill="FFFFFF"/>
            <w:vAlign w:val="center"/>
          </w:tcPr>
          <w:p w14:paraId="1CFBB848" w14:textId="77777777" w:rsidR="00CB6566" w:rsidRPr="00CB6566" w:rsidRDefault="00CB6566" w:rsidP="00CB6566">
            <w:pPr>
              <w:suppressAutoHyphens/>
              <w:spacing w:after="0" w:line="240" w:lineRule="auto"/>
              <w:jc w:val="center"/>
              <w:rPr>
                <w:rFonts w:ascii="Times New Roman" w:eastAsia="Times New Roman" w:hAnsi="Times New Roman" w:cs="Times New Roman"/>
                <w:color w:val="000000"/>
                <w:kern w:val="1"/>
                <w:lang w:eastAsia="ar-SA"/>
              </w:rPr>
            </w:pPr>
            <w:r w:rsidRPr="00CB6566">
              <w:rPr>
                <w:rFonts w:ascii="Times New Roman" w:eastAsia="Times New Roman" w:hAnsi="Times New Roman" w:cs="Times New Roman"/>
                <w:color w:val="000000"/>
                <w:kern w:val="1"/>
                <w:lang w:eastAsia="ar-SA"/>
              </w:rPr>
              <w:t>Остаточный срок годности на дату поставки</w:t>
            </w:r>
          </w:p>
        </w:tc>
        <w:tc>
          <w:tcPr>
            <w:tcW w:w="1090" w:type="pct"/>
            <w:tcBorders>
              <w:top w:val="nil"/>
              <w:left w:val="single" w:sz="4" w:space="0" w:color="auto"/>
              <w:bottom w:val="single" w:sz="4" w:space="0" w:color="auto"/>
              <w:right w:val="single" w:sz="4" w:space="0" w:color="auto"/>
            </w:tcBorders>
            <w:shd w:val="clear" w:color="000000" w:fill="FFFFFF"/>
            <w:vAlign w:val="center"/>
          </w:tcPr>
          <w:p w14:paraId="7FD96EF4" w14:textId="77777777" w:rsidR="00CB6566" w:rsidRPr="00CB6566" w:rsidRDefault="00CB6566" w:rsidP="00CB6566">
            <w:pPr>
              <w:suppressAutoHyphens/>
              <w:spacing w:after="0" w:line="240" w:lineRule="auto"/>
              <w:jc w:val="center"/>
              <w:rPr>
                <w:rFonts w:ascii="Times New Roman" w:eastAsia="Times New Roman" w:hAnsi="Times New Roman" w:cs="Times New Roman"/>
                <w:color w:val="000000"/>
                <w:kern w:val="1"/>
                <w:lang w:eastAsia="ar-SA"/>
              </w:rPr>
            </w:pPr>
            <w:r w:rsidRPr="00CB6566">
              <w:rPr>
                <w:rFonts w:ascii="Times New Roman" w:eastAsia="Times New Roman" w:hAnsi="Times New Roman" w:cs="Times New Roman"/>
                <w:color w:val="000000"/>
                <w:kern w:val="1"/>
                <w:lang w:eastAsia="ar-SA"/>
              </w:rPr>
              <w:t>Не менее 2 месяцев</w:t>
            </w:r>
          </w:p>
        </w:tc>
        <w:tc>
          <w:tcPr>
            <w:tcW w:w="470" w:type="pct"/>
            <w:vMerge/>
          </w:tcPr>
          <w:p w14:paraId="53828DCF"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p>
        </w:tc>
      </w:tr>
      <w:tr w:rsidR="00CB6566" w:rsidRPr="00CB6566" w14:paraId="77BF4D77" w14:textId="77777777" w:rsidTr="00A04A49">
        <w:trPr>
          <w:trHeight w:val="284"/>
          <w:jc w:val="center"/>
        </w:trPr>
        <w:tc>
          <w:tcPr>
            <w:tcW w:w="213" w:type="pct"/>
            <w:vMerge/>
            <w:vAlign w:val="center"/>
          </w:tcPr>
          <w:p w14:paraId="279A5C4D"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673" w:type="pct"/>
            <w:vMerge/>
            <w:vAlign w:val="center"/>
          </w:tcPr>
          <w:p w14:paraId="67D3C0AD"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745" w:type="pct"/>
            <w:vMerge/>
            <w:vAlign w:val="center"/>
          </w:tcPr>
          <w:p w14:paraId="41938A5C" w14:textId="77777777" w:rsidR="00CB6566" w:rsidRPr="00CB6566" w:rsidRDefault="00CB6566" w:rsidP="00CB6566">
            <w:pPr>
              <w:spacing w:after="0" w:line="240" w:lineRule="auto"/>
              <w:rPr>
                <w:rFonts w:ascii="Times New Roman" w:eastAsia="Times New Roman" w:hAnsi="Times New Roman" w:cs="Times New Roman"/>
                <w:color w:val="000000"/>
                <w:lang w:eastAsia="ru-RU"/>
              </w:rPr>
            </w:pPr>
          </w:p>
        </w:tc>
        <w:tc>
          <w:tcPr>
            <w:tcW w:w="1808" w:type="pct"/>
            <w:tcBorders>
              <w:top w:val="nil"/>
              <w:left w:val="single" w:sz="4" w:space="0" w:color="auto"/>
              <w:bottom w:val="single" w:sz="4" w:space="0" w:color="auto"/>
              <w:right w:val="single" w:sz="4" w:space="0" w:color="auto"/>
            </w:tcBorders>
            <w:shd w:val="clear" w:color="000000" w:fill="FFFFFF"/>
            <w:vAlign w:val="center"/>
          </w:tcPr>
          <w:p w14:paraId="542FB945" w14:textId="77777777" w:rsidR="00CB6566" w:rsidRPr="00CB6566" w:rsidRDefault="00CB6566" w:rsidP="00CB6566">
            <w:pPr>
              <w:suppressAutoHyphens/>
              <w:spacing w:after="0" w:line="240" w:lineRule="auto"/>
              <w:jc w:val="center"/>
              <w:rPr>
                <w:rFonts w:ascii="Times New Roman" w:eastAsia="Times New Roman" w:hAnsi="Times New Roman" w:cs="Times New Roman"/>
                <w:color w:val="000000"/>
                <w:kern w:val="1"/>
                <w:lang w:eastAsia="ar-SA"/>
              </w:rPr>
            </w:pPr>
            <w:r w:rsidRPr="00CB6566">
              <w:rPr>
                <w:rFonts w:ascii="Times New Roman" w:eastAsia="Times New Roman" w:hAnsi="Times New Roman" w:cs="Times New Roman"/>
                <w:color w:val="000000"/>
                <w:kern w:val="1"/>
                <w:lang w:eastAsia="ar-SA"/>
              </w:rPr>
              <w:t>Масса нетто потребительской упаковки</w:t>
            </w:r>
          </w:p>
        </w:tc>
        <w:tc>
          <w:tcPr>
            <w:tcW w:w="1090" w:type="pct"/>
            <w:tcBorders>
              <w:top w:val="nil"/>
              <w:left w:val="single" w:sz="4" w:space="0" w:color="auto"/>
              <w:bottom w:val="single" w:sz="4" w:space="0" w:color="auto"/>
              <w:right w:val="single" w:sz="4" w:space="0" w:color="auto"/>
            </w:tcBorders>
            <w:shd w:val="clear" w:color="000000" w:fill="FFFFFF"/>
            <w:vAlign w:val="center"/>
          </w:tcPr>
          <w:p w14:paraId="45E381B4" w14:textId="77777777" w:rsidR="00CB6566" w:rsidRPr="00CB6566" w:rsidRDefault="00CB6566" w:rsidP="00CB6566">
            <w:pPr>
              <w:suppressAutoHyphens/>
              <w:spacing w:after="0" w:line="240" w:lineRule="auto"/>
              <w:jc w:val="center"/>
              <w:rPr>
                <w:rFonts w:ascii="Times New Roman" w:eastAsia="Times New Roman" w:hAnsi="Times New Roman" w:cs="Times New Roman"/>
                <w:color w:val="000000"/>
                <w:kern w:val="1"/>
                <w:lang w:eastAsia="ar-SA"/>
              </w:rPr>
            </w:pPr>
            <w:r w:rsidRPr="00CB6566">
              <w:rPr>
                <w:rFonts w:ascii="Times New Roman" w:eastAsia="Times New Roman" w:hAnsi="Times New Roman" w:cs="Times New Roman"/>
                <w:color w:val="000000"/>
                <w:kern w:val="1"/>
                <w:sz w:val="24"/>
                <w:szCs w:val="24"/>
                <w:lang w:eastAsia="ar-SA"/>
              </w:rPr>
              <w:t>Не более 1,0 кг</w:t>
            </w:r>
          </w:p>
        </w:tc>
        <w:tc>
          <w:tcPr>
            <w:tcW w:w="470" w:type="pct"/>
            <w:vMerge/>
          </w:tcPr>
          <w:p w14:paraId="43F3B6F9" w14:textId="77777777" w:rsidR="00CB6566" w:rsidRPr="00CB6566" w:rsidRDefault="00CB6566" w:rsidP="00CB6566">
            <w:pPr>
              <w:spacing w:after="0" w:line="240" w:lineRule="auto"/>
              <w:jc w:val="center"/>
              <w:rPr>
                <w:rFonts w:ascii="Times New Roman" w:eastAsia="Times New Roman" w:hAnsi="Times New Roman" w:cs="Times New Roman"/>
                <w:color w:val="000000"/>
                <w:lang w:eastAsia="ru-RU"/>
              </w:rPr>
            </w:pPr>
          </w:p>
        </w:tc>
      </w:tr>
    </w:tbl>
    <w:p w14:paraId="10E70AED" w14:textId="77777777" w:rsidR="007E225E" w:rsidRDefault="007E225E"/>
    <w:sectPr w:rsidR="007E22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66"/>
    <w:rsid w:val="005C6A42"/>
    <w:rsid w:val="007E225E"/>
    <w:rsid w:val="008D0E8D"/>
    <w:rsid w:val="009F3A0B"/>
    <w:rsid w:val="00CB6566"/>
    <w:rsid w:val="00D10682"/>
    <w:rsid w:val="00D31179"/>
    <w:rsid w:val="00F236D1"/>
    <w:rsid w:val="00F54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6654"/>
  <w15:chartTrackingRefBased/>
  <w15:docId w15:val="{365D2041-265F-4041-90A5-84472A79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65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B65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B656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B656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B656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B65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65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65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65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656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656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656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656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B656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B65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6566"/>
    <w:rPr>
      <w:rFonts w:eastAsiaTheme="majorEastAsia" w:cstheme="majorBidi"/>
      <w:color w:val="595959" w:themeColor="text1" w:themeTint="A6"/>
    </w:rPr>
  </w:style>
  <w:style w:type="character" w:customStyle="1" w:styleId="80">
    <w:name w:val="Заголовок 8 Знак"/>
    <w:basedOn w:val="a0"/>
    <w:link w:val="8"/>
    <w:uiPriority w:val="9"/>
    <w:semiHidden/>
    <w:rsid w:val="00CB65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6566"/>
    <w:rPr>
      <w:rFonts w:eastAsiaTheme="majorEastAsia" w:cstheme="majorBidi"/>
      <w:color w:val="272727" w:themeColor="text1" w:themeTint="D8"/>
    </w:rPr>
  </w:style>
  <w:style w:type="paragraph" w:styleId="a3">
    <w:name w:val="Title"/>
    <w:basedOn w:val="a"/>
    <w:next w:val="a"/>
    <w:link w:val="a4"/>
    <w:uiPriority w:val="10"/>
    <w:qFormat/>
    <w:rsid w:val="00CB6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65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56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65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6566"/>
    <w:pPr>
      <w:spacing w:before="160"/>
      <w:jc w:val="center"/>
    </w:pPr>
    <w:rPr>
      <w:i/>
      <w:iCs/>
      <w:color w:val="404040" w:themeColor="text1" w:themeTint="BF"/>
    </w:rPr>
  </w:style>
  <w:style w:type="character" w:customStyle="1" w:styleId="22">
    <w:name w:val="Цитата 2 Знак"/>
    <w:basedOn w:val="a0"/>
    <w:link w:val="21"/>
    <w:uiPriority w:val="29"/>
    <w:rsid w:val="00CB6566"/>
    <w:rPr>
      <w:i/>
      <w:iCs/>
      <w:color w:val="404040" w:themeColor="text1" w:themeTint="BF"/>
    </w:rPr>
  </w:style>
  <w:style w:type="paragraph" w:styleId="a7">
    <w:name w:val="List Paragraph"/>
    <w:basedOn w:val="a"/>
    <w:uiPriority w:val="34"/>
    <w:qFormat/>
    <w:rsid w:val="00CB6566"/>
    <w:pPr>
      <w:ind w:left="720"/>
      <w:contextualSpacing/>
    </w:pPr>
  </w:style>
  <w:style w:type="character" w:styleId="a8">
    <w:name w:val="Intense Emphasis"/>
    <w:basedOn w:val="a0"/>
    <w:uiPriority w:val="21"/>
    <w:qFormat/>
    <w:rsid w:val="00CB6566"/>
    <w:rPr>
      <w:i/>
      <w:iCs/>
      <w:color w:val="2F5496" w:themeColor="accent1" w:themeShade="BF"/>
    </w:rPr>
  </w:style>
  <w:style w:type="paragraph" w:styleId="a9">
    <w:name w:val="Intense Quote"/>
    <w:basedOn w:val="a"/>
    <w:next w:val="a"/>
    <w:link w:val="aa"/>
    <w:uiPriority w:val="30"/>
    <w:qFormat/>
    <w:rsid w:val="00CB65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B6566"/>
    <w:rPr>
      <w:i/>
      <w:iCs/>
      <w:color w:val="2F5496" w:themeColor="accent1" w:themeShade="BF"/>
    </w:rPr>
  </w:style>
  <w:style w:type="character" w:styleId="ab">
    <w:name w:val="Intense Reference"/>
    <w:basedOn w:val="a0"/>
    <w:uiPriority w:val="32"/>
    <w:qFormat/>
    <w:rsid w:val="00CB65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310101&amp;dst=100045&amp;field=134&amp;date=03.02.2022" TargetMode="External"/><Relationship Id="rId4" Type="http://schemas.openxmlformats.org/officeDocument/2006/relationships/hyperlink" Target="https://login.consultant.ru/link/?req=doc&amp;base=LAW&amp;n=374201&amp;dst=100081&amp;field=134&amp;date=03.0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5918</Characters>
  <Application>Microsoft Office Word</Application>
  <DocSecurity>0</DocSecurity>
  <Lines>49</Lines>
  <Paragraphs>13</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2026-06-25T13:17:00Z</dcterms:created>
  <dcterms:modified xsi:type="dcterms:W3CDTF">2026-06-25T18:06:00Z</dcterms:modified>
</cp:coreProperties>
</file>