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color w:val="000000"/>
        </w:rPr>
      </w:pPr>
      <w:r>
        <w:rPr>
          <w:color w:val="000000"/>
        </w:rPr>
        <w:t>Приложение 1. ОБОСНОВАНИЕ НАЧАЛЬНОЙ (МАКСИМАЛЬНОЙ) ЦЕНЫ КОНТРАКТА</w:t>
      </w:r>
    </w:p>
    <w:p w14:paraId="02000000">
      <w:pPr>
        <w:spacing w:after="60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Выполнение работ по текущему ремонту помещений</w:t>
      </w:r>
    </w:p>
    <w:p w14:paraId="03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Обоснование начальной (максимальной) цены контракта проведено в соответствии с положениями статьи 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и Приказа Минэкономразвития России от 02.10.2013 №567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  <w:r>
        <w:rPr>
          <w:rFonts w:ascii="Times New Roman" w:hAnsi="Times New Roman"/>
        </w:rPr>
        <w:t xml:space="preserve"> (далее – Рекомендации)</w:t>
      </w:r>
      <w:r>
        <w:rPr>
          <w:rFonts w:ascii="Times New Roman" w:hAnsi="Times New Roman"/>
        </w:rPr>
        <w:t>.</w:t>
      </w:r>
    </w:p>
    <w:p w14:paraId="04000000">
      <w:p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определении начальной (максимальной) цены контракта (далее - НМЦК) </w:t>
      </w:r>
      <w:r>
        <w:rPr>
          <w:rFonts w:ascii="Times New Roman" w:hAnsi="Times New Roman"/>
        </w:rPr>
        <w:t>заказчиком использован метод сопоставимых рыночных цен (анализа рынка)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05000000">
      <w:pPr>
        <w:ind w:firstLine="567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</w:rPr>
        <w:t xml:space="preserve">В качестве источников ценовой информации использовались </w:t>
      </w:r>
      <w:r>
        <w:rPr>
          <w:rFonts w:ascii="Times New Roman" w:hAnsi="Times New Roman"/>
          <w:sz w:val="24"/>
        </w:rPr>
        <w:t>коммерческие предложения лиц, способных оказать услугу, являющуюся объектом закупки.</w:t>
      </w:r>
    </w:p>
    <w:p w14:paraId="06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НМЦК методом сопоставимых рыночных цен (анализа рынка) определяется по формуле:</w:t>
      </w:r>
    </w:p>
    <w:p w14:paraId="07000000">
      <w:pPr>
        <w:ind w:firstLine="594" w:left="0"/>
        <w:jc w:val="both"/>
        <w:rPr>
          <w:rFonts w:ascii="Times New Roman" w:hAnsi="Times New Roman"/>
        </w:rPr>
      </w:pPr>
      <w:r>
        <w:drawing>
          <wp:inline>
            <wp:extent cx="1626870" cy="39751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626870" cy="39751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,</w:t>
      </w:r>
    </w:p>
    <w:p w14:paraId="08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14:paraId="09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НМЦКрын - НМЦК, определяемая методом сопоставимых рыночных цен (анализа рынка);</w:t>
      </w:r>
    </w:p>
    <w:p w14:paraId="0A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v</w:t>
      </w:r>
      <w:r>
        <w:rPr>
          <w:rFonts w:ascii="Times New Roman" w:hAnsi="Times New Roman"/>
        </w:rPr>
        <w:t xml:space="preserve"> - количество (объем) закупаемого товара (работы, услуги);</w:t>
      </w:r>
    </w:p>
    <w:p w14:paraId="0B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n</w:t>
      </w:r>
      <w:r>
        <w:rPr>
          <w:rFonts w:ascii="Times New Roman" w:hAnsi="Times New Roman"/>
        </w:rPr>
        <w:t xml:space="preserve"> - количество значений, используемых в расчете;</w:t>
      </w:r>
    </w:p>
    <w:p w14:paraId="0C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i</w:t>
      </w:r>
      <w:r>
        <w:rPr>
          <w:rFonts w:ascii="Times New Roman" w:hAnsi="Times New Roman"/>
        </w:rPr>
        <w:t xml:space="preserve"> - номер источника ценовой информации;</w:t>
      </w:r>
    </w:p>
    <w:p w14:paraId="0D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ц</w:t>
      </w:r>
      <w:r>
        <w:rPr>
          <w:rFonts w:ascii="Times New Roman" w:hAnsi="Times New Roman"/>
          <w:i w:val="1"/>
          <w:vertAlign w:val="subscript"/>
        </w:rPr>
        <w:t>i</w:t>
      </w:r>
      <w:r>
        <w:rPr>
          <w:rFonts w:ascii="Times New Roman" w:hAnsi="Times New Roman"/>
        </w:rPr>
        <w:t xml:space="preserve"> - цена единицы товара, работы, услуги, представленная в источнике с номером i, 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услуг, определяемых в соответствии с настоящими Рекомендациями.</w:t>
      </w:r>
    </w:p>
    <w:p w14:paraId="0E000000">
      <w:pPr>
        <w:spacing w:line="360" w:lineRule="auto"/>
        <w:ind w:firstLine="595" w:left="0"/>
        <w:jc w:val="both"/>
        <w:rPr>
          <w:rFonts w:ascii="Times New Roman" w:hAnsi="Times New Roman"/>
        </w:rPr>
      </w:pPr>
    </w:p>
    <w:p w14:paraId="0F000000">
      <w:pPr>
        <w:ind w:firstLine="595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целях определения однородности совокупности значений выявленных цен, используемых в расчете НМЦК, рекомендуется определять коэффициент вариации. </w:t>
      </w:r>
    </w:p>
    <w:p w14:paraId="10000000">
      <w:pPr>
        <w:spacing w:line="360" w:lineRule="auto"/>
        <w:ind w:firstLine="595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Коэффициент вариации цены определяется по следующей формуле:</w:t>
      </w:r>
    </w:p>
    <w:p w14:paraId="11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>
            <wp:extent cx="1211580" cy="42164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211580" cy="42164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,</w:t>
      </w:r>
    </w:p>
    <w:p w14:paraId="12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14:paraId="13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V</w:t>
      </w:r>
      <w:r>
        <w:rPr>
          <w:rFonts w:ascii="Times New Roman" w:hAnsi="Times New Roman"/>
        </w:rPr>
        <w:t xml:space="preserve"> - коэффициент вариации;</w:t>
      </w:r>
    </w:p>
    <w:p w14:paraId="14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>
            <wp:extent cx="1591310" cy="540385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591310" cy="54038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 - среднее квадратичное отклонение;</w:t>
      </w:r>
    </w:p>
    <w:p w14:paraId="15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где:</w:t>
      </w:r>
    </w:p>
    <w:p w14:paraId="16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ц</w:t>
      </w:r>
      <w:r>
        <w:rPr>
          <w:rFonts w:ascii="Times New Roman" w:hAnsi="Times New Roman"/>
          <w:i w:val="1"/>
          <w:vertAlign w:val="subscript"/>
        </w:rPr>
        <w:t>i</w:t>
      </w:r>
      <w:r>
        <w:rPr>
          <w:rFonts w:ascii="Times New Roman" w:hAnsi="Times New Roman"/>
        </w:rPr>
        <w:t xml:space="preserve"> - цена единицы товара, работы, услуги, указанная в источнике с номером </w:t>
      </w:r>
      <w:r>
        <w:rPr>
          <w:rFonts w:ascii="Times New Roman" w:hAnsi="Times New Roman"/>
        </w:rPr>
        <w:t>i;</w:t>
      </w:r>
    </w:p>
    <w:p w14:paraId="17000000">
      <w:pPr>
        <w:ind w:firstLine="594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&lt;ц&gt;</w:t>
      </w:r>
      <w:r>
        <w:rPr>
          <w:rFonts w:ascii="Times New Roman" w:hAnsi="Times New Roman"/>
        </w:rPr>
        <w:t xml:space="preserve"> - средняя арифметическая величина цены </w:t>
      </w:r>
      <w:r>
        <w:rPr>
          <w:rFonts w:ascii="Times New Roman" w:hAnsi="Times New Roman"/>
        </w:rPr>
        <w:t>единицы товара, работы, услуги;</w:t>
      </w:r>
    </w:p>
    <w:p w14:paraId="18000000">
      <w:pPr>
        <w:spacing w:line="360" w:lineRule="auto"/>
        <w:ind w:firstLine="595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1"/>
        </w:rPr>
        <w:t>n</w:t>
      </w:r>
      <w:r>
        <w:rPr>
          <w:rFonts w:ascii="Times New Roman" w:hAnsi="Times New Roman"/>
        </w:rPr>
        <w:t xml:space="preserve"> - количество значений, используемых в расчете.</w:t>
      </w:r>
    </w:p>
    <w:p w14:paraId="19000000">
      <w:pPr>
        <w:ind w:firstLine="567" w:left="0"/>
        <w:jc w:val="both"/>
        <w:rPr>
          <w:rFonts w:ascii="Times New Roman" w:hAnsi="Times New Roman"/>
          <w:i w:val="1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3"/>
        <w:gridCol w:w="1455"/>
        <w:gridCol w:w="1050"/>
        <w:gridCol w:w="825"/>
        <w:gridCol w:w="810"/>
        <w:gridCol w:w="1035"/>
        <w:gridCol w:w="1080"/>
        <w:gridCol w:w="1080"/>
        <w:gridCol w:w="1095"/>
        <w:gridCol w:w="871"/>
        <w:gridCol w:w="1080"/>
        <w:gridCol w:w="1126"/>
        <w:gridCol w:w="1048"/>
        <w:gridCol w:w="1229"/>
      </w:tblGrid>
      <w:tr>
        <w:trPr>
          <w:trHeight w:hRule="atLeast" w:val="360"/>
        </w:trPr>
        <w:tc>
          <w:tcPr>
            <w:tcW w:type="dxa" w:w="5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type="dxa" w:w="14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товара, услуги (работы)</w:t>
            </w:r>
          </w:p>
        </w:tc>
        <w:tc>
          <w:tcPr>
            <w:tcW w:type="dxa" w:w="10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ОКПД2/КТРУ</w:t>
            </w:r>
          </w:p>
        </w:tc>
        <w:tc>
          <w:tcPr>
            <w:tcW w:type="dxa" w:w="8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 измерения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Кол-во</w:t>
            </w:r>
          </w:p>
        </w:tc>
        <w:tc>
          <w:tcPr>
            <w:tcW w:type="dxa" w:w="319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Источники цены (руб.) коммерческие предложения</w:t>
            </w:r>
          </w:p>
        </w:tc>
        <w:tc>
          <w:tcPr>
            <w:tcW w:type="dxa" w:w="10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Среднее квадратичное отклонение</w:t>
            </w:r>
          </w:p>
        </w:tc>
        <w:tc>
          <w:tcPr>
            <w:tcW w:type="dxa" w:w="87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Коэффициент вариации (%)</w:t>
            </w:r>
          </w:p>
        </w:tc>
        <w:tc>
          <w:tcPr>
            <w:tcW w:type="dxa" w:w="1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Средняя цена (руб.)</w:t>
            </w:r>
          </w:p>
        </w:tc>
        <w:tc>
          <w:tcPr>
            <w:tcW w:type="dxa" w:w="112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НМЦК</w:t>
            </w:r>
          </w:p>
          <w:p w14:paraId="2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(руб.)</w:t>
            </w:r>
          </w:p>
        </w:tc>
        <w:tc>
          <w:tcPr>
            <w:tcW w:type="dxa" w:w="10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Средняя цена, с учетом доведенных ЛБО (руб.)</w:t>
            </w:r>
          </w:p>
        </w:tc>
        <w:tc>
          <w:tcPr>
            <w:tcW w:type="dxa" w:w="12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НМЦК, </w:t>
            </w:r>
            <w:r>
              <w:rPr>
                <w:rFonts w:ascii="Times New Roman" w:hAnsi="Times New Roman"/>
                <w:sz w:val="22"/>
              </w:rPr>
              <w:t>с учетом доведенных ЛБО</w:t>
            </w:r>
          </w:p>
          <w:p w14:paraId="2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(руб.)</w:t>
            </w:r>
          </w:p>
        </w:tc>
      </w:tr>
      <w:tr>
        <w:trPr>
          <w:trHeight w:hRule="atLeast" w:val="360"/>
        </w:trPr>
        <w:tc>
          <w:tcPr>
            <w:tcW w:type="dxa" w:w="5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цена источника 1 (вх. №11850 от 29.06.2026)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цена источника 2 (вх. №11851 от 29.06.2026)</w:t>
            </w:r>
          </w:p>
        </w:tc>
        <w:tc>
          <w:tcPr>
            <w:tcW w:type="dxa" w:w="10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цена источника 3 (вх. №11636 от 24.06.2026)</w:t>
            </w:r>
          </w:p>
        </w:tc>
        <w:tc>
          <w:tcPr>
            <w:tcW w:type="dxa" w:w="10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7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2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2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60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1</w:t>
            </w:r>
          </w:p>
        </w:tc>
        <w:tc>
          <w:tcPr>
            <w:tcW w:type="dxa" w:w="1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2"/>
              </w:rPr>
              <w:t>Выполнение работ по демонтажу линолеума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43.39.19.190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кв. м</w:t>
            </w:r>
          </w:p>
        </w:tc>
        <w:tc>
          <w:tcPr>
            <w:tcW w:type="dxa" w:w="81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192</w:t>
            </w:r>
          </w:p>
        </w:tc>
        <w:tc>
          <w:tcPr>
            <w:tcW w:type="dxa" w:w="103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0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2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160,00</w:t>
            </w:r>
          </w:p>
        </w:tc>
        <w:tc>
          <w:tcPr>
            <w:tcW w:type="dxa" w:w="109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3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20,8167</w:t>
            </w:r>
          </w:p>
        </w:tc>
        <w:tc>
          <w:tcPr>
            <w:tcW w:type="dxa" w:w="871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4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14,52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5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143,33</w:t>
            </w:r>
          </w:p>
        </w:tc>
        <w:tc>
          <w:tcPr>
            <w:tcW w:type="dxa" w:w="1126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6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27 520,00</w:t>
            </w:r>
          </w:p>
        </w:tc>
        <w:tc>
          <w:tcPr>
            <w:tcW w:type="dxa" w:w="1048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143,00</w:t>
            </w:r>
          </w:p>
        </w:tc>
        <w:tc>
          <w:tcPr>
            <w:tcW w:type="dxa" w:w="1229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8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27 456,00</w:t>
            </w:r>
          </w:p>
        </w:tc>
      </w:tr>
      <w:tr>
        <w:trPr>
          <w:trHeight w:hRule="atLeast" w:val="360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1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2"/>
              </w:rPr>
              <w:t>Выполнение работ по демонтажу плинтусов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43.39.19.190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кв. м</w:t>
            </w:r>
          </w:p>
        </w:tc>
        <w:tc>
          <w:tcPr>
            <w:tcW w:type="dxa" w:w="81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129,6</w:t>
            </w:r>
          </w:p>
        </w:tc>
        <w:tc>
          <w:tcPr>
            <w:tcW w:type="dxa" w:w="103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E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F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0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50,00</w:t>
            </w:r>
          </w:p>
        </w:tc>
        <w:tc>
          <w:tcPr>
            <w:tcW w:type="dxa" w:w="109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871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3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50,00</w:t>
            </w:r>
          </w:p>
        </w:tc>
        <w:tc>
          <w:tcPr>
            <w:tcW w:type="dxa" w:w="1126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4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6 480,00</w:t>
            </w:r>
          </w:p>
        </w:tc>
        <w:tc>
          <w:tcPr>
            <w:tcW w:type="dxa" w:w="1048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50,00</w:t>
            </w:r>
          </w:p>
        </w:tc>
        <w:tc>
          <w:tcPr>
            <w:tcW w:type="dxa" w:w="1229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6 480,00</w:t>
            </w:r>
          </w:p>
        </w:tc>
      </w:tr>
      <w:tr>
        <w:trPr>
          <w:trHeight w:hRule="atLeast" w:val="360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1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2"/>
              </w:rPr>
              <w:t>Выполнение работ по укладке линолеума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43.39.19.190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кв. м</w:t>
            </w:r>
          </w:p>
        </w:tc>
        <w:tc>
          <w:tcPr>
            <w:tcW w:type="dxa" w:w="81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192</w:t>
            </w:r>
          </w:p>
        </w:tc>
        <w:tc>
          <w:tcPr>
            <w:tcW w:type="dxa" w:w="103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340,00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320,00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350,00</w:t>
            </w:r>
          </w:p>
        </w:tc>
        <w:tc>
          <w:tcPr>
            <w:tcW w:type="dxa" w:w="109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15,2753</w:t>
            </w:r>
          </w:p>
        </w:tc>
        <w:tc>
          <w:tcPr>
            <w:tcW w:type="dxa" w:w="871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4,54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1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336,67</w:t>
            </w:r>
          </w:p>
        </w:tc>
        <w:tc>
          <w:tcPr>
            <w:tcW w:type="dxa" w:w="1126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64 640,64</w:t>
            </w:r>
          </w:p>
        </w:tc>
        <w:tc>
          <w:tcPr>
            <w:tcW w:type="dxa" w:w="1048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3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336,00</w:t>
            </w:r>
          </w:p>
        </w:tc>
        <w:tc>
          <w:tcPr>
            <w:tcW w:type="dxa" w:w="1229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64 512,00</w:t>
            </w:r>
          </w:p>
        </w:tc>
      </w:tr>
      <w:tr>
        <w:trPr>
          <w:trHeight w:hRule="atLeast" w:val="360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1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2"/>
              </w:rPr>
              <w:t>Выполнение работ по монтажу плинтусов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43.39.19.190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кв. м</w:t>
            </w:r>
          </w:p>
        </w:tc>
        <w:tc>
          <w:tcPr>
            <w:tcW w:type="dxa" w:w="81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129,6</w:t>
            </w:r>
          </w:p>
        </w:tc>
        <w:tc>
          <w:tcPr>
            <w:tcW w:type="dxa" w:w="103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160,00</w:t>
            </w:r>
          </w:p>
        </w:tc>
        <w:tc>
          <w:tcPr>
            <w:tcW w:type="dxa" w:w="109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D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5,7735</w:t>
            </w:r>
          </w:p>
        </w:tc>
        <w:tc>
          <w:tcPr>
            <w:tcW w:type="dxa" w:w="871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3,69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156,67</w:t>
            </w:r>
          </w:p>
        </w:tc>
        <w:tc>
          <w:tcPr>
            <w:tcW w:type="dxa" w:w="1126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20 304,43</w:t>
            </w:r>
          </w:p>
        </w:tc>
        <w:tc>
          <w:tcPr>
            <w:tcW w:type="dxa" w:w="1048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156,00</w:t>
            </w:r>
          </w:p>
        </w:tc>
        <w:tc>
          <w:tcPr>
            <w:tcW w:type="dxa" w:w="1229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20 217,60</w:t>
            </w:r>
          </w:p>
        </w:tc>
      </w:tr>
      <w:tr>
        <w:trPr>
          <w:trHeight w:hRule="atLeast" w:val="360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1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2"/>
              </w:rPr>
              <w:t>Выполнение работ по демонтажу унитаза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43.39.19.190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кв. м</w:t>
            </w:r>
          </w:p>
        </w:tc>
        <w:tc>
          <w:tcPr>
            <w:tcW w:type="dxa" w:w="81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103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1 010,00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1 000,00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A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1 020,00</w:t>
            </w:r>
          </w:p>
        </w:tc>
        <w:tc>
          <w:tcPr>
            <w:tcW w:type="dxa" w:w="109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871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0,99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D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1 010,00</w:t>
            </w:r>
          </w:p>
        </w:tc>
        <w:tc>
          <w:tcPr>
            <w:tcW w:type="dxa" w:w="1126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3 030,00</w:t>
            </w:r>
          </w:p>
        </w:tc>
        <w:tc>
          <w:tcPr>
            <w:tcW w:type="dxa" w:w="1048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1 010,00</w:t>
            </w:r>
          </w:p>
        </w:tc>
        <w:tc>
          <w:tcPr>
            <w:tcW w:type="dxa" w:w="1229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0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3 030,00</w:t>
            </w:r>
          </w:p>
        </w:tc>
      </w:tr>
      <w:tr>
        <w:trPr>
          <w:trHeight w:hRule="atLeast" w:val="360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1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2"/>
              </w:rPr>
              <w:t>Выполнение работ по демонтажу раковины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43.39.19.190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кв. м</w:t>
            </w:r>
          </w:p>
        </w:tc>
        <w:tc>
          <w:tcPr>
            <w:tcW w:type="dxa" w:w="81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5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103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540,00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7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500,00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8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510,00</w:t>
            </w:r>
          </w:p>
        </w:tc>
        <w:tc>
          <w:tcPr>
            <w:tcW w:type="dxa" w:w="109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9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20,8167</w:t>
            </w:r>
          </w:p>
        </w:tc>
        <w:tc>
          <w:tcPr>
            <w:tcW w:type="dxa" w:w="871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A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4,03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B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516,67</w:t>
            </w:r>
          </w:p>
        </w:tc>
        <w:tc>
          <w:tcPr>
            <w:tcW w:type="dxa" w:w="1126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C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1 550,01</w:t>
            </w:r>
          </w:p>
        </w:tc>
        <w:tc>
          <w:tcPr>
            <w:tcW w:type="dxa" w:w="1048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D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516,00</w:t>
            </w:r>
          </w:p>
        </w:tc>
        <w:tc>
          <w:tcPr>
            <w:tcW w:type="dxa" w:w="1229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E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1 548,00</w:t>
            </w:r>
          </w:p>
        </w:tc>
      </w:tr>
      <w:tr>
        <w:trPr>
          <w:trHeight w:hRule="atLeast" w:val="360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1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2"/>
              </w:rPr>
              <w:t>Выполнение работ по монтажу унитаза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43.39.19.190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кв. м</w:t>
            </w:r>
          </w:p>
        </w:tc>
        <w:tc>
          <w:tcPr>
            <w:tcW w:type="dxa" w:w="81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3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103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4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2 500,00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5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2 300,00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6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2 550,00</w:t>
            </w:r>
          </w:p>
        </w:tc>
        <w:tc>
          <w:tcPr>
            <w:tcW w:type="dxa" w:w="109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7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132,2876</w:t>
            </w:r>
          </w:p>
        </w:tc>
        <w:tc>
          <w:tcPr>
            <w:tcW w:type="dxa" w:w="871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8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5,4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9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2 450,00</w:t>
            </w:r>
          </w:p>
        </w:tc>
        <w:tc>
          <w:tcPr>
            <w:tcW w:type="dxa" w:w="1126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A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7 350,00</w:t>
            </w:r>
          </w:p>
        </w:tc>
        <w:tc>
          <w:tcPr>
            <w:tcW w:type="dxa" w:w="1048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B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2 450,00</w:t>
            </w:r>
          </w:p>
        </w:tc>
        <w:tc>
          <w:tcPr>
            <w:tcW w:type="dxa" w:w="1229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C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7 350,00</w:t>
            </w:r>
          </w:p>
        </w:tc>
      </w:tr>
      <w:tr>
        <w:trPr>
          <w:trHeight w:hRule="atLeast" w:val="360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14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000000"/>
                <w:spacing w:val="0"/>
                <w:sz w:val="22"/>
              </w:rPr>
              <w:t>Выполнение работ по монтажу раковины</w:t>
            </w:r>
          </w:p>
        </w:tc>
        <w:tc>
          <w:tcPr>
            <w:tcW w:type="dxa" w:w="10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43.39.19.190</w:t>
            </w:r>
          </w:p>
        </w:tc>
        <w:tc>
          <w:tcPr>
            <w:tcW w:type="dxa" w:w="825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кв. м</w:t>
            </w:r>
          </w:p>
        </w:tc>
        <w:tc>
          <w:tcPr>
            <w:tcW w:type="dxa" w:w="81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1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103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2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3 120,00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3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2 900,00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4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3 060,00</w:t>
            </w:r>
          </w:p>
        </w:tc>
        <w:tc>
          <w:tcPr>
            <w:tcW w:type="dxa" w:w="1095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5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113,7248</w:t>
            </w:r>
          </w:p>
        </w:tc>
        <w:tc>
          <w:tcPr>
            <w:tcW w:type="dxa" w:w="871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6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3,76</w:t>
            </w:r>
          </w:p>
        </w:tc>
        <w:tc>
          <w:tcPr>
            <w:tcW w:type="dxa" w:w="1080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7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3 026,67</w:t>
            </w:r>
          </w:p>
        </w:tc>
        <w:tc>
          <w:tcPr>
            <w:tcW w:type="dxa" w:w="1126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8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9 080,01</w:t>
            </w:r>
          </w:p>
        </w:tc>
        <w:tc>
          <w:tcPr>
            <w:tcW w:type="dxa" w:w="1048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9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3 026,00</w:t>
            </w:r>
          </w:p>
        </w:tc>
        <w:tc>
          <w:tcPr>
            <w:tcW w:type="dxa" w:w="1229"/>
            <w:tcBorders>
              <w:top w:color="000000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A000000">
            <w:pPr>
              <w:spacing w:after="120" w:before="120"/>
              <w:ind w:firstLine="0" w:left="0" w:right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9 078,00</w:t>
            </w:r>
          </w:p>
        </w:tc>
      </w:tr>
      <w:tr>
        <w:trPr>
          <w:trHeight w:hRule="atLeast" w:val="752"/>
        </w:trPr>
        <w:tc>
          <w:tcPr>
            <w:tcW w:type="dxa" w:w="13068"/>
            <w:gridSpan w:val="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rFonts w:ascii="Times New Roman" w:hAnsi="Times New Roman"/>
                <w:b w:val="1"/>
                <w:color w:val="C0504D"/>
                <w:sz w:val="26"/>
              </w:rPr>
            </w:pPr>
            <w:r>
              <w:rPr>
                <w:rFonts w:ascii="Times New Roman" w:hAnsi="Times New Roman"/>
                <w:b w:val="1"/>
                <w:color w:val="C0504D"/>
                <w:sz w:val="26"/>
              </w:rPr>
              <w:t xml:space="preserve">На основании проведенного анализа рынка и расчетов, а также в соответствии с доведенными лимитами бюджетных обязательств на 2026 г. НМЦК составляет: </w:t>
            </w:r>
            <w:r>
              <w:rPr>
                <w:rFonts w:ascii="Times New Roman" w:hAnsi="Times New Roman"/>
                <w:b w:val="1"/>
                <w:color w:val="C0504D"/>
                <w:sz w:val="26"/>
              </w:rPr>
              <w:t>139 671,60 рублей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center"/>
              <w:rPr>
                <w:rFonts w:ascii="Times New Roman" w:hAnsi="Times New Roman"/>
                <w:b w:val="1"/>
                <w:color w:val="C0504D"/>
                <w:sz w:val="26"/>
              </w:rPr>
            </w:pPr>
            <w:r>
              <w:rPr>
                <w:rFonts w:ascii="Times New Roman" w:hAnsi="Times New Roman"/>
                <w:b w:val="1"/>
                <w:color w:val="C0504D"/>
                <w:sz w:val="26"/>
              </w:rPr>
              <w:t>139 671,60</w:t>
            </w:r>
          </w:p>
        </w:tc>
      </w:tr>
    </w:tbl>
    <w:p w14:paraId="9D000000">
      <w:pPr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цену государственного контракта включены все расходы, предусмотренные извещением о проведении аукциона в электронной форме и проектом государственного контракта.</w:t>
      </w:r>
    </w:p>
    <w:p w14:paraId="9E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9F000000">
      <w:pPr>
        <w:pStyle w:val="Style_3"/>
        <w:spacing w:before="0" w:line="240" w:lineRule="auto"/>
        <w:ind w:right="20"/>
        <w:jc w:val="both"/>
      </w:pPr>
    </w:p>
    <w:p w14:paraId="A0000000">
      <w:pPr>
        <w:pStyle w:val="Style_3"/>
        <w:spacing w:before="0" w:line="240" w:lineRule="auto"/>
        <w:ind w:right="20"/>
        <w:jc w:val="both"/>
      </w:pPr>
      <w:r>
        <w:t xml:space="preserve">Контрактный управляющий </w:t>
      </w:r>
    </w:p>
    <w:p w14:paraId="A1000000">
      <w:pPr>
        <w:pStyle w:val="Style_3"/>
        <w:spacing w:before="0" w:line="240" w:lineRule="auto"/>
        <w:ind w:right="20"/>
        <w:jc w:val="both"/>
      </w:pPr>
      <w:r>
        <w:t xml:space="preserve">МТУ </w:t>
      </w:r>
      <w:r>
        <w:t>Росимущества</w:t>
      </w:r>
      <w:r>
        <w:t xml:space="preserve"> в Алтайском крае </w:t>
      </w:r>
    </w:p>
    <w:p w14:paraId="A2000000">
      <w:pPr>
        <w:pStyle w:val="Style_3"/>
        <w:spacing w:before="0" w:line="240" w:lineRule="auto"/>
        <w:ind w:right="20"/>
        <w:jc w:val="both"/>
      </w:pPr>
      <w:r>
        <w:t>и Республике Алтай</w:t>
      </w:r>
      <w:r>
        <w:tab/>
      </w:r>
      <w:r>
        <w:tab/>
      </w:r>
      <w:r>
        <w:tab/>
      </w:r>
      <w:r>
        <w:t xml:space="preserve">                                                                                                                                                                         </w:t>
      </w:r>
      <w:r>
        <w:t xml:space="preserve">      </w:t>
      </w:r>
      <w:r>
        <w:t>Т.Г. Гвоздовская</w:t>
      </w:r>
    </w:p>
    <w:p w14:paraId="A3000000">
      <w:pPr>
        <w:rPr>
          <w:rFonts w:ascii="Times New Roman" w:hAnsi="Times New Roman"/>
        </w:rPr>
      </w:pPr>
      <w:r>
        <w:rPr>
          <w:rFonts w:ascii="Times New Roman" w:hAnsi="Times New Roman"/>
        </w:rPr>
        <w:t>01.07.2026</w:t>
      </w:r>
    </w:p>
    <w:sectPr>
      <w:pgSz w:h="11908" w:orient="landscape" w:w="16848"/>
      <w:pgMar w:bottom="1134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Arial Unicode MS" w:hAnsi="Arial Unicode MS"/>
      <w:color w:val="000000"/>
      <w:sz w:val="24"/>
    </w:rPr>
  </w:style>
  <w:style w:default="1" w:styleId="Style_4_ch" w:type="character">
    <w:name w:val="Normal"/>
    <w:link w:val="Style_4"/>
    <w:rPr>
      <w:rFonts w:ascii="Arial Unicode MS" w:hAnsi="Arial Unicode MS"/>
      <w:color w:val="000000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3" w:type="paragraph">
    <w:name w:val="Основной текст7"/>
    <w:basedOn w:val="Style_4"/>
    <w:link w:val="Style_3_ch"/>
    <w:pPr>
      <w:spacing w:before="6660" w:line="254" w:lineRule="exact"/>
      <w:ind/>
      <w:jc w:val="center"/>
    </w:pPr>
    <w:rPr>
      <w:rFonts w:ascii="Times New Roman" w:hAnsi="Times New Roman"/>
      <w:color w:val="000000"/>
      <w:sz w:val="21"/>
    </w:rPr>
  </w:style>
  <w:style w:styleId="Style_3_ch" w:type="character">
    <w:name w:val="Основной текст7"/>
    <w:basedOn w:val="Style_4_ch"/>
    <w:link w:val="Style_3"/>
    <w:rPr>
      <w:rFonts w:ascii="Times New Roman" w:hAnsi="Times New Roman"/>
      <w:color w:val="000000"/>
      <w:sz w:val="21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4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" w:type="paragraph">
    <w:name w:val="heading 1"/>
    <w:basedOn w:val="Style_4"/>
    <w:next w:val="Style_4"/>
    <w:link w:val="Style_1_ch"/>
    <w:uiPriority w:val="9"/>
    <w:qFormat/>
    <w:pPr>
      <w:keepNext w:val="1"/>
      <w:spacing w:after="60" w:before="240"/>
      <w:ind/>
      <w:jc w:val="center"/>
      <w:outlineLvl w:val="0"/>
    </w:pPr>
    <w:rPr>
      <w:rFonts w:ascii="Times New Roman" w:hAnsi="Times New Roman"/>
      <w:b w:val="1"/>
      <w:sz w:val="28"/>
    </w:rPr>
  </w:style>
  <w:style w:styleId="Style_1_ch" w:type="character">
    <w:name w:val="heading 1"/>
    <w:basedOn w:val="Style_4_ch"/>
    <w:link w:val="Style_1"/>
    <w:rPr>
      <w:rFonts w:ascii="Times New Roman" w:hAnsi="Times New Roman"/>
      <w:b w:val="1"/>
      <w:sz w:val="28"/>
    </w:rPr>
  </w:style>
  <w:style w:styleId="Style_12" w:type="paragraph">
    <w:name w:val="Hyperlink"/>
    <w:basedOn w:val="Style_13"/>
    <w:link w:val="Style_12_ch"/>
    <w:rPr>
      <w:color w:val="0000FF"/>
      <w:u w:val="single"/>
    </w:rPr>
  </w:style>
  <w:style w:styleId="Style_12_ch" w:type="character">
    <w:name w:val="Hyperlink"/>
    <w:basedOn w:val="Style_13_ch"/>
    <w:link w:val="Style_12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4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4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4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highlightcolor"/>
    <w:basedOn w:val="Style_13"/>
    <w:link w:val="Style_19_ch"/>
  </w:style>
  <w:style w:styleId="Style_19_ch" w:type="character">
    <w:name w:val="highlightcolor"/>
    <w:basedOn w:val="Style_13_ch"/>
    <w:link w:val="Style_19"/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ConsPlusNormal"/>
    <w:link w:val="Style_24_ch"/>
    <w:pPr>
      <w:widowControl w:val="0"/>
      <w:spacing w:after="0" w:line="240" w:lineRule="auto"/>
      <w:ind w:firstLine="720" w:left="0"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Balloon Text"/>
    <w:basedOn w:val="Style_4"/>
    <w:link w:val="Style_25_ch"/>
    <w:rPr>
      <w:rFonts w:ascii="Segoe UI" w:hAnsi="Segoe UI"/>
      <w:sz w:val="18"/>
    </w:rPr>
  </w:style>
  <w:style w:styleId="Style_25_ch" w:type="character">
    <w:name w:val="Balloon Text"/>
    <w:basedOn w:val="Style_4_ch"/>
    <w:link w:val="Style_25"/>
    <w:rPr>
      <w:rFonts w:ascii="Segoe UI" w:hAnsi="Segoe UI"/>
      <w:sz w:val="18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3.gif" Type="http://schemas.openxmlformats.org/officeDocument/2006/relationships/image"/>
  <Relationship Id="rId2" Target="media/2.gif" Type="http://schemas.openxmlformats.org/officeDocument/2006/relationships/image"/>
  <Relationship Id="rId1" Target="media/1.gif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2026-07-01T03:17:54Z</dcterms:modified>
</cp:coreProperties>
</file>