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6A0E73" w14:paraId="5763F994" w14:textId="77777777">
        <w:tc>
          <w:tcPr>
            <w:tcW w:w="2834" w:type="dxa"/>
            <w:tcBorders>
              <w:top w:val="nil"/>
              <w:left w:val="nil"/>
              <w:bottom w:val="nil"/>
              <w:right w:val="nil"/>
            </w:tcBorders>
          </w:tcPr>
          <w:p w14:paraId="35D63F33" w14:textId="77777777" w:rsidR="006A0E73" w:rsidRDefault="006A0E73">
            <w:pPr>
              <w:widowControl w:val="0"/>
              <w:autoSpaceDE w:val="0"/>
              <w:autoSpaceDN w:val="0"/>
              <w:adjustRightInd w:val="0"/>
              <w:spacing w:after="0" w:line="240" w:lineRule="auto"/>
              <w:rPr>
                <w:rFonts w:ascii="Times" w:hAnsi="Times" w:cs="Times"/>
                <w:color w:val="000000"/>
                <w:sz w:val="18"/>
                <w:szCs w:val="18"/>
              </w:rPr>
            </w:pPr>
          </w:p>
        </w:tc>
        <w:tc>
          <w:tcPr>
            <w:tcW w:w="4705" w:type="dxa"/>
            <w:gridSpan w:val="2"/>
            <w:tcBorders>
              <w:top w:val="nil"/>
              <w:left w:val="nil"/>
              <w:bottom w:val="nil"/>
              <w:right w:val="nil"/>
            </w:tcBorders>
          </w:tcPr>
          <w:p w14:paraId="77434C89" w14:textId="0EBAD5CE" w:rsidR="006A0E73" w:rsidRDefault="006A0E73">
            <w:pPr>
              <w:widowControl w:val="0"/>
              <w:autoSpaceDE w:val="0"/>
              <w:autoSpaceDN w:val="0"/>
              <w:adjustRightInd w:val="0"/>
              <w:spacing w:after="0" w:line="240" w:lineRule="auto"/>
              <w:jc w:val="center"/>
              <w:rPr>
                <w:rFonts w:ascii="Times" w:hAnsi="Times" w:cs="Times"/>
                <w:b/>
                <w:bCs/>
                <w:color w:val="000000"/>
              </w:rPr>
            </w:pPr>
            <w:r>
              <w:rPr>
                <w:rFonts w:ascii="Times" w:hAnsi="Times" w:cs="Times"/>
                <w:b/>
                <w:bCs/>
                <w:color w:val="000000"/>
              </w:rPr>
              <w:t>ЛИЦЕНЗИОННЫЙ ДОГОВОР № </w:t>
            </w:r>
            <w:r w:rsidR="00BD2D82">
              <w:rPr>
                <w:rFonts w:ascii="Times" w:hAnsi="Times" w:cs="Times"/>
                <w:b/>
                <w:bCs/>
                <w:color w:val="000000"/>
              </w:rPr>
              <w:t>К099010/26</w:t>
            </w:r>
          </w:p>
          <w:p w14:paraId="6BDC08C5" w14:textId="77777777" w:rsidR="006A0E73" w:rsidRDefault="006A0E7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право использования программы для ЭВМ «Контур.Диадок»</w:t>
            </w:r>
          </w:p>
          <w:p w14:paraId="73496812" w14:textId="77777777" w:rsidR="00270573" w:rsidRDefault="00270573">
            <w:pPr>
              <w:widowControl w:val="0"/>
              <w:autoSpaceDE w:val="0"/>
              <w:autoSpaceDN w:val="0"/>
              <w:adjustRightInd w:val="0"/>
              <w:spacing w:after="0" w:line="240" w:lineRule="auto"/>
              <w:jc w:val="center"/>
              <w:rPr>
                <w:rFonts w:ascii="Times" w:hAnsi="Times" w:cs="Times"/>
                <w:b/>
                <w:bCs/>
                <w:color w:val="000000"/>
                <w:sz w:val="18"/>
                <w:szCs w:val="18"/>
              </w:rPr>
            </w:pPr>
          </w:p>
          <w:p w14:paraId="622A7A24" w14:textId="77777777" w:rsidR="00270573" w:rsidRDefault="00270573">
            <w:pPr>
              <w:widowControl w:val="0"/>
              <w:autoSpaceDE w:val="0"/>
              <w:autoSpaceDN w:val="0"/>
              <w:adjustRightInd w:val="0"/>
              <w:spacing w:after="0" w:line="240" w:lineRule="auto"/>
              <w:jc w:val="center"/>
              <w:rPr>
                <w:rFonts w:ascii="Times New Roman" w:hAnsi="Times New Roman"/>
                <w:b/>
              </w:rPr>
            </w:pPr>
            <w:r w:rsidRPr="00C8213A">
              <w:rPr>
                <w:rFonts w:ascii="Times" w:hAnsi="Times" w:cs="Times"/>
                <w:b/>
                <w:bCs/>
                <w:color w:val="000000"/>
                <w:sz w:val="18"/>
                <w:szCs w:val="18"/>
              </w:rPr>
              <w:t xml:space="preserve">ИКЗ </w:t>
            </w:r>
            <w:r w:rsidRPr="00C8213A">
              <w:rPr>
                <w:rFonts w:ascii="Times New Roman" w:hAnsi="Times New Roman"/>
                <w:b/>
              </w:rPr>
              <w:t>261782569476178400100100170380000244</w:t>
            </w:r>
          </w:p>
          <w:p w14:paraId="129C9DCF" w14:textId="77777777" w:rsidR="00270573" w:rsidRDefault="00270573">
            <w:pPr>
              <w:widowControl w:val="0"/>
              <w:autoSpaceDE w:val="0"/>
              <w:autoSpaceDN w:val="0"/>
              <w:adjustRightInd w:val="0"/>
              <w:spacing w:after="0" w:line="240" w:lineRule="auto"/>
              <w:jc w:val="center"/>
              <w:rPr>
                <w:rFonts w:ascii="Times" w:hAnsi="Times" w:cs="Times"/>
                <w:b/>
                <w:bCs/>
                <w:color w:val="000000"/>
                <w:sz w:val="18"/>
                <w:szCs w:val="18"/>
              </w:rPr>
            </w:pPr>
          </w:p>
        </w:tc>
        <w:tc>
          <w:tcPr>
            <w:tcW w:w="2834" w:type="dxa"/>
            <w:tcBorders>
              <w:top w:val="nil"/>
              <w:left w:val="nil"/>
              <w:bottom w:val="nil"/>
              <w:right w:val="nil"/>
            </w:tcBorders>
          </w:tcPr>
          <w:p w14:paraId="1D5EC2CD" w14:textId="59CFC45B" w:rsidR="006A0E73" w:rsidRDefault="00C8213A">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noProof/>
                <w:color w:val="000000"/>
                <w:sz w:val="18"/>
                <w:szCs w:val="18"/>
              </w:rPr>
              <w:drawing>
                <wp:inline distT="0" distB="0" distL="0" distR="0" wp14:anchorId="08B647B2" wp14:editId="74116154">
                  <wp:extent cx="542925" cy="5429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r>
      <w:tr w:rsidR="006A0E73" w14:paraId="6229A678" w14:textId="77777777">
        <w:tc>
          <w:tcPr>
            <w:tcW w:w="5187" w:type="dxa"/>
            <w:gridSpan w:val="2"/>
            <w:tcBorders>
              <w:top w:val="nil"/>
              <w:left w:val="nil"/>
              <w:bottom w:val="nil"/>
              <w:right w:val="nil"/>
            </w:tcBorders>
          </w:tcPr>
          <w:p w14:paraId="316A8B11" w14:textId="77777777" w:rsidR="006A0E73" w:rsidRDefault="006A0E73">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Екатеринбург</w:t>
            </w:r>
          </w:p>
        </w:tc>
        <w:tc>
          <w:tcPr>
            <w:tcW w:w="5187" w:type="dxa"/>
            <w:gridSpan w:val="2"/>
            <w:tcBorders>
              <w:top w:val="nil"/>
              <w:left w:val="nil"/>
              <w:bottom w:val="nil"/>
              <w:right w:val="nil"/>
            </w:tcBorders>
          </w:tcPr>
          <w:p w14:paraId="5F65DF05" w14:textId="77777777" w:rsidR="006A0E73" w:rsidRDefault="006A0E73">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w:t>
            </w:r>
            <w:r w:rsidR="00270573">
              <w:rPr>
                <w:rFonts w:ascii="Times" w:hAnsi="Times" w:cs="Times"/>
                <w:color w:val="000000"/>
                <w:sz w:val="18"/>
                <w:szCs w:val="18"/>
              </w:rPr>
              <w:t>__</w:t>
            </w:r>
            <w:r>
              <w:rPr>
                <w:rFonts w:ascii="Times" w:hAnsi="Times" w:cs="Times"/>
                <w:color w:val="000000"/>
                <w:sz w:val="18"/>
                <w:szCs w:val="18"/>
              </w:rPr>
              <w:t>.2026</w:t>
            </w:r>
          </w:p>
        </w:tc>
      </w:tr>
      <w:tr w:rsidR="00C7270F" w14:paraId="71E59571" w14:textId="77777777">
        <w:tc>
          <w:tcPr>
            <w:tcW w:w="5187" w:type="dxa"/>
            <w:gridSpan w:val="2"/>
            <w:tcBorders>
              <w:top w:val="nil"/>
              <w:left w:val="nil"/>
              <w:bottom w:val="nil"/>
              <w:right w:val="nil"/>
            </w:tcBorders>
          </w:tcPr>
          <w:p w14:paraId="72E439C2" w14:textId="77777777" w:rsidR="00C7270F" w:rsidRDefault="00C7270F">
            <w:pPr>
              <w:widowControl w:val="0"/>
              <w:autoSpaceDE w:val="0"/>
              <w:autoSpaceDN w:val="0"/>
              <w:adjustRightInd w:val="0"/>
              <w:spacing w:after="0" w:line="240" w:lineRule="auto"/>
              <w:rPr>
                <w:rFonts w:ascii="Times" w:hAnsi="Times" w:cs="Times"/>
                <w:color w:val="000000"/>
                <w:sz w:val="18"/>
                <w:szCs w:val="18"/>
              </w:rPr>
            </w:pPr>
          </w:p>
        </w:tc>
        <w:tc>
          <w:tcPr>
            <w:tcW w:w="5187" w:type="dxa"/>
            <w:gridSpan w:val="2"/>
            <w:tcBorders>
              <w:top w:val="nil"/>
              <w:left w:val="nil"/>
              <w:bottom w:val="nil"/>
              <w:right w:val="nil"/>
            </w:tcBorders>
          </w:tcPr>
          <w:p w14:paraId="3888C475" w14:textId="77777777" w:rsidR="00C7270F" w:rsidRDefault="00C7270F">
            <w:pPr>
              <w:widowControl w:val="0"/>
              <w:autoSpaceDE w:val="0"/>
              <w:autoSpaceDN w:val="0"/>
              <w:adjustRightInd w:val="0"/>
              <w:spacing w:after="0" w:line="240" w:lineRule="auto"/>
              <w:jc w:val="right"/>
              <w:rPr>
                <w:rFonts w:ascii="Times" w:hAnsi="Times" w:cs="Times"/>
                <w:color w:val="000000"/>
                <w:sz w:val="18"/>
                <w:szCs w:val="18"/>
              </w:rPr>
            </w:pPr>
          </w:p>
        </w:tc>
      </w:tr>
    </w:tbl>
    <w:p w14:paraId="0FA30132"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Акционерное общество «Производственная фирма «СКБ Контур», именуемое в дальнейшем Лицензиар, в лице </w:t>
      </w:r>
      <w:r w:rsidR="005D67C2">
        <w:rPr>
          <w:rFonts w:ascii="Times" w:hAnsi="Times" w:cs="Times"/>
          <w:color w:val="000000"/>
          <w:sz w:val="18"/>
          <w:szCs w:val="18"/>
        </w:rPr>
        <w:t>_________________</w:t>
      </w:r>
      <w:r>
        <w:rPr>
          <w:rFonts w:ascii="Times" w:hAnsi="Times" w:cs="Times"/>
          <w:color w:val="000000"/>
          <w:sz w:val="18"/>
          <w:szCs w:val="18"/>
        </w:rPr>
        <w:t xml:space="preserve">, </w:t>
      </w:r>
      <w:bookmarkStart w:id="0" w:name="_GoBack"/>
      <w:bookmarkEnd w:id="0"/>
      <w:r>
        <w:rPr>
          <w:rFonts w:ascii="Times" w:hAnsi="Times" w:cs="Times"/>
          <w:color w:val="000000"/>
          <w:sz w:val="18"/>
          <w:szCs w:val="18"/>
        </w:rPr>
        <w:t>с одной стороны, и ФГБУ “РГМАА”, именуемое в дальнейшем Лицензиат, в лице Директора Петровой Натальи Викторовны, действующей на основании Устава, с другой стороны, именуемые в дальнейшем также Стороны, руководствуясь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Лицензионный договор о нижеследующем.</w:t>
      </w:r>
    </w:p>
    <w:p w14:paraId="7B71996D" w14:textId="77777777" w:rsidR="006A0E73" w:rsidRDefault="006A0E7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14:paraId="5017E8A0"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Контур.Диадок − результат интеллектуальной деятельности − программа для ЭВМ «Контур.Диадок» (в том числе интеграционные и иные модули, сервисы, предусмотренные Прайс-листом и позволяющие Лицензиату использовать дополнительную функциональность Контур.Диадока) (далее – Продукт), размещенная на сервере Лицензиара и предназначенная для обеспечения юридически значимого электронного документооборота, в том числе между субъектами трудовых правоотношений.</w:t>
      </w:r>
    </w:p>
    <w:p w14:paraId="4044300C"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Спецификация (Приложение № 1 к Лицензионному договору) − документ, содержащий информацию о стоимости и комплекте предоставляемых Лицензиату неисключительных прав использования программ для ЭВМ и оказываемых услуг/выполняемых работ.</w:t>
      </w:r>
    </w:p>
    <w:p w14:paraId="12F401BF"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14:paraId="35F3B782"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Сублицензионный договор на использование программы для ЭВМ СКЗИ «КриптоПро CSP» (Приложение № 4 к Лицензионному договору)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Лицензиатом является существенным условием Лицензионного договора, если приобретаются лицензии на право использования СКЗИ.</w:t>
      </w:r>
    </w:p>
    <w:p w14:paraId="61D3B5C4"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Конечный пользователь – юридическое лицо или индивидуальный предприниматель − аффилированное лицо Лицензиата, в интересах которого действует Лицензиат в рамках Лицензионного договора. Ответственность за ознакомление Конечного пользователя с текстом Лицензионного договора лежит на Лицензиате. Конечный пользователь идентифицируется уникальным ИНН, если в Прайс-листе не установлено иное. Все условия Лицензионного договора, за исключением условий, установленных п. 4.2.1, а также разделом 5, распространяются в равной степени как на Лицензиата, так и на Конечных пользователей. Конечные пользователи обладают теми же правами и несут те же обязанности по Лицензионному договору, что и Лицензиат. Везде в Лицензионном договоре, за исключением п. 4.2.1, а также раздела 5, при упоминании Лицензиата подразумевается также Конечный пользователь.</w:t>
      </w:r>
    </w:p>
    <w:p w14:paraId="11F0FB3E"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Списки Конечных пользователей (Приложение № 2 и 3 к Лицензионному договору) – документы, содержащие информацию о Конечных пользователях, являющиеся неотъемлемой частью Лицензионного договора в том случае, если Лицензиат в рамках Лицензионного договора действует не только в своих интересах, но и в интересах Конечных пользователей. Лицензии на право использования Продукта (за исключением лицензий, указанных в п. 1.6.1 Лицензионного договора) и/или лицензии на иное программное обеспечение, а также услуги или работы, предусмотренные Прайс-листом, приобретаются отдельно в отношении Лицензиата и/или каждого Конечного пользователя, если Прайс-листом не установлено иное.</w:t>
      </w:r>
    </w:p>
    <w:p w14:paraId="64E34799"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1.6.1. Приложение № 2 подписывается в случае приобретения для совместного использования Лицензиатом и Конечными пользователями лицензий на пакетные Тарифные планы и иных лицензий, если возможность приобретения иных лицензий для совместного использования предусмотрена Прайс-листом. В случае необходимости изменения Списка Конечных пользователей Стороны оформляют и подписывают Список Конечных пользователей в новой редакции (также являющийся Приложением № 2 к Лицензионному договору). Каждая новая редакция Списка Конечных пользователей (Приложение № 2) заменяет собой предыдущую, и с момента подписания последней редакции Списка Конечных пользователей предыдущая редакция утрачивает свою силу, если иное не указано в Списке конечных пользователей.</w:t>
      </w:r>
    </w:p>
    <w:p w14:paraId="7E3E9CC2"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1.6.2. Приложение № 3 подписывается в случае приобретения Лицензиатом в интересах Конечных пользователей лицензий на использование Продукта в целях индивидуального использования определенным Конечным пользователем. Каждый новый Список Конечных пользователей (Приложение № 3) не заменяет предыдущую редакцию Списка Конечных пользователей. Лицензионный договор считается заключенным в интересах перечисленных Конечных пользователей до окончания срока действия приобретаемых лицензий.</w:t>
      </w:r>
    </w:p>
    <w:p w14:paraId="4310B90F"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1.7. Тарифный план – совокупность предоставляемых Лицензиаром неисключительных прав использования Продукта. Состав Тарифного плана определяется Прайс-листом.</w:t>
      </w:r>
    </w:p>
    <w:p w14:paraId="73985494"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1.8. Прайс-лист – документ (неотъемлемая часть Лицензионного договора), отражающий ценовую политику Лицензиара и состав Тарифных планов. Действующая редакция основного Прайс-листа публикуется на сайте </w:t>
      </w:r>
      <w:hyperlink r:id="rId5" w:history="1">
        <w:r>
          <w:rPr>
            <w:rFonts w:ascii="Times" w:hAnsi="Times" w:cs="Times"/>
            <w:color w:val="0000CD"/>
            <w:sz w:val="18"/>
            <w:szCs w:val="18"/>
          </w:rPr>
          <w:t>https://www.diadoc.ru/price</w:t>
        </w:r>
      </w:hyperlink>
      <w:r>
        <w:rPr>
          <w:rFonts w:ascii="Times" w:hAnsi="Times" w:cs="Times"/>
          <w:color w:val="000000"/>
          <w:sz w:val="18"/>
          <w:szCs w:val="18"/>
        </w:rPr>
        <w:t>. Дополнительные Прайс-листы представляются по требованию Лицензиата. Лицензиар имеет право в одностороннем порядке вносить изменения и/или дополнения в Прайс-лист путем публикации на сайте.</w:t>
      </w:r>
    </w:p>
    <w:p w14:paraId="35F1B3B1"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1.9. Порядок выдачи сертификатов ключей проверки ЭП в сервисе Продукта «КЭДО» (далее – Порядок выдачи сертификатов НЭП) – неотъемлемая часть Лицензионного договора, документ, определяющий условия взаимодействия Лицензиата с Удостоверяющим центром Лицензиара в процессе создания/выдачи/вручения/прекращения действия неквалифицированных сертификатов ключей проверки электронных подписей Удостоверяющим центром Лицензиара при использовании Лицензиатом сервиса Продукта «КЭДО». Актуальная редакция Порядка выдачи сертификатов НЭП публикуется Лицензиаром по адресу </w:t>
      </w:r>
      <w:hyperlink r:id="rId6" w:history="1">
        <w:r>
          <w:rPr>
            <w:rFonts w:ascii="Times" w:hAnsi="Times" w:cs="Times"/>
            <w:color w:val="0000CD"/>
            <w:sz w:val="18"/>
            <w:szCs w:val="18"/>
          </w:rPr>
          <w:t>https://kontur.ru/kedo/docs/poryadok-vydachi-sertifikatov</w:t>
        </w:r>
      </w:hyperlink>
      <w:r>
        <w:rPr>
          <w:rFonts w:ascii="Times" w:hAnsi="Times" w:cs="Times"/>
          <w:color w:val="000000"/>
          <w:sz w:val="18"/>
          <w:szCs w:val="18"/>
        </w:rPr>
        <w:t>. Лицензиат присоединяется к Порядку выдачи сертификатов НЭП в силу ст. 428 Гражданского кодекса Российской Федерации путем направления списка уполномоченных лиц либо путем наделения пользователей полномочиями по взаимодействию с Удостоверяющим центром Лицензиара, либо путем оплаты Тарифных планов сервиса «КЭДО» или с момента начала использования сервиса «КЭДО».</w:t>
      </w:r>
    </w:p>
    <w:p w14:paraId="148765F2"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1.10. Правила по обеспечению информационной безопасности на рабочем месте − документ, составленный Лицензиаром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Лицензиата, работающими с использованием СКЗИ. Актуальная редакция Правил публикуется на сайте </w:t>
      </w:r>
      <w:hyperlink r:id="rId7" w:history="1">
        <w:r>
          <w:rPr>
            <w:rFonts w:ascii="Times" w:hAnsi="Times" w:cs="Times"/>
            <w:color w:val="0000CD"/>
            <w:sz w:val="18"/>
            <w:szCs w:val="18"/>
          </w:rPr>
          <w:t>https://ca.kontur.ru</w:t>
        </w:r>
      </w:hyperlink>
      <w:r>
        <w:rPr>
          <w:rFonts w:ascii="Times" w:hAnsi="Times" w:cs="Times"/>
          <w:color w:val="000000"/>
          <w:sz w:val="18"/>
          <w:szCs w:val="18"/>
        </w:rPr>
        <w:t>. Заключением Лицензионного договора Лицензиат подтверждает выполнение Лицензиаром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Лицензиар имеет право в одностороннем порядке вносить изменения и/или дополнения в Правила путем публикации на сайте.</w:t>
      </w:r>
    </w:p>
    <w:p w14:paraId="295EA3D2"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1.11.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14:paraId="2EBF7DE4"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Для подписания документов в Продукте Лицензиат может использовать:</w:t>
      </w:r>
    </w:p>
    <w:p w14:paraId="034D5C10"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усиленную квалифицированную ЭП, сертификат ключа проверки которой может быть выдан любым аккредитованным удостоверяющим центром;</w:t>
      </w:r>
    </w:p>
    <w:p w14:paraId="49D1892F"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усиленную неквалифицированную ЭП (далее – НЭП), сертификат ключа проверки которой может быть выдан любым удостоверяющим центром, входящим в Группу компаний СКБ Контур, в соответствии с требованиями Регламента (порядка) оказания услуг Удостоверяющего центра (далее – Регламент УЦ), действующая редакция Регламента УЦ публикуется на сайте </w:t>
      </w:r>
      <w:hyperlink r:id="rId8" w:history="1">
        <w:r>
          <w:rPr>
            <w:rFonts w:ascii="Times" w:hAnsi="Times" w:cs="Times"/>
            <w:color w:val="0000CD"/>
            <w:sz w:val="18"/>
            <w:szCs w:val="18"/>
          </w:rPr>
          <w:t>http://ca.kontur.ru</w:t>
        </w:r>
      </w:hyperlink>
      <w:r>
        <w:rPr>
          <w:rFonts w:ascii="Times" w:hAnsi="Times" w:cs="Times"/>
          <w:color w:val="000000"/>
          <w:sz w:val="18"/>
          <w:szCs w:val="18"/>
        </w:rPr>
        <w:t>;</w:t>
      </w:r>
    </w:p>
    <w:p w14:paraId="0688B2D6"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простую ЭП (далее – ПЭП).</w:t>
      </w:r>
    </w:p>
    <w:p w14:paraId="45416F4B"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Возможность использования НЭП и ПЭП в сервисах Продукта установлена Прайс-листами Лицензиара. Если иное не предусмотрено Прайс-листом, условия признания НЭП и ПЭП определяются Соглашением, к которому пользователи Продукта должны присоединиться перед началом использования. Условия признания ЭП в модуле Продукта «Международный документооборот» определяются Соглашением о признании электронных подписей (далее – Соглашение о признании ЭП), неотъемлемой частью Лицензионного договора. Соглашение о признании ЭП публикуется по адресу</w:t>
      </w:r>
      <w:hyperlink r:id="rId9" w:history="1">
        <w:r>
          <w:rPr>
            <w:rFonts w:ascii="Times" w:hAnsi="Times" w:cs="Times"/>
            <w:color w:val="0000CD"/>
            <w:sz w:val="18"/>
            <w:szCs w:val="18"/>
          </w:rPr>
          <w:t>https://kontur.ru/diadoc/mtedo</w:t>
        </w:r>
      </w:hyperlink>
      <w:r>
        <w:rPr>
          <w:rFonts w:ascii="Times" w:hAnsi="Times" w:cs="Times"/>
          <w:color w:val="000000"/>
          <w:sz w:val="18"/>
          <w:szCs w:val="18"/>
        </w:rPr>
        <w:t>. Начало обмена документами в Продукте с юридическим лицом, либо организацией, не имеющей статуса юридического лица, созданными в соответствии с законодательством иностранного государства, означает ознакомление Лицензиата с Соглашением о признании ЭП и присоединение к нему.</w:t>
      </w:r>
    </w:p>
    <w:p w14:paraId="7A5768E2"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Оператор электронного документооборота – обязательства Лицензиара в рамках исполнения организациями и (или) индивидуальными предпринимателями обязанности по получению счетов-фактур, в том числе корректировочных счетов-фактур, при приобретении товаров, подлежащих прослеживаемости в соответствии с п. 1.2 ст. 169 Налогового кодекса Российской Федерации.</w:t>
      </w:r>
    </w:p>
    <w:p w14:paraId="065FA1BD"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Оператор информационной системы – обязательства Лицензиара в процессе осуществления участниками информационного взаимодействия обмена электронными перевозочными документами и сведениями, содержащимися в них, между собой, направления таких документов и сведений в государственную информационную систему электронных перевозочных документов, а также представления иной информации, связанной с обработкой таких документов и сведений, из информационной системы электронных перевозочных документов в государственную информационную систему электронных перевозочных документов по запросу оператора государственной информационной системы электронных перевозочных документов.</w:t>
      </w:r>
    </w:p>
    <w:p w14:paraId="1DCC780D"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1.15. Пользовательская документация – совокупность справочных материалов, описывающих функциональные возможности Продукта и порядок их использования. Опубликована на странице </w:t>
      </w:r>
      <w:hyperlink r:id="rId10" w:history="1">
        <w:r>
          <w:rPr>
            <w:rFonts w:ascii="Times" w:hAnsi="Times" w:cs="Times"/>
            <w:color w:val="0000CD"/>
            <w:sz w:val="18"/>
            <w:szCs w:val="18"/>
          </w:rPr>
          <w:t>https://support.kontur.ru/diadoc</w:t>
        </w:r>
      </w:hyperlink>
      <w:r>
        <w:rPr>
          <w:rFonts w:ascii="Times" w:hAnsi="Times" w:cs="Times"/>
          <w:color w:val="000000"/>
          <w:sz w:val="18"/>
          <w:szCs w:val="18"/>
        </w:rPr>
        <w:t>.</w:t>
      </w:r>
    </w:p>
    <w:p w14:paraId="48263A87"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1.16. Программный интерфейс API (Application Programming Interface) – интерфейс прикладного программирования Продукта, позволяющий провести интеграцию Продукта с любой учетной системой Лицензиата.</w:t>
      </w:r>
    </w:p>
    <w:p w14:paraId="7DA02288"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1.17.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любой учетной системой Лицензиата. Состав API-лицензии определяется Прайс-листом.</w:t>
      </w:r>
    </w:p>
    <w:p w14:paraId="0359C547"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1.18.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14:paraId="25F1F0AA"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1.19.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во взаимоотношениях с Лицензиатом. Список Сервисных центров публикуется на сайте </w:t>
      </w:r>
      <w:hyperlink r:id="rId11" w:history="1">
        <w:r>
          <w:rPr>
            <w:rFonts w:ascii="Times" w:hAnsi="Times" w:cs="Times"/>
            <w:color w:val="0000CD"/>
            <w:sz w:val="18"/>
            <w:szCs w:val="18"/>
          </w:rPr>
          <w:t>https://kontur.ru/contacts/all</w:t>
        </w:r>
      </w:hyperlink>
      <w:r>
        <w:rPr>
          <w:rFonts w:ascii="Times" w:hAnsi="Times" w:cs="Times"/>
          <w:color w:val="000000"/>
          <w:sz w:val="18"/>
          <w:szCs w:val="18"/>
        </w:rPr>
        <w:t>.</w:t>
      </w:r>
    </w:p>
    <w:p w14:paraId="4DAA6241" w14:textId="77777777" w:rsidR="00C7270F" w:rsidRDefault="00C7270F">
      <w:pPr>
        <w:widowControl w:val="0"/>
        <w:autoSpaceDE w:val="0"/>
        <w:autoSpaceDN w:val="0"/>
        <w:adjustRightInd w:val="0"/>
        <w:spacing w:after="0" w:line="240" w:lineRule="auto"/>
        <w:jc w:val="both"/>
        <w:rPr>
          <w:rFonts w:ascii="Times" w:hAnsi="Times" w:cs="Times"/>
          <w:color w:val="000000"/>
          <w:sz w:val="18"/>
          <w:szCs w:val="18"/>
        </w:rPr>
      </w:pPr>
    </w:p>
    <w:p w14:paraId="1C882FCE" w14:textId="77777777" w:rsidR="006A0E73" w:rsidRDefault="006A0E7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Лицензионного договора</w:t>
      </w:r>
    </w:p>
    <w:p w14:paraId="2F9EC3A9"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Лицензиар обязуется предоставить Лицензиату простую (неисключительную) лицензию на право использования Продукта в пределах, предусмотренных Лицензионным договором. Лицензиат обязуется принять и оплатить предоставленные неисключительные имущественные права в порядке, установленном Лицензионным договором.</w:t>
      </w:r>
    </w:p>
    <w:p w14:paraId="78C4EB5B"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Если Лицензиату требуется СКЗИ, то Лицензиар обязуется возмездно передать простые (неисключительные) лицензии на право использования СКЗИ на условиях Сублицензионного договора.</w:t>
      </w:r>
    </w:p>
    <w:p w14:paraId="3585EE68"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2.3. При необходимости Лицензиату могут быть возмездно предоставлены лицензии на иное программное обеспечение, оказаны услуги, выполнены работы, предусмотренные Прайс-листом Лицензиара.</w:t>
      </w:r>
    </w:p>
    <w:p w14:paraId="6E17D86E"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2.4. Лицензиар имеет право по своему усмотрению привлекать третьих лиц для оказания услуг и выполнения работ с соответствующим уведомлением Лицензиата по электронной почте, при этом оставаясь ответственным перед Лицензиатом за действия привлеченных третьих лиц. Лицензиат имеет право отказаться от оказания услуг и (или) выполнения работ привлеченным третьим лицом.</w:t>
      </w:r>
    </w:p>
    <w:p w14:paraId="23D6ED32"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2.5. В случае если Лицензиат является участником оборота товаров, подлежащих обязательной маркировке средствами идентификации в соответствии с Федеральным законом Российской Федерации от 28.12.2009 № 381-ФЗ «Об основах государственного регулирования торговой деятельности в Российской Федерации», заключение Лицензионного договора рассматривается Сторонами как поручение Лицензиата Лицензиару, осуществлять от имени Лицензиата передачу и получение электронных документов, содержащих информацию о товарах, подлежащих обязательной маркировке средствами идентификации, оператору информационных систем мониторинга.</w:t>
      </w:r>
    </w:p>
    <w:p w14:paraId="07566D1C"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2.6. ИКЗ: 261782569476178400100100170380000244</w:t>
      </w:r>
    </w:p>
    <w:p w14:paraId="19A48BC3" w14:textId="77777777" w:rsidR="00C7270F" w:rsidRDefault="00C7270F">
      <w:pPr>
        <w:widowControl w:val="0"/>
        <w:autoSpaceDE w:val="0"/>
        <w:autoSpaceDN w:val="0"/>
        <w:adjustRightInd w:val="0"/>
        <w:spacing w:after="0" w:line="240" w:lineRule="auto"/>
        <w:jc w:val="both"/>
        <w:rPr>
          <w:rFonts w:ascii="Times" w:hAnsi="Times" w:cs="Times"/>
          <w:color w:val="000000"/>
          <w:sz w:val="18"/>
          <w:szCs w:val="18"/>
        </w:rPr>
      </w:pPr>
    </w:p>
    <w:p w14:paraId="58928158" w14:textId="77777777" w:rsidR="006A0E73" w:rsidRDefault="006A0E7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Порядок исполнения обязательств Лицензиаром. Объем предоставляемых прав, способы и условия использования</w:t>
      </w:r>
    </w:p>
    <w:p w14:paraId="0778EE14"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После поступления на расчетный счет Лицензиара оплаты 30% стоимости лицензионного вознаграждения Лицензиар предоставляет Лицензиату право использования Продукта путем:</w:t>
      </w:r>
    </w:p>
    <w:p w14:paraId="45523854"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3.1.1. открытия доступа к веб-версии Продукта. При этом Лицензиар в течение 5 (пяти) календарных дней с момента получения предоплаты регистрирует учетную запись Лицензиата на сервере Продукта. Доступ считается предоставленным Лицензиаром после регистрации учетной записи Лицензиата на сервере Продукта;</w:t>
      </w:r>
    </w:p>
    <w:p w14:paraId="7E47B7CB"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3.1.2. предоставления возможности Лицензиату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hyperlink r:id="rId12" w:history="1">
        <w:r>
          <w:rPr>
            <w:rFonts w:ascii="Times" w:hAnsi="Times" w:cs="Times"/>
            <w:color w:val="0000CD"/>
            <w:sz w:val="18"/>
            <w:szCs w:val="18"/>
          </w:rPr>
          <w:t>https://www.diadoc.ru/order1c</w:t>
        </w:r>
      </w:hyperlink>
      <w:r>
        <w:rPr>
          <w:rFonts w:ascii="Times" w:hAnsi="Times" w:cs="Times"/>
          <w:color w:val="000000"/>
          <w:sz w:val="18"/>
          <w:szCs w:val="18"/>
        </w:rPr>
        <w:t>;</w:t>
      </w:r>
    </w:p>
    <w:p w14:paraId="2062D950"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3.1.3. предоставления Лицензиату Ключа разработчика по адресу электронной почты, указанному Лицензиатом, либо предоставления доступа к Кабинету интегратора (</w:t>
      </w:r>
      <w:hyperlink r:id="rId13" w:history="1">
        <w:r>
          <w:rPr>
            <w:rFonts w:ascii="Times" w:hAnsi="Times" w:cs="Times"/>
            <w:color w:val="0000CD"/>
            <w:sz w:val="18"/>
            <w:szCs w:val="18"/>
          </w:rPr>
          <w:t>https://integrations.kontur.ru</w:t>
        </w:r>
      </w:hyperlink>
      <w:r>
        <w:rPr>
          <w:rFonts w:ascii="Times" w:hAnsi="Times" w:cs="Times"/>
          <w:color w:val="000000"/>
          <w:sz w:val="18"/>
          <w:szCs w:val="18"/>
        </w:rPr>
        <w:t xml:space="preserve">) для интеграции Продукта с информационными системами при помощи API, если на странице </w:t>
      </w:r>
      <w:hyperlink r:id="rId14" w:history="1">
        <w:r>
          <w:rPr>
            <w:rFonts w:ascii="Times" w:hAnsi="Times" w:cs="Times"/>
            <w:color w:val="0000CD"/>
            <w:sz w:val="18"/>
            <w:szCs w:val="18"/>
          </w:rPr>
          <w:t>https://developer.kontur.ru/Docs/diadoc-api/authentication.html</w:t>
        </w:r>
      </w:hyperlink>
      <w:r>
        <w:rPr>
          <w:rFonts w:ascii="Times" w:hAnsi="Times" w:cs="Times"/>
          <w:color w:val="000000"/>
          <w:sz w:val="18"/>
          <w:szCs w:val="18"/>
        </w:rPr>
        <w:t xml:space="preserve"> не предусмотрено иное;</w:t>
      </w:r>
    </w:p>
    <w:p w14:paraId="0B37A191"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3.1.4. предоставления Лицензиату программных компонентов модулей по адресу электронной почты, указанному Лицензиатом, для использования дополнительной функциональности Продукта.</w:t>
      </w:r>
    </w:p>
    <w:p w14:paraId="703DE06F"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Лицензиату предоставляется право использования Продукта на территории всего мира.</w:t>
      </w:r>
    </w:p>
    <w:p w14:paraId="10D7FB56"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3.3. Лицензиар предоставляет Лицензиату право использовать Продукт по его функциональному назначению следующими способами:</w:t>
      </w:r>
    </w:p>
    <w:p w14:paraId="48D1D334"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3.3.1. воспроизведение графической части (веб-интерфейса) Продукта на экране персонального компьютера и/или мобильного устройства;</w:t>
      </w:r>
    </w:p>
    <w:p w14:paraId="34A05E3D"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3.3.2. интеграция Продукта с информационной системой Лицензиата в случае использования API или интеграционных модулей Продукта;</w:t>
      </w:r>
    </w:p>
    <w:p w14:paraId="074C16AA"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3.3.3. самостоятельная модификация, адаптация и доработка модулей Продукта.</w:t>
      </w:r>
    </w:p>
    <w:p w14:paraId="0D0E3CB2"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 Необходимым условием использования Продукта является наличие у Лицензиата:</w:t>
      </w:r>
    </w:p>
    <w:p w14:paraId="763B3055"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3.4.1. подключения к сети Интернет;</w:t>
      </w:r>
    </w:p>
    <w:p w14:paraId="57BA2B82"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3.4.2. учетной записи на сервере Лицензиара.</w:t>
      </w:r>
    </w:p>
    <w:p w14:paraId="1C23F32B"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Для подписания электронных документов могут быть использованы КЭП, НЭП или ПЭП в соответствии с условиями, установленными п. 1.12 Лицензионного договора.</w:t>
      </w:r>
    </w:p>
    <w:p w14:paraId="2A348367"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 Лицензиату запрещается:</w:t>
      </w:r>
    </w:p>
    <w:p w14:paraId="3BA1C489"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3.5.1. допускать использование Продукта лицами, не имеющими прав на такое использование;</w:t>
      </w:r>
    </w:p>
    <w:p w14:paraId="47FD8580"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3.5.2. дизассемблировать, декомпилировать, адаптировать и модифицировать Продукт (за исключением, установленным п. 3.3.3 Лицензионного договора);</w:t>
      </w:r>
    </w:p>
    <w:p w14:paraId="63F74F26"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3.5.3.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14:paraId="21A441DE"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3.5.4. организовывать с помощью Продукта спам-рассылку корреспонденции рекламного характера пользователям Продукта, не выражавшим желания её получать;</w:t>
      </w:r>
    </w:p>
    <w:p w14:paraId="357FAC0E"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3.5.5. использовать для направления и подписания документов функциональность «Приглашения», описанную в Пользовательской документации, за исключением писем о переходе на электронный документооборот или соглашений об электронном документообороте.</w:t>
      </w:r>
    </w:p>
    <w:p w14:paraId="7DF856B8"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3.6. Объем предоставляемого права использования Продукта зависит от оплаченного Лицензиатом Тарифного плана.</w:t>
      </w:r>
    </w:p>
    <w:p w14:paraId="3B23D58B" w14:textId="77777777" w:rsidR="00C7270F" w:rsidRDefault="00C7270F">
      <w:pPr>
        <w:widowControl w:val="0"/>
        <w:autoSpaceDE w:val="0"/>
        <w:autoSpaceDN w:val="0"/>
        <w:adjustRightInd w:val="0"/>
        <w:spacing w:after="0" w:line="240" w:lineRule="auto"/>
        <w:jc w:val="both"/>
        <w:rPr>
          <w:rFonts w:ascii="Times" w:hAnsi="Times" w:cs="Times"/>
          <w:color w:val="000000"/>
          <w:sz w:val="18"/>
          <w:szCs w:val="18"/>
        </w:rPr>
      </w:pPr>
    </w:p>
    <w:p w14:paraId="68C40358" w14:textId="77777777" w:rsidR="006A0E73" w:rsidRDefault="006A0E7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Права и обязанности Сторон</w:t>
      </w:r>
    </w:p>
    <w:p w14:paraId="42C13C9B"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Обязанности Лицензиара:</w:t>
      </w:r>
    </w:p>
    <w:p w14:paraId="0A3EE6E5"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соответствие Продукта функциональности, описанной в Пользовательской документации;</w:t>
      </w:r>
    </w:p>
    <w:p w14:paraId="2A2C97D7"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проводимых преимущественно в ночное время, с извещением Лицензиата о профилактических работах путем размещения информации на сервере Продукта;</w:t>
      </w:r>
    </w:p>
    <w:p w14:paraId="0BC9D2DF"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4.1.3. воздержание от каких-либо действий, способных воспрепятствовать нормальному использованию Лицензиатом Продукта;</w:t>
      </w:r>
    </w:p>
    <w:p w14:paraId="58AB7E97"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своевременное обновление программного обеспечения на сервере;</w:t>
      </w:r>
    </w:p>
    <w:p w14:paraId="46244EEE"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защита информации, обрабатываемой на сервере Лицензиара, от несанкционированного доступа;</w:t>
      </w:r>
    </w:p>
    <w:p w14:paraId="79F4E5C3"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4.1.6. соблюдение конфиденциальности информации, ставшей известной Лицензиару в процессе исполнения Лицензионного договора;</w:t>
      </w:r>
    </w:p>
    <w:p w14:paraId="431F59DC"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4.1.7. наличие всех необходимых лицензий для исполнения обязательств по Лицензионному договору. Место публикации лицензий Лицензиара </w:t>
      </w:r>
      <w:hyperlink r:id="rId15" w:history="1">
        <w:r>
          <w:rPr>
            <w:rFonts w:ascii="Times" w:hAnsi="Times" w:cs="Times"/>
            <w:color w:val="0000CD"/>
            <w:sz w:val="18"/>
            <w:szCs w:val="18"/>
          </w:rPr>
          <w:t>https://kontur.ru/about/licences</w:t>
        </w:r>
      </w:hyperlink>
      <w:r>
        <w:rPr>
          <w:rFonts w:ascii="Times" w:hAnsi="Times" w:cs="Times"/>
          <w:color w:val="000000"/>
          <w:sz w:val="18"/>
          <w:szCs w:val="18"/>
        </w:rPr>
        <w:t>;</w:t>
      </w:r>
    </w:p>
    <w:p w14:paraId="24C715AE"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4.1.8. обеспечение сохранности документов Лицензиата в соответствии с Пользовательской документацией;</w:t>
      </w:r>
    </w:p>
    <w:p w14:paraId="04977600"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4.1.9. осуществление обязанностей Оператора электронного документооборота и Оператора информационной системы;</w:t>
      </w:r>
    </w:p>
    <w:p w14:paraId="4196A3E9"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4.1.10. публикация актуальных версий интеграционных модулей по адресу </w:t>
      </w:r>
      <w:hyperlink r:id="rId16" w:history="1">
        <w:r>
          <w:rPr>
            <w:rFonts w:ascii="Times" w:hAnsi="Times" w:cs="Times"/>
            <w:color w:val="0000CD"/>
            <w:sz w:val="18"/>
            <w:szCs w:val="18"/>
          </w:rPr>
          <w:t>https://www.diadoc.ru/order1c</w:t>
        </w:r>
      </w:hyperlink>
      <w:r>
        <w:rPr>
          <w:rFonts w:ascii="Times" w:hAnsi="Times" w:cs="Times"/>
          <w:color w:val="000000"/>
          <w:sz w:val="18"/>
          <w:szCs w:val="18"/>
        </w:rPr>
        <w:t>.</w:t>
      </w:r>
    </w:p>
    <w:p w14:paraId="4B1AE72D"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Обязанности Лицензиата:</w:t>
      </w:r>
    </w:p>
    <w:p w14:paraId="622398C4"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 своевременная оплата предоставленных прав использования, услуг, работ Лицензиара в порядке и сроки, установленные Лицензионным договором;</w:t>
      </w:r>
    </w:p>
    <w:p w14:paraId="0AA874DE"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4.2.2. соблюдение требований Пользовательской документации при использовании Продукта и СКЗИ;</w:t>
      </w:r>
    </w:p>
    <w:p w14:paraId="7B981E12"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14:paraId="15C685F0"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4.2.4. представление Лицензиару всех сведений и документов, необходимых для исполнения Лицензиаром обязательств по Лицензионному договору;</w:t>
      </w:r>
    </w:p>
    <w:p w14:paraId="7C0D0327"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4.2.5. самостоятельная комплектация рабочего места в соответствии с требованиями, размещенными на сайте </w:t>
      </w:r>
      <w:hyperlink r:id="rId17" w:history="1">
        <w:r>
          <w:rPr>
            <w:rFonts w:ascii="Times" w:hAnsi="Times" w:cs="Times"/>
            <w:color w:val="0000CD"/>
            <w:sz w:val="18"/>
            <w:szCs w:val="18"/>
          </w:rPr>
          <w:t>https://www.diadoc.ru</w:t>
        </w:r>
      </w:hyperlink>
      <w:r>
        <w:rPr>
          <w:rFonts w:ascii="Times" w:hAnsi="Times" w:cs="Times"/>
          <w:color w:val="000000"/>
          <w:sz w:val="18"/>
          <w:szCs w:val="18"/>
        </w:rPr>
        <w:t>;</w:t>
      </w:r>
    </w:p>
    <w:p w14:paraId="1A3EED80"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4.2.6. своевременное информирование Конечных пользователей об условиях заключения, а также расторжения Лицензионного договора. А в случае необходимости изменения Списка конечных пользователей – подписание его в новой редакции в порядке, установленном п. 1.6 Лицензионного договора. В случае отсутствия того или иного Конечного пользователя в Списке Конечных пользователей такой Конечный пользователь считается использующим Продукт незаконно;</w:t>
      </w:r>
    </w:p>
    <w:p w14:paraId="7B2A0490"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4.2.7. своевременное обновление интеграционных модулей.</w:t>
      </w:r>
    </w:p>
    <w:p w14:paraId="15FE09F1"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Права Лицензиара:</w:t>
      </w:r>
    </w:p>
    <w:p w14:paraId="4DD01F51"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14:paraId="444E4C2E"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4.3.2. отказ в заключении Лицензионного договора с Лицензиатом в интересах Конечных пользователей без объяснения причин;</w:t>
      </w:r>
    </w:p>
    <w:p w14:paraId="0ACD4DD1"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4.3.3. удаление из Продукта документов, направленных в нарушение запретов, установленных п. 3.5 Лицензионного договора.</w:t>
      </w:r>
    </w:p>
    <w:p w14:paraId="012EFAE2"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 Права Лицензиата:</w:t>
      </w:r>
    </w:p>
    <w:p w14:paraId="025B6D2C"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4.4.1. получение круглосуточного доступа к серверу с целью использования всех функциональных возможностей Продукта, описанных в Пользовательской документации, за исключением времени проведения профилактических работ;</w:t>
      </w:r>
    </w:p>
    <w:p w14:paraId="0877E5E3"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4.4.2. внесение предложений по изменению функциональных возможностей Продукта;</w:t>
      </w:r>
    </w:p>
    <w:p w14:paraId="7ABAFD94"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4.4.3. непредставление отчетов об использовании Продукта Лицензиару;</w:t>
      </w:r>
    </w:p>
    <w:p w14:paraId="729F0C99"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4.4.4. обращение к Лицензиару для удаления документа в Продукте совместно с другим владельцем документа (по смыслу п. 4.1.8 Лицензионного договора);</w:t>
      </w:r>
    </w:p>
    <w:p w14:paraId="5AB337CD"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4.4.5. получение технической поддержки путем обращения за телефонными консультациями в Федеральный контакт-центр Лицензиара без ограничения по времени и количеству обращений.</w:t>
      </w:r>
    </w:p>
    <w:p w14:paraId="287094CE" w14:textId="77777777" w:rsidR="00C7270F" w:rsidRDefault="00C7270F">
      <w:pPr>
        <w:widowControl w:val="0"/>
        <w:autoSpaceDE w:val="0"/>
        <w:autoSpaceDN w:val="0"/>
        <w:adjustRightInd w:val="0"/>
        <w:spacing w:after="0" w:line="240" w:lineRule="auto"/>
        <w:jc w:val="both"/>
        <w:rPr>
          <w:rFonts w:ascii="Times" w:hAnsi="Times" w:cs="Times"/>
          <w:color w:val="000000"/>
          <w:sz w:val="18"/>
          <w:szCs w:val="18"/>
        </w:rPr>
      </w:pPr>
    </w:p>
    <w:p w14:paraId="02097ACE" w14:textId="77777777" w:rsidR="006A0E73" w:rsidRDefault="006A0E7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Финансовые условия и порядок сдачи-приемки</w:t>
      </w:r>
    </w:p>
    <w:p w14:paraId="40B8EDC1"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5.1. Лицензионное вознаграждение за право использования программы для ЭВМ определяется Прайс-листом Лицензиара и устанавливается в Спецификации. Реализация права использования программ для ЭВМ, внесенных в единый реестр российских </w:t>
      </w:r>
      <w:r>
        <w:rPr>
          <w:rFonts w:ascii="Times" w:hAnsi="Times" w:cs="Times"/>
          <w:color w:val="000000"/>
          <w:sz w:val="18"/>
          <w:szCs w:val="18"/>
        </w:rPr>
        <w:lastRenderedPageBreak/>
        <w:t>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14:paraId="1185D272"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Цена услуг/работ/ТМЦ Лицензиара определяется Прайс-листом Лицензиара и устанавливается в Спецификации без учета НДС. НДС начисляется и предъявляется Лицензиату дополнительно к цене по ставке, действующей на дату оплаты счета или осуществления реализации, в соответствии с п. 3 ст. 164 Налогового кодекса Российской Федерации.</w:t>
      </w:r>
    </w:p>
    <w:p w14:paraId="55E714E9"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5.3. Лицензиат оплачивает выставленный Лицензиаром счет в течение 10 (десяти) рабочих дней с момента его получения путем перечисления 30% суммы, указанной в счете, на расчетный счет Лицензиара. Оставшиеся 70% суммы счета оплачиваются Лицензиатом в течение 10 (десяти) рабочих дней с момента подписания Сторонами УПД.</w:t>
      </w:r>
    </w:p>
    <w:p w14:paraId="1D1A2303"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5.4. Все расчеты по Лицензионному договору осуществляются в российских рублях путем безналичного перечисления денежных средств на расчетный счет Лицензиара.</w:t>
      </w:r>
    </w:p>
    <w:p w14:paraId="0EBDE0F1"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5.5. Обязательство Лицензиата по оплате счета считается исполненным с момента поступления денежных средств на расчетный счет Лицензиара.</w:t>
      </w:r>
    </w:p>
    <w:p w14:paraId="256B2F88"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5.6. Счет может быть отправлен Лицензиату электронной почтой, заказным почтовым отправлением, курьерской службой или в электронном виде, подписанный ЭП.</w:t>
      </w:r>
    </w:p>
    <w:p w14:paraId="1C0B2DCE"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5.7. Общая цена Лицензионного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14:paraId="73E8F08E"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5.8. Стороны подтверждают исполнение обязательств по Лицензионному договору путем подписания УПД. Лицензиат обязан вернуть Лицензиару подписанный экземпляр УПД до момента окончания срока, установленного пп. 5.9-5.10 Лицензионного договора.</w:t>
      </w:r>
    </w:p>
    <w:p w14:paraId="4A6164AE"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5.9. В случае отсутствия в течение 10 (десяти) рабочих дней с момента получения Лицензиаром оплаты или начала использования Лицензиатом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и СКЗИ (за исключением Лицензии в составе Сертификата ключа/ключевого контейнера), а также права на получение услуг по сопровождению (технической поддержке) и иных услуг в виде абонентского обслуживания, Модулей, ссылки на скачивание которых указаны в пп. 3.1.2 и 4.1.10 Лицензионного договора, переданные права признаются принятыми Лицензиатом в полном объеме без замечаний.</w:t>
      </w:r>
    </w:p>
    <w:p w14:paraId="15605309"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5.10. В случае отсутствия в течение 10 (десяти) рабочих дней с момента получения Лицензиатом УПД мотивированного отказа в письменном виде от приемки разовых услуг и/или выполненных работ, приемки предоставленных прав использования Модулей (за исключением Модулей, ссылки на скачивание которых указаны в пп. 3.1.2 и 4.1.10 Лицензионного договора), API-лицензий Продукта, активированных направленными Лицензиаром Ключами разработчика, Лицензии СКЗИ в составе Сертификата ключа/ключевого контейнера оказанные Лицензиаром услуги/выполненные работы, переданные права признаются принятыми Лицензиатом в полном объеме без замечаний. При этом разовыми являются услуги, оказываемые не в виде абонентского обслуживания.</w:t>
      </w:r>
    </w:p>
    <w:p w14:paraId="2B5E425C"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5.11. Мотивированный отказ от приемки прав, услуг, работ может быть отправлен Лицензиару электронной почтой с последующим отправлением оригинала по почте, либо в электронном виде, подписанный ЭП. После истечения срока, установленного для мотивированного отказа, лицензионное вознаграждение, оплаченное Лицензиатом, возврату не подлежит.</w:t>
      </w:r>
    </w:p>
    <w:p w14:paraId="5A247ED7"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5.12. В соответствии с законодательством Российской Федерации для проверки предоставленных Лицензиаром прав и оказанных услуг, выполненных работ, предусмотренных Лицензионным договором, в части их соответствия его условиям Лицензиат по собственной инициативе и за свой счет может провести экспертизу.</w:t>
      </w:r>
    </w:p>
    <w:p w14:paraId="4522D985"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5.13. </w:t>
      </w:r>
      <w:r w:rsidR="00270573" w:rsidRPr="00C8213A">
        <w:rPr>
          <w:rFonts w:ascii="Times" w:hAnsi="Times" w:cs="Times"/>
          <w:color w:val="000000"/>
          <w:sz w:val="18"/>
          <w:szCs w:val="18"/>
        </w:rPr>
        <w:t>Источник финансирования по Договору – средства от приносящей доход деятельности Абонента (Лицензиата).</w:t>
      </w:r>
    </w:p>
    <w:p w14:paraId="64FF8DDE" w14:textId="77777777" w:rsidR="00270573" w:rsidRDefault="00270573">
      <w:pPr>
        <w:widowControl w:val="0"/>
        <w:autoSpaceDE w:val="0"/>
        <w:autoSpaceDN w:val="0"/>
        <w:adjustRightInd w:val="0"/>
        <w:spacing w:after="0" w:line="240" w:lineRule="auto"/>
        <w:jc w:val="both"/>
        <w:rPr>
          <w:rFonts w:ascii="Times" w:hAnsi="Times" w:cs="Times"/>
          <w:color w:val="000000"/>
          <w:sz w:val="18"/>
          <w:szCs w:val="18"/>
        </w:rPr>
      </w:pPr>
    </w:p>
    <w:p w14:paraId="3AF27396" w14:textId="77777777" w:rsidR="006A0E73" w:rsidRDefault="006A0E7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Лицензионного договора. Порядок изменения, дополнения и расторжения. Порядок разрешения споров</w:t>
      </w:r>
    </w:p>
    <w:p w14:paraId="02491797"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Лицензионный договор вступает в силу с момента принятия его условий и действует до конца календарного года, а в части исполнения обязательств − до их полного исполнения Сторонами. Под принятием условий Лицензионного договора Стороны понимают: подписание Лицензиатом Лицензионного договора, фактическое начало использования Лицензиатом Продукта, оплату Лицензиатом выставленного Лицензиаром счета, в зависимости от того, какое из этих событий наступит раньше.</w:t>
      </w:r>
    </w:p>
    <w:p w14:paraId="491AA404"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Любые изменения и/или дополнения к Лицензионному договору, за исключением случаев, указанных в п. 1.6 Лицензионного договора, оформляются дополнительным соглашением, которое подписывается обеими Сторонами в том же порядке, что и Лицензионный договор.</w:t>
      </w:r>
    </w:p>
    <w:p w14:paraId="1E131515" w14:textId="77777777" w:rsidR="00C7270F" w:rsidRPr="00C7270F" w:rsidRDefault="00C7270F" w:rsidP="00C7270F">
      <w:pPr>
        <w:widowControl w:val="0"/>
        <w:autoSpaceDE w:val="0"/>
        <w:autoSpaceDN w:val="0"/>
        <w:adjustRightInd w:val="0"/>
        <w:spacing w:after="0" w:line="240" w:lineRule="auto"/>
        <w:jc w:val="both"/>
        <w:rPr>
          <w:rFonts w:ascii="Times" w:hAnsi="Times" w:cs="Times"/>
          <w:color w:val="000000"/>
          <w:sz w:val="18"/>
          <w:szCs w:val="18"/>
        </w:rPr>
      </w:pPr>
      <w:r w:rsidRPr="00C7270F">
        <w:rPr>
          <w:rFonts w:ascii="Times" w:hAnsi="Times" w:cs="Times"/>
          <w:color w:val="000000"/>
          <w:sz w:val="18"/>
          <w:szCs w:val="18"/>
        </w:rPr>
        <w:t>6.3. В случае нарушения Лицензиатом условий Лицензионного договора Лицензиар вправе незамедлительно блокировать доступ к Продукту без предварительного уведомления Лицензиата, а также досрочно расторгнуть Лицензионный договор.</w:t>
      </w:r>
    </w:p>
    <w:p w14:paraId="5D1C9920" w14:textId="77777777" w:rsidR="00C7270F" w:rsidRPr="00C7270F" w:rsidRDefault="00C7270F" w:rsidP="00C7270F">
      <w:pPr>
        <w:widowControl w:val="0"/>
        <w:autoSpaceDE w:val="0"/>
        <w:autoSpaceDN w:val="0"/>
        <w:adjustRightInd w:val="0"/>
        <w:spacing w:after="0" w:line="240" w:lineRule="auto"/>
        <w:jc w:val="both"/>
        <w:rPr>
          <w:rFonts w:ascii="Times" w:hAnsi="Times" w:cs="Times"/>
          <w:color w:val="000000"/>
          <w:sz w:val="18"/>
          <w:szCs w:val="18"/>
        </w:rPr>
      </w:pPr>
      <w:r w:rsidRPr="00C7270F">
        <w:rPr>
          <w:rFonts w:ascii="Times" w:hAnsi="Times" w:cs="Times"/>
          <w:color w:val="000000"/>
          <w:sz w:val="18"/>
          <w:szCs w:val="18"/>
        </w:rPr>
        <w:t>6.4. Лицензионный договор расторгается в случаях, предусмотренных законодательством Российской Федерации и Лицензионным договором.</w:t>
      </w:r>
    </w:p>
    <w:p w14:paraId="2D2B39F1" w14:textId="77777777" w:rsidR="00C7270F" w:rsidRDefault="00C7270F" w:rsidP="00C7270F">
      <w:pPr>
        <w:widowControl w:val="0"/>
        <w:autoSpaceDE w:val="0"/>
        <w:autoSpaceDN w:val="0"/>
        <w:adjustRightInd w:val="0"/>
        <w:spacing w:after="0" w:line="240" w:lineRule="auto"/>
        <w:jc w:val="both"/>
        <w:rPr>
          <w:rFonts w:ascii="Times" w:hAnsi="Times" w:cs="Times"/>
          <w:color w:val="000000"/>
          <w:sz w:val="18"/>
          <w:szCs w:val="18"/>
        </w:rPr>
      </w:pPr>
      <w:r w:rsidRPr="00C7270F">
        <w:rPr>
          <w:rFonts w:ascii="Times" w:hAnsi="Times" w:cs="Times"/>
          <w:color w:val="000000"/>
          <w:sz w:val="18"/>
          <w:szCs w:val="18"/>
        </w:rPr>
        <w:t>6.5. Все споры и разногласия, возникающие в связи с исполнением и (или) толкованием Лицензионного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w:t>
      </w:r>
    </w:p>
    <w:p w14:paraId="6E5A99CE" w14:textId="77777777" w:rsidR="00C7270F" w:rsidRPr="00C7270F" w:rsidRDefault="00C7270F" w:rsidP="00C7270F">
      <w:pPr>
        <w:widowControl w:val="0"/>
        <w:autoSpaceDE w:val="0"/>
        <w:autoSpaceDN w:val="0"/>
        <w:adjustRightInd w:val="0"/>
        <w:spacing w:after="0" w:line="240" w:lineRule="auto"/>
        <w:jc w:val="both"/>
        <w:rPr>
          <w:rFonts w:ascii="Times" w:hAnsi="Times" w:cs="Times"/>
          <w:color w:val="000000"/>
          <w:sz w:val="18"/>
          <w:szCs w:val="18"/>
        </w:rPr>
      </w:pPr>
    </w:p>
    <w:p w14:paraId="24CB6A13" w14:textId="77777777" w:rsidR="006A0E73" w:rsidRDefault="006A0E7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Ответственность Сторон. Конфиденциальность информации. Антикоррупционные условия. Форс-мажор</w:t>
      </w:r>
    </w:p>
    <w:p w14:paraId="2AB126A8"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За неисполнение или ненадлежащее исполнение обязательств по Лицензионному договору Стороны будут нести ответственность в соответствии с законодательством Российской Федерации и условиями Лицензионного договора.</w:t>
      </w:r>
    </w:p>
    <w:p w14:paraId="6924C702"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Лицензиар не будет нести ответственность за невозможность использования Продукта по причинам, не зависящим от Лицензиара.</w:t>
      </w:r>
    </w:p>
    <w:p w14:paraId="42F3789C"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Лицензиар не будет нести ответственность за несоблюдение Лицензиатом Пользовательской документации, отсутствие у Лицензиата подключения к сети Интернет, за функционирование Продукта и СКЗИ на неисправном компьютере и/или мобильном устройстве, либо компьютере и/или мобильном устройстве, зараженном каким-либо компьютерным вирусом, использование несертифицированного СКЗИ, а также при использовании Лицензиатом нелицензионного программного обеспечения.</w:t>
      </w:r>
    </w:p>
    <w:p w14:paraId="1166CD32"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7.4. Лицензиар не будет нести ответственность за ущерб, понесенный Лицензиатом в результате несоблюдения им Положения ПКЗ-2005 и Правил по обеспечению информационной безопасности на рабочем месте.</w:t>
      </w:r>
    </w:p>
    <w:p w14:paraId="2FDAA672"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7.5. Лицензиар не будет нести ответственность за содержание и достоверность информации, циркулирующей в Продукте.</w:t>
      </w:r>
    </w:p>
    <w:p w14:paraId="72302E7D"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7.6. Лицензиар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Лицензионным договором.</w:t>
      </w:r>
    </w:p>
    <w:p w14:paraId="3D7471C3"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7.7. Лицензиар будет нести ответственность за неисполнение обязанностей Оператора электронного документооборота и Оператора информационной системы в размере реально причиненного ущерба при наличии вины Лицензиара.</w:t>
      </w:r>
    </w:p>
    <w:p w14:paraId="373D2586"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7.8. Лицензиар не будет нести ответственность за некорректную работу модулей Продукта при их самостоятельной модификации, адаптации или доработке его Лицензиатом.</w:t>
      </w:r>
    </w:p>
    <w:p w14:paraId="3FD55DCC"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7.9. В случае возникновения у Лицензиата технических проблем, препятствующих нормальному использованию Продукта, Лицензиат обязуется незамедлительно обратиться в техническую поддержку Лицензиара. Лицензиар не будет нести ответственность за возникшие </w:t>
      </w:r>
      <w:r>
        <w:rPr>
          <w:rFonts w:ascii="Times" w:hAnsi="Times" w:cs="Times"/>
          <w:color w:val="000000"/>
          <w:sz w:val="18"/>
          <w:szCs w:val="18"/>
        </w:rPr>
        <w:lastRenderedPageBreak/>
        <w:t>у Лицензиата убытки, вызванные техническими проблемами, в случае если Лицензиат нарушает обязательство, установленное настоящим пунктом.</w:t>
      </w:r>
    </w:p>
    <w:p w14:paraId="777C25F6"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7.10.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п. 4.2.7 Лицензионного договора.</w:t>
      </w:r>
    </w:p>
    <w:p w14:paraId="70C939D0"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7.11. Лицензиат будет нести ответственность за проверку достоверности информации о владельцах сертификатов ключей проверки неквалифицированной электронной подписи и представление Лицензиару необходимых для выдачи сертификатов документов в рамках Порядка о выдаче сертификатов НЭП.</w:t>
      </w:r>
    </w:p>
    <w:p w14:paraId="72BBCCAE"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7.12. Лицензиар не будет нести ответственность за действия, совершаемые пользователями Лицензиата в Продукте.</w:t>
      </w:r>
    </w:p>
    <w:p w14:paraId="29A8339C"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7.13. Лицензиар не будет нести ответственность за несоблюдение Лицензиатом обязанности по хранению документов в пределах сроков, установленных законодательством Российской Федерации. Продукт не предназначен для архивного хранения электронных документов.</w:t>
      </w:r>
    </w:p>
    <w:p w14:paraId="34D0C003"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7.14. Совокупный размер ответственности Лицензиара, включая любые убытки (в случае если Лицензиат в конкретном случае имеет право на их возмещение), не может превышать стоимости прав, услуг и работ, которые были реализованы Лицензиаром Лицензиату по Лицензионному договору в течение одного года, предшествующего моменту возникновения убытков.</w:t>
      </w:r>
    </w:p>
    <w:p w14:paraId="476312D9"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7.15. Все возможные убытки, которые будет нести Конечный пользователь при невозможности использования Продукта по причинам, не зависящим от Лицензиара, в том числе при несвоевременном уведомлении Лицензиара Лицензиатом об изменении списка Конечных пользователей или несвоевременной оплате Лицензиатом лицензионного вознаграждения, возлагаются на Лицензиата.</w:t>
      </w:r>
    </w:p>
    <w:p w14:paraId="3ED6EDEB"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7.16. Лицензиар обязуется соблюдать конфиденциальность персональных данных, ставших ему известными при регистрации Лицензиата, в ходе оказания услуг, при проведении профилактических работ на сервере Продукта или иным образом.</w:t>
      </w:r>
    </w:p>
    <w:p w14:paraId="5672171A"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7.17.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Лицензионного договора.</w:t>
      </w:r>
    </w:p>
    <w:p w14:paraId="71ED2C44"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7.18. Факт заключения Лицензионного договора не является конфиденциальной информацией.</w:t>
      </w:r>
    </w:p>
    <w:p w14:paraId="32C81528"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7.19. При исполнении своих обязательств по Лицензионному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Лицензионному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14:paraId="40E05B19"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Лицензионного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14:paraId="7A13B76E"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подтверждения факта нарушения одной Стороной положений настоящего пункта Лицензионного договора и/или неполучения другой Стороной информации об итогах рассмотрения уведомления о нарушении другая Сторона имеет право отказаться от Лицензионного договора, направив письменное уведомление. Сторона, по инициативе которой расторгнут Лицензионный договор, вправе требовать возмещения реального ущерба, возникшего в результате расторжения Лицензионного договора.</w:t>
      </w:r>
    </w:p>
    <w:p w14:paraId="6170DFA2"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Стороны гарантируют осуществление надлежащего разбирательства по фактам нарушения положений настоящего пункта Лицензионного договора и применение эффективных мер по предотвращению возможных конфликтных ситуаций.</w:t>
      </w:r>
    </w:p>
    <w:p w14:paraId="4240409D"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7.20. Стороны освобождаются от ответственности за неисполнение или ненадлежащее исполнение условий Лицензионного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Лицензионному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Лицензионный договор действует в обычном порядке.</w:t>
      </w:r>
    </w:p>
    <w:p w14:paraId="35FB9D0E" w14:textId="77777777" w:rsidR="00C7270F" w:rsidRDefault="00C7270F">
      <w:pPr>
        <w:widowControl w:val="0"/>
        <w:autoSpaceDE w:val="0"/>
        <w:autoSpaceDN w:val="0"/>
        <w:adjustRightInd w:val="0"/>
        <w:spacing w:after="0" w:line="240" w:lineRule="auto"/>
        <w:jc w:val="both"/>
        <w:rPr>
          <w:rFonts w:ascii="Times" w:hAnsi="Times" w:cs="Times"/>
          <w:color w:val="000000"/>
          <w:sz w:val="18"/>
          <w:szCs w:val="18"/>
        </w:rPr>
      </w:pPr>
    </w:p>
    <w:p w14:paraId="10C4E9A5" w14:textId="77777777" w:rsidR="006A0E73" w:rsidRDefault="006A0E7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Заверения об обстоятельствах</w:t>
      </w:r>
    </w:p>
    <w:p w14:paraId="6D442453"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Каждая из Сторон заявляет и подтверждает другой Стороне, что на момент заключения Лицензионного договора:</w:t>
      </w:r>
    </w:p>
    <w:p w14:paraId="6A3265A2"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14:paraId="2A71DDD5"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фактически находится по адресу, указанному в ЕГРЮЛ;</w:t>
      </w:r>
    </w:p>
    <w:p w14:paraId="6D57F005"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Лицензионного договора и исполнения обязательств по нему;</w:t>
      </w:r>
    </w:p>
    <w:p w14:paraId="619FE022"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все полномочия, необходимые для заключения Лицензионного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14:paraId="4D665CFB"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Стороны подтверждают, что:</w:t>
      </w:r>
    </w:p>
    <w:p w14:paraId="6B09E0D9"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Лицензионного договора;</w:t>
      </w:r>
    </w:p>
    <w:p w14:paraId="7503D299"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не нарушает какие-либо права на объекты интеллектуальной собственности или иные имущественные права какого-либо третьего лица;</w:t>
      </w:r>
    </w:p>
    <w:p w14:paraId="2EB33BD5"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14:paraId="2D0B24C9"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исполнение Лицензионного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14:paraId="1F8EF4A9"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8.3. Сторона, полагавшаяся на недостоверные заверения другой Стороны, вправе досрочно расторгнуть Лицензионный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14:paraId="4A4CAF5E"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Лицензионного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14:paraId="7AF076EC" w14:textId="77777777" w:rsidR="00C7270F" w:rsidRDefault="00C7270F">
      <w:pPr>
        <w:widowControl w:val="0"/>
        <w:autoSpaceDE w:val="0"/>
        <w:autoSpaceDN w:val="0"/>
        <w:adjustRightInd w:val="0"/>
        <w:spacing w:after="0" w:line="240" w:lineRule="auto"/>
        <w:jc w:val="both"/>
        <w:rPr>
          <w:rFonts w:ascii="Times" w:hAnsi="Times" w:cs="Times"/>
          <w:color w:val="000000"/>
          <w:sz w:val="18"/>
          <w:szCs w:val="18"/>
        </w:rPr>
      </w:pPr>
    </w:p>
    <w:p w14:paraId="760F2A67" w14:textId="77777777" w:rsidR="006A0E73" w:rsidRDefault="006A0E7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Исключительные права</w:t>
      </w:r>
    </w:p>
    <w:p w14:paraId="3EDA9632"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Исключительные права на Продукт принадлежат Лицензиару.</w:t>
      </w:r>
    </w:p>
    <w:p w14:paraId="62C0E1D7"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9.2. Лицензиар гарантирует, что в Продукте не используются никакие элементы в нарушение прав третьих лиц и что Продукт не содержит вредоносных, шпионских элементов и программного кода, созданных для вывода из строя, нарушения работы или </w:t>
      </w:r>
      <w:r>
        <w:rPr>
          <w:rFonts w:ascii="Times" w:hAnsi="Times" w:cs="Times"/>
          <w:color w:val="000000"/>
          <w:sz w:val="18"/>
          <w:szCs w:val="18"/>
        </w:rPr>
        <w:lastRenderedPageBreak/>
        <w:t>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14:paraId="1CA4E19B"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 Право использования Продукта предоставляется исключительно Лицензиату и Конечным пользователям Лицензиата без права передачи третьим лицам, исключительно в объеме, установленном Лицензионным договором, если нет письменного согласия Лицензиара на иное.</w:t>
      </w:r>
    </w:p>
    <w:p w14:paraId="7C6FAB61"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9.4. Свидетельство о государственной регистрации прав на Продукт официально публикуется на сайте Лицензиара </w:t>
      </w:r>
      <w:hyperlink r:id="rId18" w:history="1">
        <w:r>
          <w:rPr>
            <w:rFonts w:ascii="Times" w:hAnsi="Times" w:cs="Times"/>
            <w:color w:val="0000CD"/>
            <w:sz w:val="18"/>
            <w:szCs w:val="18"/>
          </w:rPr>
          <w:t>https://kontur.ru/about/licences</w:t>
        </w:r>
      </w:hyperlink>
      <w:r>
        <w:rPr>
          <w:rFonts w:ascii="Times" w:hAnsi="Times" w:cs="Times"/>
          <w:color w:val="000000"/>
          <w:sz w:val="18"/>
          <w:szCs w:val="18"/>
        </w:rPr>
        <w:t>.</w:t>
      </w:r>
    </w:p>
    <w:p w14:paraId="630EB1A8"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9.5. Продукт внесен в единый реестр российских программ для электронных вычислительных машин и баз данных 29.04.2016, регистрационный номер 532.</w:t>
      </w:r>
    </w:p>
    <w:p w14:paraId="45C258F7"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9.6. Продукт предоставляется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14:paraId="4BDBDAE4" w14:textId="77777777" w:rsidR="006A0E73" w:rsidRDefault="006A0E7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10. Обязательства Сторон в области обработки персональных данных</w:t>
      </w:r>
    </w:p>
    <w:p w14:paraId="4C692A87"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 Заключение Лицензионного договора рассматривается Сторонами как поручение Оператора персональных данных (Лицензиата по Лицензионному договору) другому лицу, предусмотренное ч. 3 ст. 6 Федерального закона от 27.07.2006 № 152-ФЗ «О персональных данных» (далее – Закон о персональных данных). 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Лицензиатом веб-форм и загрузку Лицензиатом документов, в том числе электронных, в Продукт,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передачу (предоставление, доступ) участникам электронного взаимодействия, а также в адрес ООО «Центр финансовых инноваций Базис» (ИНН 7703461865, ОГРН 1187746658670) при загрузке сканированных копий документов, содержащих персональные данные, для их распознавания в рамках использования Лицензиатом функциональности модуля «Прием сотрудников» сервиса «КЭДО» Продукта,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Лицензиат дает поручение Лицензиару в отношении перечня всех возможных персональных данных (включая, но не ограничиваясь ФИО, ИНН, сведения из документа, удостоверяющего личность, должность, контактные данные), которые Лицензиат может разместить в Продукте, а также доступ к которым предоставит Лицензиат. Поручение на обработку персональных данных действует до момента уничтожения персональных данных Лицензиаром (в том числе по требованию Лицензиата) в соответствии с условиями Лицензионного договора.</w:t>
      </w:r>
    </w:p>
    <w:p w14:paraId="799164BE"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10.1.1. Лицензиат уполномочивает Лицензиара поручить обработку персональных данных, предусмотренную ч. 3 ст. 6 Закона о персональных данных, лицу, привлеченному Лицензиаром для оказания услуг и (или) выполнения работ в порядке, предусмотренном п. 2.4 Лицензионного договора, а именно осуществлять следующие действия (операции) с персональными данными, совершаемые с использованием средств автоматизации или без использования таких средств: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в части оказания услуг и выполнения работ, предусмотренных Прайс-листом Лицензиара. Лицензиат дает поручение в отношении перечня всех возможных персональных данных (включая, но не ограничиваясь ФИО, ИНН, сведения из документа, удостоверяющего личность, должность, контактные данные), доступ к которым Лицензиат предоставит привлеченному лицу. Срок действия такого Поручения ограничивается сроком оказания услуг и (или) выполнения работ, предусмотренных Прайс-листом Лицензиара.</w:t>
      </w:r>
    </w:p>
    <w:p w14:paraId="59D2B5D9"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 Лицензиат заверяет (по смыслу ст. 431.2 Гражданского кодекса Российской Федерации):</w:t>
      </w:r>
    </w:p>
    <w:p w14:paraId="0397242C"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14:paraId="58535365"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10.2.2. что им получено согласие субъектов персональных данных на обработку принадлежащих им персональных данных, в том числе на поручение такой обработки Лицензиару как третьему лицу и на поручение такой обработки Лицензиаром лицу, привлеченному в порядке, предусмотренном п. 2.4 Лицензионного договора, а также на передачу их персональных данных Лицензиаром в адрес ООО «Центр финансовых инноваций Базис» (ИНН 7703461865, ОГРН 1187746658670) при загрузке Лицензиатом сканированных копий документов, содержащих персональные данные, для их распознавания в рамках использования Лицензиатом функциональности модуля «Прием сотрудников» сервиса «КЭДО» Продукта;</w:t>
      </w:r>
    </w:p>
    <w:p w14:paraId="0FB3385D"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14:paraId="69860620"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 Лицензиар обязуется:</w:t>
      </w:r>
    </w:p>
    <w:p w14:paraId="55A5D842"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10.3.1. обеспечивать конфиденциальность обрабатываемых персональных данных;</w:t>
      </w:r>
    </w:p>
    <w:p w14:paraId="566645A0"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10.3.2. обрабатывать персональные данные с использованием баз данных, находящихся на территории Российской Федерации;</w:t>
      </w:r>
    </w:p>
    <w:p w14:paraId="2C89E950"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10.3.3. принимать меры по обеспечению безопасности персональных данных в соответствии со ст. 18.1, 19 Закона о персональных данных, в том числе:</w:t>
      </w:r>
    </w:p>
    <w:p w14:paraId="41C861E7"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определять угрозы безопасности персональных данных при их обработке;</w:t>
      </w:r>
    </w:p>
    <w:p w14:paraId="3F60AB77"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устанавливать правила доступа к обрабатываемым персональным данным;</w:t>
      </w:r>
    </w:p>
    <w:p w14:paraId="7A9ED82E"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обеспечивать обнаружение фактов несанкционированного доступа к персональным данным и принятие мер по их пресечению;</w:t>
      </w:r>
    </w:p>
    <w:p w14:paraId="3AD868C1"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проводить оценку эффективности принимаемых мер по обеспечению безопасности персональных данных и контроля за принимаемыми мерами;</w:t>
      </w:r>
    </w:p>
    <w:p w14:paraId="1B377A53"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10.3.4.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незамедлительно уведомить Лицензиата в соответствии с ч. 3.1 ст. 21 Закона о персональных данных;</w:t>
      </w:r>
    </w:p>
    <w:p w14:paraId="3A5C7D32"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10.3.5.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предоставлять Лицензиату документы и иную информацию, подтверждающие принятие мер и соблюдение в целях исполнения поручения Лицензиата требований, установленных ст. 6 Закона о персональных данных;</w:t>
      </w:r>
    </w:p>
    <w:p w14:paraId="093BC61A"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10.3.6. обеспечивать выполнение лицом, привлеченным Лицензиаром в порядке, предусмотренном п. 2.4 Лицензионного договора, обязательств, предусмотренных пп. 10.3.1–10.3.5 Лицензионного договора.</w:t>
      </w:r>
    </w:p>
    <w:p w14:paraId="552B8C3D"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10.4.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Лицензиаром на сайте </w:t>
      </w:r>
      <w:hyperlink r:id="rId19" w:history="1">
        <w:r>
          <w:rPr>
            <w:rFonts w:ascii="Times" w:hAnsi="Times" w:cs="Times"/>
            <w:color w:val="0000CD"/>
            <w:sz w:val="18"/>
            <w:szCs w:val="18"/>
          </w:rPr>
          <w:t>https://kontur.ru</w:t>
        </w:r>
      </w:hyperlink>
      <w:r>
        <w:rPr>
          <w:rFonts w:ascii="Times" w:hAnsi="Times" w:cs="Times"/>
          <w:color w:val="000000"/>
          <w:sz w:val="18"/>
          <w:szCs w:val="18"/>
        </w:rPr>
        <w:t>.</w:t>
      </w:r>
    </w:p>
    <w:p w14:paraId="02AFF43A"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10.5. В случаях, предусмотренных ст. 21 Закона о персональных данных (за исключением части 3.1 указанной статьи), Лицензиат обязуется самостоятельно выполнить необходимые действия, а при невозможности самостоятельного их выполнения незамедлительно обратиться к Лицензиару с соответствующим официальным требованием. При этом Лицензиар и Лицензиат не имеют возможности удалять персональные данные, размещенные в государственных информационных системах (далее – ГИС) и содержащиеся в переданных в ГИС документах. В случае необходимости уничтожения персональных данных, содержащихся в документах, переданных </w:t>
      </w:r>
      <w:r>
        <w:rPr>
          <w:rFonts w:ascii="Times" w:hAnsi="Times" w:cs="Times"/>
          <w:color w:val="000000"/>
          <w:sz w:val="18"/>
          <w:szCs w:val="18"/>
        </w:rPr>
        <w:lastRenderedPageBreak/>
        <w:t>в ГИС, Лицензиат самостоятельно обращается к Оператору ГИС с соответствующим запросом.</w:t>
      </w:r>
    </w:p>
    <w:p w14:paraId="33391669"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 Принимая условия Лицензионного договора, Лицензиат заверяет (по смыслу ст. 431.2 Гражданского кодекса Российской Федерации) о наличии согласий субъектов персональных данных – уполномоченных лиц Лицензиата, контактные данные (ФИО, номер телефона, адрес электронной почты) которых передаются Лицензиатом Лицензиару, на обработку принадлежащих им персональных данных, в том числе на передачу персональных данных Лицензиару и Сервисным центрам в целях исполнения Лицензионного договора, включая совершение массовых и (или) автоматических вызовов (все вызовы Лицензиара, совершаемые с его АТС).</w:t>
      </w:r>
    </w:p>
    <w:p w14:paraId="301D7C9C"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 Дополнительно к п. 10.2 Лицензионного договора при использовании Продукта за пределами Российской Федерации Лицензиат заверяет (по смыслу ст. 431.2 Гражданского кодекса Российской Федерации):</w:t>
      </w:r>
    </w:p>
    <w:p w14:paraId="76423B92"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10.7.1. что он обязуется самостоятельно (без участия Лицензиара) осуществлять хранение копии базы персональных данных, размещенных Лицензиаром в Продукте, и поддержание ее в актуальном состоянии, если это требуется в соответствии с применимым законодательством;</w:t>
      </w:r>
    </w:p>
    <w:p w14:paraId="65F43424"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10.7.2. что он произвел оценку применимого законодательства в области обработки персональных данных, и использование Продукта не накладывает на Лицензиара обязанностей, не предусмотренных законодательством Российской Федерации о персональных данных и Лицензионным договором. В случае необходимости возложения на Лицензиара обязательств для соблюдения применимого к Лицензиату законодательства о персональных данных Лицензиат обязуется принять необходимые меры для заключения соответствующего договора с Лицензиаром;</w:t>
      </w:r>
    </w:p>
    <w:p w14:paraId="64813CB1"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10.7.3. что им получено согласие субъектов персональных данных на трансграничную передачу персональных данных Лицензиару (если применимо).</w:t>
      </w:r>
    </w:p>
    <w:p w14:paraId="4D02368E" w14:textId="77777777" w:rsidR="00C7270F" w:rsidRDefault="00C7270F">
      <w:pPr>
        <w:widowControl w:val="0"/>
        <w:autoSpaceDE w:val="0"/>
        <w:autoSpaceDN w:val="0"/>
        <w:adjustRightInd w:val="0"/>
        <w:spacing w:after="0" w:line="240" w:lineRule="auto"/>
        <w:jc w:val="both"/>
        <w:rPr>
          <w:rFonts w:ascii="Times" w:hAnsi="Times" w:cs="Times"/>
          <w:color w:val="000000"/>
          <w:sz w:val="18"/>
          <w:szCs w:val="18"/>
        </w:rPr>
      </w:pPr>
    </w:p>
    <w:p w14:paraId="68F3C0C6" w14:textId="77777777" w:rsidR="006A0E73" w:rsidRDefault="006A0E7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11. Дополнительные условия</w:t>
      </w:r>
    </w:p>
    <w:p w14:paraId="6A3747F0"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Приложениями к Лицензионному договору являются:</w:t>
      </w:r>
    </w:p>
    <w:p w14:paraId="65CFC47C"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Спецификация;</w:t>
      </w:r>
    </w:p>
    <w:p w14:paraId="6EB1C460"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Список конечных пользователей (для совместного использования);</w:t>
      </w:r>
    </w:p>
    <w:p w14:paraId="34C79654"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Список конечных пользователей (для индивидуального использования);</w:t>
      </w:r>
    </w:p>
    <w:p w14:paraId="67DEED4E"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Стороны договорились о возможности использования факсимиле подписи уполномоченного лица Лицензиара для подписания Лицензионного договора и документов, необходимых для заключения и исполнения Лицензионного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Лицензиара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ЭП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Продукте. Использование Продукта для целей обмена электронными документами с Лицензиаром в рамках Лицензионного договора не будет тарифицироваться для Лицензиата.</w:t>
      </w:r>
    </w:p>
    <w:p w14:paraId="6E42AC8A"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Стороны обязуются информировать друг друга в течение 15 (пятнадцати) календарных дней об изменении своих реквизитов, указанных в Лицензионном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14:paraId="0EE216DB"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Принимая условия Лицензионного договора, Лицензиат дает согласие на получение от Лицензиара и/или Сервисного центра дополнительной информации и информационных рассылок по указанному при регистрации, а также предоставленному Лицензиару и/или Сервисному центру в ходе исполнения Лицензионного договора адресу электронной почты и телефону.</w:t>
      </w:r>
    </w:p>
    <w:p w14:paraId="1293989E"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11.5. Принимая условия Лицензионного договора, Лицензиат подтверждает наличие у него законных оснований для обработки принадлежащей ему информации, в том числе персональных данных.</w:t>
      </w:r>
    </w:p>
    <w:p w14:paraId="43529CB2"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11.6. Принимая условия Лицензионного договора, Лицензиат соглашается на массовые и (или) автоматические телефонные вызовы (все вызовы Лицензиара, совершаемые с его АТС), получение сообщений в мессенджеры, а также на получение голосовых и текстовых сообщений с использованием голосовых роботов, чат-ботов и почтовых ботов Лицензиара на номер подвижной мобильной связи или адрес электронной почты, с которых произведено обращение, либо указанные уполномоченным лицом Лицензиата. Согласие распространяется в том числе, но не ограничиваясь на информирование о результатах обращения в Федеральный контакт-центр Лицензиара, о результатах выполнения работ, оказания услуг, о необходимости обновления/проведения необходимых доработок интеграционных модулей.</w:t>
      </w:r>
    </w:p>
    <w:p w14:paraId="53523473"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11.7. Лицензиат подтверждает, что по смыслу п. 4 ст. 185 Гражданского кодекса Российской Федерации все действия, совершаемые пользователями Лицензиата в Продукте, признаются Лицензиатом совершаемыми от имени и в интересах Лицензиата.</w:t>
      </w:r>
    </w:p>
    <w:p w14:paraId="13B30D2D" w14:textId="77777777" w:rsidR="006A0E73" w:rsidRDefault="006A0E7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11.8. Лицензиар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Лицензионного договора, вносить изменения в договор-оферту, публикуемый в Продукте.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Лицензиата.</w:t>
      </w:r>
    </w:p>
    <w:p w14:paraId="570D3251" w14:textId="77777777" w:rsidR="00C7270F" w:rsidRDefault="00C7270F">
      <w:pPr>
        <w:widowControl w:val="0"/>
        <w:autoSpaceDE w:val="0"/>
        <w:autoSpaceDN w:val="0"/>
        <w:adjustRightInd w:val="0"/>
        <w:spacing w:after="0" w:line="240" w:lineRule="auto"/>
        <w:jc w:val="both"/>
        <w:rPr>
          <w:rFonts w:ascii="Times" w:hAnsi="Times" w:cs="Times"/>
          <w:color w:val="000000"/>
          <w:sz w:val="18"/>
          <w:szCs w:val="18"/>
        </w:rPr>
      </w:pPr>
    </w:p>
    <w:p w14:paraId="30502565" w14:textId="77777777" w:rsidR="006A0E73" w:rsidRDefault="006A0E7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12. Реквизиты и подписи Сторон</w:t>
      </w:r>
    </w:p>
    <w:tbl>
      <w:tblPr>
        <w:tblW w:w="0" w:type="auto"/>
        <w:tblLayout w:type="fixed"/>
        <w:tblCellMar>
          <w:left w:w="0" w:type="dxa"/>
          <w:right w:w="0" w:type="dxa"/>
        </w:tblCellMar>
        <w:tblLook w:val="0000" w:firstRow="0" w:lastRow="0" w:firstColumn="0" w:lastColumn="0" w:noHBand="0" w:noVBand="0"/>
      </w:tblPr>
      <w:tblGrid>
        <w:gridCol w:w="5187"/>
        <w:gridCol w:w="5187"/>
      </w:tblGrid>
      <w:tr w:rsidR="006A0E73" w14:paraId="0E08CAD4" w14:textId="77777777">
        <w:tc>
          <w:tcPr>
            <w:tcW w:w="5187" w:type="dxa"/>
            <w:tcBorders>
              <w:top w:val="nil"/>
              <w:left w:val="nil"/>
              <w:bottom w:val="nil"/>
              <w:right w:val="nil"/>
            </w:tcBorders>
          </w:tcPr>
          <w:p w14:paraId="0DB7509D" w14:textId="77777777" w:rsidR="006A0E73" w:rsidRDefault="006A0E73">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ЛИЦЕНЗИАР</w:t>
            </w:r>
          </w:p>
          <w:p w14:paraId="4C9C3DFF" w14:textId="77777777" w:rsidR="006A0E73" w:rsidRDefault="006A0E73">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АО «ПФ «СКБ Контур»</w:t>
            </w:r>
          </w:p>
          <w:p w14:paraId="21034ADC" w14:textId="77777777" w:rsidR="00C7270F" w:rsidRDefault="006A0E73">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xml:space="preserve">620144, Свердловская обл, г Екатеринбург, ул Народной Воли, </w:t>
            </w:r>
          </w:p>
          <w:p w14:paraId="165BB0FE" w14:textId="77777777" w:rsidR="006A0E73" w:rsidRDefault="006A0E73">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стр 19А</w:t>
            </w:r>
          </w:p>
          <w:p w14:paraId="56A1B64C" w14:textId="77777777" w:rsidR="005D67C2" w:rsidRDefault="005D67C2">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xml:space="preserve">ИНН: 6663003127 КПП </w:t>
            </w:r>
            <w:r w:rsidRPr="005D67C2">
              <w:rPr>
                <w:rFonts w:ascii="Times" w:hAnsi="Times" w:cs="Times"/>
                <w:color w:val="000000"/>
                <w:sz w:val="18"/>
                <w:szCs w:val="18"/>
              </w:rPr>
              <w:t>6663003127</w:t>
            </w:r>
          </w:p>
          <w:p w14:paraId="14DB5A07" w14:textId="77777777" w:rsidR="006A0E73" w:rsidRDefault="006A0E73">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КПП</w:t>
            </w:r>
            <w:r w:rsidR="005D67C2">
              <w:rPr>
                <w:rFonts w:ascii="Times" w:hAnsi="Times" w:cs="Times"/>
                <w:color w:val="000000"/>
                <w:sz w:val="18"/>
                <w:szCs w:val="18"/>
              </w:rPr>
              <w:t xml:space="preserve"> КН</w:t>
            </w:r>
            <w:r>
              <w:rPr>
                <w:rFonts w:ascii="Times" w:hAnsi="Times" w:cs="Times"/>
                <w:color w:val="000000"/>
                <w:sz w:val="18"/>
                <w:szCs w:val="18"/>
              </w:rPr>
              <w:t>: 997750001</w:t>
            </w:r>
          </w:p>
          <w:p w14:paraId="3E197EE8" w14:textId="77777777" w:rsidR="006A0E73" w:rsidRDefault="006A0E73">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Р/счет №: 40702810910010025728</w:t>
            </w:r>
          </w:p>
          <w:p w14:paraId="7326653E" w14:textId="77777777" w:rsidR="006A0E73" w:rsidRDefault="006A0E73">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кор/счет №: 30101810500000000904</w:t>
            </w:r>
          </w:p>
          <w:p w14:paraId="2306E8FF" w14:textId="77777777" w:rsidR="006A0E73" w:rsidRDefault="006A0E73">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в ПАО “Контур.Банк”</w:t>
            </w:r>
          </w:p>
          <w:p w14:paraId="5B2540A6" w14:textId="77777777" w:rsidR="006A0E73" w:rsidRPr="00C8213A" w:rsidRDefault="006A0E73">
            <w:pPr>
              <w:widowControl w:val="0"/>
              <w:autoSpaceDE w:val="0"/>
              <w:autoSpaceDN w:val="0"/>
              <w:adjustRightInd w:val="0"/>
              <w:spacing w:after="0" w:line="240" w:lineRule="auto"/>
              <w:rPr>
                <w:rFonts w:ascii="Times" w:hAnsi="Times" w:cs="Times"/>
                <w:color w:val="000000"/>
                <w:sz w:val="18"/>
                <w:szCs w:val="18"/>
                <w:lang w:val="en-US"/>
              </w:rPr>
            </w:pPr>
            <w:r>
              <w:rPr>
                <w:rFonts w:ascii="Times" w:hAnsi="Times" w:cs="Times"/>
                <w:color w:val="000000"/>
                <w:sz w:val="18"/>
                <w:szCs w:val="18"/>
              </w:rPr>
              <w:t>БИК</w:t>
            </w:r>
            <w:r w:rsidRPr="00C8213A">
              <w:rPr>
                <w:rFonts w:ascii="Times" w:hAnsi="Times" w:cs="Times"/>
                <w:color w:val="000000"/>
                <w:sz w:val="18"/>
                <w:szCs w:val="18"/>
                <w:lang w:val="en-US"/>
              </w:rPr>
              <w:t>: 046577904</w:t>
            </w:r>
          </w:p>
          <w:p w14:paraId="3F2DFB1E" w14:textId="77777777" w:rsidR="005D67C2" w:rsidRPr="001B4F15" w:rsidRDefault="005D67C2" w:rsidP="005D67C2">
            <w:pPr>
              <w:widowControl w:val="0"/>
              <w:autoSpaceDE w:val="0"/>
              <w:autoSpaceDN w:val="0"/>
              <w:adjustRightInd w:val="0"/>
              <w:spacing w:after="0" w:line="240" w:lineRule="auto"/>
              <w:rPr>
                <w:rFonts w:ascii="Times" w:hAnsi="Times" w:cs="Times"/>
                <w:color w:val="000000"/>
                <w:sz w:val="18"/>
                <w:szCs w:val="18"/>
                <w:lang w:val="en-US"/>
              </w:rPr>
            </w:pPr>
            <w:r w:rsidRPr="001B4F15">
              <w:rPr>
                <w:rFonts w:ascii="Times" w:hAnsi="Times" w:cs="Times"/>
                <w:color w:val="000000"/>
                <w:sz w:val="18"/>
                <w:szCs w:val="18"/>
                <w:lang w:val="en-US"/>
              </w:rPr>
              <w:t>e-mail: tender@skbkontur.ru;</w:t>
            </w:r>
          </w:p>
          <w:p w14:paraId="62078D6E" w14:textId="77777777" w:rsidR="005D67C2" w:rsidRDefault="005D67C2" w:rsidP="005D67C2">
            <w:pPr>
              <w:widowControl w:val="0"/>
              <w:autoSpaceDE w:val="0"/>
              <w:autoSpaceDN w:val="0"/>
              <w:adjustRightInd w:val="0"/>
              <w:spacing w:after="0" w:line="240" w:lineRule="auto"/>
              <w:rPr>
                <w:rFonts w:ascii="Times" w:hAnsi="Times" w:cs="Times"/>
                <w:color w:val="000000"/>
                <w:sz w:val="18"/>
                <w:szCs w:val="18"/>
              </w:rPr>
            </w:pPr>
            <w:r w:rsidRPr="003F310F">
              <w:rPr>
                <w:rFonts w:ascii="Times" w:hAnsi="Times" w:cs="Times"/>
                <w:color w:val="000000"/>
                <w:sz w:val="18"/>
                <w:szCs w:val="18"/>
              </w:rPr>
              <w:t>тел. тендерного отдела +7 343 278-69-59, доб. 4</w:t>
            </w:r>
          </w:p>
        </w:tc>
        <w:tc>
          <w:tcPr>
            <w:tcW w:w="5187" w:type="dxa"/>
            <w:tcBorders>
              <w:top w:val="nil"/>
              <w:left w:val="nil"/>
              <w:bottom w:val="nil"/>
              <w:right w:val="nil"/>
            </w:tcBorders>
          </w:tcPr>
          <w:p w14:paraId="56C9A581" w14:textId="77777777" w:rsidR="006A0E73" w:rsidRDefault="006A0E73">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ЛИЦЕНЗИАТ</w:t>
            </w:r>
          </w:p>
          <w:p w14:paraId="10DF18F6" w14:textId="77777777" w:rsidR="006A0E73" w:rsidRDefault="006A0E73">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ФГБУ “РГМАА”</w:t>
            </w:r>
          </w:p>
          <w:p w14:paraId="59CD59B3" w14:textId="77777777" w:rsidR="006A0E73" w:rsidRDefault="006A0E73">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191036, Санкт-Петербург г, ул. Марата, д. 24А, лит А</w:t>
            </w:r>
          </w:p>
          <w:p w14:paraId="35F71B0B" w14:textId="77777777" w:rsidR="006A0E73" w:rsidRDefault="006A0E73">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ИНН: 7825694761   КПП: 784001001</w:t>
            </w:r>
          </w:p>
          <w:p w14:paraId="63D547DD" w14:textId="77777777" w:rsidR="006A0E73" w:rsidRDefault="006A0E73">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в ОКЦ № 1 ВВГУ Банка России//УФК по Нижегородской области, г Нижний Новгород</w:t>
            </w:r>
          </w:p>
          <w:p w14:paraId="0832E572" w14:textId="77777777" w:rsidR="006A0E73" w:rsidRDefault="006A0E73">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Лицевой счёт казначейства: УФК по г. Санкт-Петербургу (ФГБУ «РГМАА», л/сч.20726Х30640)</w:t>
            </w:r>
          </w:p>
          <w:p w14:paraId="2398F911" w14:textId="77777777" w:rsidR="006A0E73" w:rsidRDefault="006A0E73">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ЕКС: 40102810745370000024</w:t>
            </w:r>
          </w:p>
          <w:p w14:paraId="3E97D2EC" w14:textId="77777777" w:rsidR="006A0E73" w:rsidRDefault="006A0E73">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Казначейский счёт: 03214643000000017200</w:t>
            </w:r>
          </w:p>
          <w:p w14:paraId="61838817" w14:textId="77777777" w:rsidR="006A0E73" w:rsidRDefault="006A0E73">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БИК: 012202102</w:t>
            </w:r>
          </w:p>
        </w:tc>
      </w:tr>
      <w:tr w:rsidR="006A0E73" w14:paraId="45A61E55" w14:textId="77777777">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6A0E73" w14:paraId="4A11DD1D" w14:textId="77777777">
              <w:trPr>
                <w:trHeight w:val="283"/>
              </w:trPr>
              <w:tc>
                <w:tcPr>
                  <w:tcW w:w="5102" w:type="dxa"/>
                  <w:gridSpan w:val="2"/>
                </w:tcPr>
                <w:p w14:paraId="0259CCC9" w14:textId="77777777" w:rsidR="006A0E73" w:rsidRDefault="006A0E73">
                  <w:pPr>
                    <w:widowControl w:val="0"/>
                    <w:autoSpaceDE w:val="0"/>
                    <w:autoSpaceDN w:val="0"/>
                    <w:adjustRightInd w:val="0"/>
                    <w:spacing w:after="0" w:line="240" w:lineRule="auto"/>
                    <w:rPr>
                      <w:rFonts w:ascii="Times" w:hAnsi="Times" w:cs="Times"/>
                      <w:color w:val="000000"/>
                      <w:sz w:val="18"/>
                      <w:szCs w:val="18"/>
                    </w:rPr>
                  </w:pPr>
                </w:p>
              </w:tc>
            </w:tr>
            <w:tr w:rsidR="006A0E73" w14:paraId="36EDB1F5" w14:textId="77777777">
              <w:trPr>
                <w:trHeight w:val="283"/>
              </w:trPr>
              <w:tc>
                <w:tcPr>
                  <w:tcW w:w="5102" w:type="dxa"/>
                  <w:gridSpan w:val="2"/>
                </w:tcPr>
                <w:p w14:paraId="2A5C6DD1" w14:textId="77777777" w:rsidR="006A0E73" w:rsidRDefault="006A0E73">
                  <w:pPr>
                    <w:widowControl w:val="0"/>
                    <w:autoSpaceDE w:val="0"/>
                    <w:autoSpaceDN w:val="0"/>
                    <w:adjustRightInd w:val="0"/>
                    <w:spacing w:after="0" w:line="240" w:lineRule="auto"/>
                    <w:rPr>
                      <w:rFonts w:ascii="Times" w:hAnsi="Times" w:cs="Times"/>
                      <w:color w:val="000000"/>
                      <w:sz w:val="18"/>
                      <w:szCs w:val="18"/>
                    </w:rPr>
                  </w:pPr>
                </w:p>
              </w:tc>
            </w:tr>
            <w:tr w:rsidR="006A0E73" w14:paraId="4C449089" w14:textId="77777777">
              <w:trPr>
                <w:trHeight w:val="170"/>
              </w:trPr>
              <w:tc>
                <w:tcPr>
                  <w:tcW w:w="2551" w:type="dxa"/>
                  <w:tcBorders>
                    <w:bottom w:val="single" w:sz="6" w:space="0" w:color="000000"/>
                  </w:tcBorders>
                </w:tcPr>
                <w:p w14:paraId="57D0E556" w14:textId="77777777" w:rsidR="006A0E73" w:rsidRDefault="006A0E73">
                  <w:pPr>
                    <w:widowControl w:val="0"/>
                    <w:autoSpaceDE w:val="0"/>
                    <w:autoSpaceDN w:val="0"/>
                    <w:adjustRightInd w:val="0"/>
                    <w:spacing w:after="0" w:line="240" w:lineRule="auto"/>
                    <w:rPr>
                      <w:rFonts w:ascii="Times" w:hAnsi="Times" w:cs="Times"/>
                      <w:color w:val="000000"/>
                      <w:sz w:val="18"/>
                      <w:szCs w:val="18"/>
                    </w:rPr>
                  </w:pPr>
                </w:p>
              </w:tc>
              <w:tc>
                <w:tcPr>
                  <w:tcW w:w="2551" w:type="dxa"/>
                </w:tcPr>
                <w:p w14:paraId="03FAEC36" w14:textId="77777777" w:rsidR="006A0E73" w:rsidRDefault="006A0E73">
                  <w:pPr>
                    <w:widowControl w:val="0"/>
                    <w:autoSpaceDE w:val="0"/>
                    <w:autoSpaceDN w:val="0"/>
                    <w:adjustRightInd w:val="0"/>
                    <w:spacing w:after="0" w:line="240" w:lineRule="auto"/>
                    <w:rPr>
                      <w:rFonts w:ascii="Times" w:hAnsi="Times" w:cs="Times"/>
                      <w:color w:val="000000"/>
                      <w:sz w:val="18"/>
                      <w:szCs w:val="18"/>
                    </w:rPr>
                  </w:pPr>
                </w:p>
              </w:tc>
            </w:tr>
            <w:tr w:rsidR="006A0E73" w14:paraId="58EF74F1" w14:textId="77777777">
              <w:trPr>
                <w:trHeight w:val="170"/>
              </w:trPr>
              <w:tc>
                <w:tcPr>
                  <w:tcW w:w="5102" w:type="dxa"/>
                  <w:gridSpan w:val="2"/>
                </w:tcPr>
                <w:p w14:paraId="7D69A518" w14:textId="77777777" w:rsidR="006A0E73" w:rsidRDefault="006A0E73">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14:paraId="756618B0" w14:textId="77777777" w:rsidR="006A0E73" w:rsidRDefault="006A0E73">
            <w:pPr>
              <w:widowControl w:val="0"/>
              <w:autoSpaceDE w:val="0"/>
              <w:autoSpaceDN w:val="0"/>
              <w:adjustRightInd w:val="0"/>
              <w:spacing w:after="0" w:line="240" w:lineRule="auto"/>
              <w:rPr>
                <w:rFonts w:ascii="Times" w:hAnsi="Times" w:cs="Times"/>
                <w:color w:val="000000"/>
                <w:sz w:val="18"/>
                <w:szCs w:val="18"/>
              </w:rPr>
            </w:pPr>
          </w:p>
        </w:tc>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6A0E73" w14:paraId="46EDFE7A" w14:textId="77777777">
              <w:trPr>
                <w:trHeight w:val="283"/>
              </w:trPr>
              <w:tc>
                <w:tcPr>
                  <w:tcW w:w="5102" w:type="dxa"/>
                  <w:gridSpan w:val="2"/>
                </w:tcPr>
                <w:p w14:paraId="68CE21A7" w14:textId="77777777" w:rsidR="006A0E73" w:rsidRDefault="006A0E73">
                  <w:pPr>
                    <w:widowControl w:val="0"/>
                    <w:autoSpaceDE w:val="0"/>
                    <w:autoSpaceDN w:val="0"/>
                    <w:adjustRightInd w:val="0"/>
                    <w:spacing w:after="0" w:line="240" w:lineRule="auto"/>
                    <w:rPr>
                      <w:rFonts w:ascii="Times" w:hAnsi="Times" w:cs="Times"/>
                      <w:color w:val="000000"/>
                      <w:sz w:val="18"/>
                      <w:szCs w:val="18"/>
                    </w:rPr>
                  </w:pPr>
                </w:p>
              </w:tc>
            </w:tr>
            <w:tr w:rsidR="006A0E73" w14:paraId="7A2471D5" w14:textId="77777777">
              <w:trPr>
                <w:trHeight w:val="283"/>
              </w:trPr>
              <w:tc>
                <w:tcPr>
                  <w:tcW w:w="5102" w:type="dxa"/>
                  <w:gridSpan w:val="2"/>
                </w:tcPr>
                <w:p w14:paraId="33485CFF" w14:textId="77777777" w:rsidR="006A0E73" w:rsidRDefault="006A0E73">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Директор</w:t>
                  </w:r>
                </w:p>
              </w:tc>
            </w:tr>
            <w:tr w:rsidR="006A0E73" w14:paraId="365C7D31" w14:textId="77777777">
              <w:trPr>
                <w:trHeight w:val="170"/>
              </w:trPr>
              <w:tc>
                <w:tcPr>
                  <w:tcW w:w="2551" w:type="dxa"/>
                  <w:tcBorders>
                    <w:bottom w:val="single" w:sz="6" w:space="0" w:color="000000"/>
                  </w:tcBorders>
                </w:tcPr>
                <w:p w14:paraId="632FF85B" w14:textId="77777777" w:rsidR="006A0E73" w:rsidRDefault="006A0E73">
                  <w:pPr>
                    <w:widowControl w:val="0"/>
                    <w:autoSpaceDE w:val="0"/>
                    <w:autoSpaceDN w:val="0"/>
                    <w:adjustRightInd w:val="0"/>
                    <w:spacing w:after="0" w:line="240" w:lineRule="auto"/>
                    <w:rPr>
                      <w:rFonts w:ascii="Times" w:hAnsi="Times" w:cs="Times"/>
                      <w:color w:val="000000"/>
                      <w:sz w:val="18"/>
                      <w:szCs w:val="18"/>
                    </w:rPr>
                  </w:pPr>
                </w:p>
              </w:tc>
              <w:tc>
                <w:tcPr>
                  <w:tcW w:w="2551" w:type="dxa"/>
                </w:tcPr>
                <w:p w14:paraId="42579E30" w14:textId="77777777" w:rsidR="006A0E73" w:rsidRDefault="006A0E73">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Н. В. Петрова</w:t>
                  </w:r>
                </w:p>
              </w:tc>
            </w:tr>
            <w:tr w:rsidR="006A0E73" w14:paraId="28BFAD3D" w14:textId="77777777">
              <w:trPr>
                <w:trHeight w:val="170"/>
              </w:trPr>
              <w:tc>
                <w:tcPr>
                  <w:tcW w:w="5102" w:type="dxa"/>
                  <w:gridSpan w:val="2"/>
                </w:tcPr>
                <w:p w14:paraId="153B8DE8" w14:textId="77777777" w:rsidR="006A0E73" w:rsidRDefault="006A0E73">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14:paraId="5C65BA3A" w14:textId="77777777" w:rsidR="006A0E73" w:rsidRDefault="006A0E73">
            <w:pPr>
              <w:widowControl w:val="0"/>
              <w:autoSpaceDE w:val="0"/>
              <w:autoSpaceDN w:val="0"/>
              <w:adjustRightInd w:val="0"/>
              <w:spacing w:after="0" w:line="240" w:lineRule="auto"/>
              <w:rPr>
                <w:rFonts w:ascii="Times" w:hAnsi="Times" w:cs="Times"/>
                <w:color w:val="000000"/>
                <w:sz w:val="18"/>
                <w:szCs w:val="18"/>
              </w:rPr>
            </w:pPr>
          </w:p>
        </w:tc>
      </w:tr>
    </w:tbl>
    <w:p w14:paraId="10E685DD" w14:textId="77777777" w:rsidR="006A0E73" w:rsidRDefault="006A0E73">
      <w:pPr>
        <w:widowControl w:val="0"/>
        <w:autoSpaceDE w:val="0"/>
        <w:autoSpaceDN w:val="0"/>
        <w:adjustRightInd w:val="0"/>
        <w:spacing w:after="0" w:line="240" w:lineRule="auto"/>
        <w:rPr>
          <w:rFonts w:ascii="Arial" w:hAnsi="Arial" w:cs="Arial"/>
          <w:sz w:val="24"/>
          <w:szCs w:val="24"/>
        </w:rPr>
        <w:sectPr w:rsidR="006A0E73">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6A0E73" w14:paraId="0457ABE2" w14:textId="77777777">
        <w:tc>
          <w:tcPr>
            <w:tcW w:w="1133" w:type="dxa"/>
            <w:tcBorders>
              <w:top w:val="nil"/>
              <w:left w:val="nil"/>
              <w:bottom w:val="nil"/>
              <w:right w:val="nil"/>
            </w:tcBorders>
          </w:tcPr>
          <w:p w14:paraId="76AA20BC" w14:textId="77777777" w:rsidR="006A0E73" w:rsidRDefault="006A0E73">
            <w:pPr>
              <w:widowControl w:val="0"/>
              <w:autoSpaceDE w:val="0"/>
              <w:autoSpaceDN w:val="0"/>
              <w:adjustRightInd w:val="0"/>
              <w:spacing w:after="0" w:line="240" w:lineRule="auto"/>
              <w:rPr>
                <w:rFonts w:ascii="Times" w:hAnsi="Times" w:cs="Times"/>
                <w:color w:val="000000"/>
                <w:sz w:val="17"/>
                <w:szCs w:val="17"/>
              </w:rPr>
            </w:pPr>
          </w:p>
        </w:tc>
        <w:tc>
          <w:tcPr>
            <w:tcW w:w="9467" w:type="dxa"/>
            <w:tcBorders>
              <w:top w:val="nil"/>
              <w:left w:val="nil"/>
              <w:bottom w:val="nil"/>
              <w:right w:val="nil"/>
            </w:tcBorders>
          </w:tcPr>
          <w:p w14:paraId="77B6C800" w14:textId="77777777" w:rsidR="006A0E73" w:rsidRDefault="006A0E73">
            <w:pPr>
              <w:widowControl w:val="0"/>
              <w:autoSpaceDE w:val="0"/>
              <w:autoSpaceDN w:val="0"/>
              <w:adjustRightInd w:val="0"/>
              <w:spacing w:after="0" w:line="240" w:lineRule="auto"/>
              <w:jc w:val="right"/>
              <w:rPr>
                <w:rFonts w:ascii="Times" w:hAnsi="Times" w:cs="Times"/>
                <w:b/>
                <w:bCs/>
                <w:color w:val="000000"/>
                <w:sz w:val="17"/>
                <w:szCs w:val="17"/>
              </w:rPr>
            </w:pPr>
            <w:r>
              <w:rPr>
                <w:rFonts w:ascii="Times" w:hAnsi="Times" w:cs="Times"/>
                <w:b/>
                <w:bCs/>
                <w:color w:val="000000"/>
                <w:sz w:val="17"/>
                <w:szCs w:val="17"/>
              </w:rPr>
              <w:t>Приложение 1</w:t>
            </w:r>
          </w:p>
          <w:p w14:paraId="3A23A402" w14:textId="77777777" w:rsidR="006A0E73" w:rsidRDefault="006A0E73" w:rsidP="005D67C2">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к Договору № К099010/26 от </w:t>
            </w:r>
            <w:r w:rsidR="005D67C2">
              <w:rPr>
                <w:rFonts w:ascii="Times" w:hAnsi="Times" w:cs="Times"/>
                <w:color w:val="000000"/>
                <w:sz w:val="17"/>
                <w:szCs w:val="17"/>
              </w:rPr>
              <w:t>__.__</w:t>
            </w:r>
            <w:r>
              <w:rPr>
                <w:rFonts w:ascii="Times" w:hAnsi="Times" w:cs="Times"/>
                <w:color w:val="000000"/>
                <w:sz w:val="17"/>
                <w:szCs w:val="17"/>
              </w:rPr>
              <w:t>.2026</w:t>
            </w:r>
          </w:p>
        </w:tc>
      </w:tr>
      <w:tr w:rsidR="006A0E73" w14:paraId="00BAC0B2" w14:textId="77777777">
        <w:tc>
          <w:tcPr>
            <w:tcW w:w="10600" w:type="dxa"/>
            <w:gridSpan w:val="2"/>
            <w:tcBorders>
              <w:top w:val="nil"/>
              <w:left w:val="nil"/>
              <w:bottom w:val="nil"/>
              <w:right w:val="nil"/>
            </w:tcBorders>
          </w:tcPr>
          <w:p w14:paraId="3269B7B2" w14:textId="77777777" w:rsidR="006A0E73" w:rsidRDefault="006A0E73">
            <w:pPr>
              <w:widowControl w:val="0"/>
              <w:autoSpaceDE w:val="0"/>
              <w:autoSpaceDN w:val="0"/>
              <w:adjustRightInd w:val="0"/>
              <w:spacing w:after="0" w:line="240" w:lineRule="auto"/>
              <w:jc w:val="center"/>
              <w:rPr>
                <w:rFonts w:ascii="Times" w:hAnsi="Times" w:cs="Times"/>
                <w:b/>
                <w:bCs/>
                <w:color w:val="000000"/>
                <w:sz w:val="17"/>
                <w:szCs w:val="17"/>
              </w:rPr>
            </w:pPr>
            <w:r>
              <w:rPr>
                <w:rFonts w:ascii="Times" w:hAnsi="Times" w:cs="Times"/>
                <w:b/>
                <w:bCs/>
                <w:color w:val="000000"/>
                <w:sz w:val="17"/>
                <w:szCs w:val="17"/>
              </w:rPr>
              <w:t xml:space="preserve">Спецификация №1 от </w:t>
            </w:r>
            <w:r w:rsidR="005D67C2">
              <w:rPr>
                <w:rFonts w:ascii="Times" w:hAnsi="Times" w:cs="Times"/>
                <w:b/>
                <w:bCs/>
                <w:color w:val="000000"/>
                <w:sz w:val="17"/>
                <w:szCs w:val="17"/>
              </w:rPr>
              <w:t>__.__</w:t>
            </w:r>
            <w:r>
              <w:rPr>
                <w:rFonts w:ascii="Times" w:hAnsi="Times" w:cs="Times"/>
                <w:b/>
                <w:bCs/>
                <w:color w:val="000000"/>
                <w:sz w:val="17"/>
                <w:szCs w:val="17"/>
              </w:rPr>
              <w:t>.2026</w:t>
            </w:r>
          </w:p>
          <w:p w14:paraId="1CB90327" w14:textId="77777777" w:rsidR="006A0E73" w:rsidRDefault="006A0E73">
            <w:pPr>
              <w:widowControl w:val="0"/>
              <w:autoSpaceDE w:val="0"/>
              <w:autoSpaceDN w:val="0"/>
              <w:adjustRightInd w:val="0"/>
              <w:spacing w:after="0" w:line="240" w:lineRule="auto"/>
              <w:jc w:val="center"/>
              <w:rPr>
                <w:rFonts w:ascii="Times" w:hAnsi="Times" w:cs="Times"/>
                <w:color w:val="000000"/>
                <w:sz w:val="17"/>
                <w:szCs w:val="17"/>
              </w:rPr>
            </w:pPr>
            <w:r>
              <w:rPr>
                <w:rFonts w:ascii="Times" w:hAnsi="Times" w:cs="Times"/>
                <w:color w:val="000000"/>
                <w:sz w:val="17"/>
                <w:szCs w:val="17"/>
              </w:rPr>
              <w:t>с ФГБУ “РГМАА” (ИНН 7825694761; КПП 784001001)</w:t>
            </w:r>
          </w:p>
        </w:tc>
      </w:tr>
    </w:tbl>
    <w:p w14:paraId="177F11C2" w14:textId="77777777" w:rsidR="006A0E73" w:rsidRDefault="006A0E73">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6A0E73" w14:paraId="6D124FFD" w14:textId="77777777">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0D8EF96" w14:textId="77777777" w:rsidR="006A0E73" w:rsidRDefault="006A0E7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D6BFDA3" w14:textId="77777777" w:rsidR="006A0E73" w:rsidRDefault="006A0E7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2EE1185" w14:textId="77777777" w:rsidR="006A0E73" w:rsidRDefault="006A0E7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2230AF6" w14:textId="77777777" w:rsidR="006A0E73" w:rsidRDefault="006A0E7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5684B91" w14:textId="77777777" w:rsidR="006A0E73" w:rsidRDefault="006A0E7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D27EF76" w14:textId="77777777" w:rsidR="006A0E73" w:rsidRDefault="006A0E7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01A7063" w14:textId="77777777" w:rsidR="006A0E73" w:rsidRDefault="006A0E7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1565CD0" w14:textId="77777777" w:rsidR="006A0E73" w:rsidRDefault="006A0E7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93338AE" w14:textId="77777777" w:rsidR="006A0E73" w:rsidRDefault="006A0E7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6A0E73" w14:paraId="68777E86" w14:textId="77777777">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2938DF9" w14:textId="77777777" w:rsidR="006A0E73" w:rsidRDefault="006A0E73">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1BA8D68" w14:textId="77777777" w:rsidR="006A0E73" w:rsidRDefault="006A0E73">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Право использования программы для ЭВМ «Контур.Диадок», тарифный план «Минимальный 100»</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CCFA3AE" w14:textId="77777777" w:rsidR="006A0E73" w:rsidRDefault="006A0E73">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4C6F5F9" w14:textId="77777777" w:rsidR="006A0E73" w:rsidRDefault="006A0E73">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FD707EE" w14:textId="77777777" w:rsidR="006A0E73" w:rsidRDefault="006A0E73">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1490,00</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7581152" w14:textId="77777777" w:rsidR="006A0E73" w:rsidRDefault="006A0E73">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1490,00</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89D6B27" w14:textId="77777777" w:rsidR="006A0E73" w:rsidRDefault="006A0E73">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Без НДС</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A249462" w14:textId="77777777" w:rsidR="006A0E73" w:rsidRDefault="006A0E73">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Без НДС</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85D2594" w14:textId="77777777" w:rsidR="006A0E73" w:rsidRDefault="006A0E73">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1490,00</w:t>
            </w:r>
          </w:p>
        </w:tc>
      </w:tr>
      <w:tr w:rsidR="006A0E73" w14:paraId="6FE69864" w14:textId="77777777">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B3DB9C3" w14:textId="77777777" w:rsidR="006A0E73" w:rsidRDefault="006A0E73">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A0C5AF0" w14:textId="77777777" w:rsidR="006A0E73" w:rsidRDefault="006A0E73">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Без НДС</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7096EA5" w14:textId="77777777" w:rsidR="006A0E73" w:rsidRDefault="006A0E73">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1490,00</w:t>
            </w:r>
          </w:p>
        </w:tc>
      </w:tr>
    </w:tbl>
    <w:p w14:paraId="7C71161B" w14:textId="77777777" w:rsidR="006A0E73" w:rsidRDefault="006A0E73">
      <w:pPr>
        <w:widowControl w:val="0"/>
        <w:autoSpaceDE w:val="0"/>
        <w:autoSpaceDN w:val="0"/>
        <w:adjustRightInd w:val="0"/>
        <w:spacing w:before="226" w:after="0" w:line="240" w:lineRule="auto"/>
        <w:rPr>
          <w:rFonts w:ascii="Times" w:hAnsi="Times" w:cs="Times"/>
          <w:color w:val="000000"/>
          <w:sz w:val="17"/>
          <w:szCs w:val="17"/>
        </w:rPr>
      </w:pPr>
      <w:r>
        <w:rPr>
          <w:rFonts w:ascii="Times" w:hAnsi="Times" w:cs="Times"/>
          <w:color w:val="000000"/>
          <w:sz w:val="17"/>
          <w:szCs w:val="17"/>
        </w:rPr>
        <w:t>Общая стоимость Спецификации по п.1 составляет: 1490,00 руб. (одна тысяча четыреста девяносто рублей 00 копеек), без НДС</w:t>
      </w:r>
    </w:p>
    <w:p w14:paraId="196A0BA9" w14:textId="77777777" w:rsidR="006A0E73" w:rsidRDefault="006A0E73">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p w14:paraId="144E23FF" w14:textId="77777777" w:rsidR="006A0E73" w:rsidRDefault="006A0E73">
      <w:pPr>
        <w:widowControl w:val="0"/>
        <w:autoSpaceDE w:val="0"/>
        <w:autoSpaceDN w:val="0"/>
        <w:adjustRightInd w:val="0"/>
        <w:spacing w:before="226" w:after="226" w:line="240" w:lineRule="auto"/>
        <w:rPr>
          <w:rFonts w:ascii="Times" w:hAnsi="Times" w:cs="Times"/>
          <w:b/>
          <w:bCs/>
          <w:color w:val="000000"/>
          <w:sz w:val="17"/>
          <w:szCs w:val="17"/>
        </w:rPr>
      </w:pPr>
      <w:r>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p>
    <w:p w14:paraId="14C799B3" w14:textId="77777777" w:rsidR="006A0E73" w:rsidRDefault="006A0E73">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6A0E73" w14:paraId="14560518" w14:textId="77777777">
        <w:tc>
          <w:tcPr>
            <w:tcW w:w="5300" w:type="dxa"/>
            <w:gridSpan w:val="2"/>
            <w:tcBorders>
              <w:top w:val="nil"/>
              <w:left w:val="nil"/>
              <w:bottom w:val="nil"/>
              <w:right w:val="nil"/>
            </w:tcBorders>
          </w:tcPr>
          <w:p w14:paraId="48601403" w14:textId="77777777" w:rsidR="006A0E73" w:rsidRDefault="006A0E73">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ЛИЦЕНЗИАР</w:t>
            </w:r>
          </w:p>
        </w:tc>
        <w:tc>
          <w:tcPr>
            <w:tcW w:w="5300" w:type="dxa"/>
            <w:gridSpan w:val="2"/>
            <w:tcBorders>
              <w:top w:val="nil"/>
              <w:left w:val="nil"/>
              <w:bottom w:val="nil"/>
              <w:right w:val="nil"/>
            </w:tcBorders>
          </w:tcPr>
          <w:p w14:paraId="28EC8278" w14:textId="77777777" w:rsidR="006A0E73" w:rsidRDefault="006A0E73">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ЛИЦЕНЗИАТ</w:t>
            </w:r>
          </w:p>
        </w:tc>
      </w:tr>
      <w:tr w:rsidR="006A0E73" w14:paraId="1D4404CA" w14:textId="77777777">
        <w:tc>
          <w:tcPr>
            <w:tcW w:w="5300" w:type="dxa"/>
            <w:gridSpan w:val="2"/>
            <w:tcBorders>
              <w:top w:val="nil"/>
              <w:left w:val="nil"/>
              <w:bottom w:val="nil"/>
              <w:right w:val="nil"/>
            </w:tcBorders>
          </w:tcPr>
          <w:p w14:paraId="430E38D8" w14:textId="77777777" w:rsidR="006A0E73" w:rsidRDefault="006A0E73">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АО «ПФ «СКБ Контур»</w:t>
            </w:r>
          </w:p>
        </w:tc>
        <w:tc>
          <w:tcPr>
            <w:tcW w:w="5300" w:type="dxa"/>
            <w:gridSpan w:val="2"/>
            <w:tcBorders>
              <w:top w:val="nil"/>
              <w:left w:val="nil"/>
              <w:bottom w:val="nil"/>
              <w:right w:val="nil"/>
            </w:tcBorders>
          </w:tcPr>
          <w:p w14:paraId="13A7891E" w14:textId="77777777" w:rsidR="006A0E73" w:rsidRDefault="006A0E73">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ФГБУ “РГМАА”</w:t>
            </w:r>
          </w:p>
        </w:tc>
      </w:tr>
      <w:tr w:rsidR="006A0E73" w14:paraId="344024C5" w14:textId="77777777">
        <w:tc>
          <w:tcPr>
            <w:tcW w:w="5300" w:type="dxa"/>
            <w:gridSpan w:val="2"/>
            <w:tcBorders>
              <w:top w:val="nil"/>
              <w:left w:val="nil"/>
              <w:bottom w:val="nil"/>
              <w:right w:val="nil"/>
            </w:tcBorders>
          </w:tcPr>
          <w:p w14:paraId="55787866" w14:textId="77777777" w:rsidR="006A0E73" w:rsidRDefault="006A0E73">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14:paraId="09AFB1AE" w14:textId="77777777" w:rsidR="006A0E73" w:rsidRDefault="006A0E73">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Директор</w:t>
            </w:r>
          </w:p>
        </w:tc>
      </w:tr>
      <w:tr w:rsidR="006A0E73" w14:paraId="57D71C9D" w14:textId="77777777">
        <w:tc>
          <w:tcPr>
            <w:tcW w:w="2650" w:type="dxa"/>
            <w:tcBorders>
              <w:top w:val="nil"/>
              <w:left w:val="nil"/>
              <w:bottom w:val="single" w:sz="6" w:space="0" w:color="000000"/>
              <w:right w:val="nil"/>
            </w:tcBorders>
          </w:tcPr>
          <w:p w14:paraId="1BCF7B20" w14:textId="77777777" w:rsidR="006A0E73" w:rsidRDefault="006A0E73">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01B34123" w14:textId="77777777" w:rsidR="006A0E73" w:rsidRDefault="006A0E73">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single" w:sz="6" w:space="0" w:color="000000"/>
              <w:right w:val="nil"/>
            </w:tcBorders>
          </w:tcPr>
          <w:p w14:paraId="54D68C44" w14:textId="77777777" w:rsidR="006A0E73" w:rsidRDefault="006A0E73">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45D00185" w14:textId="77777777" w:rsidR="006A0E73" w:rsidRDefault="006A0E73">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Н. В. Петрова</w:t>
            </w:r>
          </w:p>
        </w:tc>
      </w:tr>
      <w:tr w:rsidR="006A0E73" w14:paraId="48BF5998" w14:textId="77777777">
        <w:tc>
          <w:tcPr>
            <w:tcW w:w="2650" w:type="dxa"/>
            <w:tcBorders>
              <w:top w:val="nil"/>
              <w:left w:val="nil"/>
              <w:bottom w:val="nil"/>
              <w:right w:val="nil"/>
            </w:tcBorders>
          </w:tcPr>
          <w:p w14:paraId="72718FF2" w14:textId="77777777" w:rsidR="006A0E73" w:rsidRDefault="006A0E73">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14:paraId="09AC19C0" w14:textId="77777777" w:rsidR="006A0E73" w:rsidRDefault="006A0E73">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2A647E58" w14:textId="77777777" w:rsidR="006A0E73" w:rsidRDefault="006A0E73">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14:paraId="6C4FB428" w14:textId="77777777" w:rsidR="006A0E73" w:rsidRDefault="006A0E73">
            <w:pPr>
              <w:widowControl w:val="0"/>
              <w:autoSpaceDE w:val="0"/>
              <w:autoSpaceDN w:val="0"/>
              <w:adjustRightInd w:val="0"/>
              <w:spacing w:after="0" w:line="240" w:lineRule="auto"/>
              <w:rPr>
                <w:rFonts w:ascii="Times" w:hAnsi="Times" w:cs="Times"/>
                <w:color w:val="000000"/>
                <w:sz w:val="17"/>
                <w:szCs w:val="17"/>
              </w:rPr>
            </w:pPr>
          </w:p>
        </w:tc>
      </w:tr>
    </w:tbl>
    <w:p w14:paraId="6FDCE7D2" w14:textId="77777777" w:rsidR="006A0E73" w:rsidRDefault="006A0E73" w:rsidP="005D67C2">
      <w:pPr>
        <w:widowControl w:val="0"/>
        <w:autoSpaceDE w:val="0"/>
        <w:autoSpaceDN w:val="0"/>
        <w:adjustRightInd w:val="0"/>
        <w:spacing w:after="0" w:line="240" w:lineRule="auto"/>
        <w:rPr>
          <w:rFonts w:ascii="Times" w:hAnsi="Times" w:cs="Times"/>
          <w:color w:val="000000"/>
          <w:sz w:val="18"/>
          <w:szCs w:val="18"/>
        </w:rPr>
      </w:pPr>
    </w:p>
    <w:sectPr w:rsidR="006A0E73">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w:panose1 w:val="02020603050405020304"/>
    <w:charset w:val="CC"/>
    <w:family w:val="roman"/>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573"/>
    <w:rsid w:val="000677F7"/>
    <w:rsid w:val="001B4F15"/>
    <w:rsid w:val="00270573"/>
    <w:rsid w:val="003468DC"/>
    <w:rsid w:val="003F310F"/>
    <w:rsid w:val="005D67C2"/>
    <w:rsid w:val="006A0E73"/>
    <w:rsid w:val="00BD2D82"/>
    <w:rsid w:val="00C7270F"/>
    <w:rsid w:val="00C73831"/>
    <w:rsid w:val="00C8213A"/>
    <w:rsid w:val="00DE1B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B7A25E"/>
  <w14:defaultImageDpi w14:val="0"/>
  <w15:docId w15:val="{25AE7A53-9F6E-44AD-982E-4E77D4190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D67C2"/>
    <w:rPr>
      <w:rFonts w:cs="Times New Roman"/>
      <w:sz w:val="16"/>
      <w:szCs w:val="16"/>
    </w:rPr>
  </w:style>
  <w:style w:type="paragraph" w:styleId="a4">
    <w:name w:val="annotation text"/>
    <w:basedOn w:val="a"/>
    <w:link w:val="a5"/>
    <w:uiPriority w:val="99"/>
    <w:semiHidden/>
    <w:unhideWhenUsed/>
    <w:rsid w:val="005D67C2"/>
    <w:rPr>
      <w:sz w:val="20"/>
      <w:szCs w:val="20"/>
    </w:rPr>
  </w:style>
  <w:style w:type="character" w:customStyle="1" w:styleId="a5">
    <w:name w:val="Текст примечания Знак"/>
    <w:basedOn w:val="a0"/>
    <w:link w:val="a4"/>
    <w:uiPriority w:val="99"/>
    <w:semiHidden/>
    <w:locked/>
    <w:rsid w:val="005D67C2"/>
    <w:rPr>
      <w:rFonts w:cs="Times New Roman"/>
      <w:sz w:val="20"/>
      <w:szCs w:val="20"/>
    </w:rPr>
  </w:style>
  <w:style w:type="paragraph" w:styleId="a6">
    <w:name w:val="annotation subject"/>
    <w:basedOn w:val="a4"/>
    <w:next w:val="a4"/>
    <w:link w:val="a7"/>
    <w:uiPriority w:val="99"/>
    <w:semiHidden/>
    <w:unhideWhenUsed/>
    <w:rsid w:val="005D67C2"/>
    <w:rPr>
      <w:b/>
      <w:bCs/>
    </w:rPr>
  </w:style>
  <w:style w:type="character" w:customStyle="1" w:styleId="a7">
    <w:name w:val="Тема примечания Знак"/>
    <w:basedOn w:val="a5"/>
    <w:link w:val="a6"/>
    <w:uiPriority w:val="99"/>
    <w:semiHidden/>
    <w:locked/>
    <w:rsid w:val="005D67C2"/>
    <w:rPr>
      <w:rFonts w:cs="Times New Roman"/>
      <w:b/>
      <w:bCs/>
      <w:sz w:val="20"/>
      <w:szCs w:val="20"/>
    </w:rPr>
  </w:style>
  <w:style w:type="paragraph" w:styleId="a8">
    <w:name w:val="Balloon Text"/>
    <w:basedOn w:val="a"/>
    <w:link w:val="a9"/>
    <w:uiPriority w:val="99"/>
    <w:semiHidden/>
    <w:unhideWhenUsed/>
    <w:rsid w:val="005D67C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locked/>
    <w:rsid w:val="005D67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kontur.ru" TargetMode="External"/><Relationship Id="rId13" Type="http://schemas.openxmlformats.org/officeDocument/2006/relationships/hyperlink" Target="https://integrations.kontur.ru" TargetMode="External"/><Relationship Id="rId18" Type="http://schemas.openxmlformats.org/officeDocument/2006/relationships/hyperlink" Target="https://kontur.ru/about/licences"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ca.kontur.ru" TargetMode="External"/><Relationship Id="rId12" Type="http://schemas.openxmlformats.org/officeDocument/2006/relationships/hyperlink" Target="https://www.diadoc.ru/order1c" TargetMode="External"/><Relationship Id="rId17" Type="http://schemas.openxmlformats.org/officeDocument/2006/relationships/hyperlink" Target="https://www.diadoc.ru" TargetMode="External"/><Relationship Id="rId2" Type="http://schemas.openxmlformats.org/officeDocument/2006/relationships/settings" Target="settings.xml"/><Relationship Id="rId16" Type="http://schemas.openxmlformats.org/officeDocument/2006/relationships/hyperlink" Target="https://www.diadoc.ru/order1c"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kontur.ru/kedo/docs/poryadok-vydachi-sertifikatov" TargetMode="External"/><Relationship Id="rId11" Type="http://schemas.openxmlformats.org/officeDocument/2006/relationships/hyperlink" Target="https://kontur.ru/contacts/all" TargetMode="External"/><Relationship Id="rId5" Type="http://schemas.openxmlformats.org/officeDocument/2006/relationships/hyperlink" Target="https://www.diadoc.ru/price" TargetMode="External"/><Relationship Id="rId15" Type="http://schemas.openxmlformats.org/officeDocument/2006/relationships/hyperlink" Target="https://kontur.ru/about/licences" TargetMode="External"/><Relationship Id="rId10" Type="http://schemas.openxmlformats.org/officeDocument/2006/relationships/hyperlink" Target="https://support.kontur.ru/diadoc" TargetMode="External"/><Relationship Id="rId19" Type="http://schemas.openxmlformats.org/officeDocument/2006/relationships/hyperlink" Target="https://kontur.ru" TargetMode="External"/><Relationship Id="rId4" Type="http://schemas.openxmlformats.org/officeDocument/2006/relationships/image" Target="media/image1.png"/><Relationship Id="rId9" Type="http://schemas.openxmlformats.org/officeDocument/2006/relationships/hyperlink" Target="https://kontur.ru/diadoc/mtedo" TargetMode="External"/><Relationship Id="rId14" Type="http://schemas.openxmlformats.org/officeDocument/2006/relationships/hyperlink" Target="https://developer.kontur.ru/Docs/diadoc-api/authentication.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8</Pages>
  <Words>7691</Words>
  <Characters>43839</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2026-08-12T09:54:00Z</dcterms:created>
  <dcterms:modified xsi:type="dcterms:W3CDTF">2026-08-12T10:17:00Z</dcterms:modified>
</cp:coreProperties>
</file>