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9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ГОСУДАРСТВЕННЫЙ КОНТРАКТ</w:t>
      </w:r>
      <w:r>
        <w:rPr>
          <w:b/>
          <w:sz w:val="26"/>
          <w:szCs w:val="26"/>
        </w:rPr>
      </w:r>
    </w:p>
    <w:p>
      <w:pPr>
        <w:ind w:right="150"/>
        <w:jc w:val="center"/>
        <w:spacing w:after="225" w:line="312" w:lineRule="atLeast"/>
        <w:rPr>
          <w:b/>
          <w:color w:val="000000"/>
          <w:sz w:val="26"/>
          <w:szCs w:val="26"/>
        </w:rPr>
        <w:outlineLvl w:val="0"/>
      </w:pPr>
      <w:r>
        <w:rPr>
          <w:b/>
          <w:color w:val="000000"/>
          <w:sz w:val="26"/>
          <w:szCs w:val="26"/>
        </w:rPr>
        <w:t xml:space="preserve">на оказание услуг </w:t>
      </w:r>
      <w:r>
        <w:rPr>
          <w:b/>
          <w:color w:val="000000"/>
          <w:sz w:val="26"/>
          <w:szCs w:val="26"/>
        </w:rPr>
      </w:r>
    </w:p>
    <w:p>
      <w:pPr>
        <w:ind w:left="34"/>
        <w:jc w:val="center"/>
        <w:shd w:val="clear" w:color="auto" w:fill="ffffff"/>
        <w:rPr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№</w:t>
      </w:r>
      <w:r>
        <w:rPr>
          <w:sz w:val="26"/>
          <w:szCs w:val="26"/>
          <w:u w:val="single"/>
        </w:rPr>
        <w:t xml:space="preserve">____________</w:t>
      </w:r>
      <w:r>
        <w:rPr>
          <w:sz w:val="26"/>
          <w:szCs w:val="26"/>
          <w:u w:val="single"/>
        </w:rPr>
      </w:r>
    </w:p>
    <w:p>
      <w:pPr>
        <w:ind w:left="38"/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38"/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г. Киров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    «</w:t>
      </w:r>
      <w:r>
        <w:rPr>
          <w:color w:val="000000"/>
          <w:sz w:val="26"/>
          <w:szCs w:val="26"/>
        </w:rPr>
        <w:tab/>
        <w:t xml:space="preserve">» _______2026года</w:t>
      </w:r>
      <w:r>
        <w:rPr>
          <w:color w:val="000000"/>
          <w:sz w:val="26"/>
          <w:szCs w:val="26"/>
        </w:rPr>
      </w:r>
    </w:p>
    <w:p>
      <w:pPr>
        <w:ind w:left="38"/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66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Управление Федеральной службы государственной регистрации, кадастра и картографии по Кировской области (сокр</w:t>
      </w:r>
      <w:r>
        <w:rPr>
          <w:sz w:val="26"/>
          <w:szCs w:val="26"/>
        </w:rPr>
        <w:t xml:space="preserve">ащенное наименование – Управление Росреестра по Кировской области), именуемое в дальнейшем «Заказчик», в лице и.о. руководителя Управления Ембасиновой Елены Владимировны, действующего на основании Положения об Управлении Федеральной службы государственной </w:t>
      </w:r>
      <w:r>
        <w:rPr>
          <w:sz w:val="26"/>
          <w:szCs w:val="26"/>
        </w:rPr>
        <w:t xml:space="preserve">регистрации, кадастра и картографии по Кировской области, утверждённого приказом Федеральной службы государственной регистрации, кадастра и картографии от 06.04.2023 за № П/0117, и  ____________________________________________, именуемое в дальнейшем «Испо</w:t>
      </w:r>
      <w:r>
        <w:rPr>
          <w:sz w:val="26"/>
          <w:szCs w:val="26"/>
        </w:rPr>
        <w:t xml:space="preserve">лнитель», в  лице ______________________________, действующего на основании ________________________________________________,  с другой стороны, совместно именуемые «Стороны», заключили настоящий государственный Контракт (далее - Контракт) о нижеследующем:</w:t>
      </w:r>
      <w:r>
        <w:rPr>
          <w:sz w:val="26"/>
          <w:szCs w:val="26"/>
        </w:rPr>
      </w:r>
    </w:p>
    <w:p>
      <w:pPr>
        <w:pStyle w:val="963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numPr>
          <w:ilvl w:val="0"/>
          <w:numId w:val="1"/>
        </w:numPr>
        <w:jc w:val="center"/>
        <w:widowControl w:val="off"/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Предмет и общие условия Контракта</w:t>
      </w:r>
      <w:r>
        <w:rPr>
          <w:b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На основании осуществленной «Заказчиком» закупки «Исполнитель» принимает на себя обязательства по оказанию услуг для нужд «Заказчика».</w:t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</w:t>
      </w:r>
      <w:r>
        <w:rPr>
          <w:color w:val="000000"/>
          <w:sz w:val="26"/>
          <w:szCs w:val="26"/>
        </w:rPr>
        <w:tab/>
        <w:t xml:space="preserve">Предметом настоящего Контракта является приобретение прав использования ПО ViPNet Client 5 for Linux (рег. № в РРПО: 4319) (оказание услуг по передаче неисключительных (лицензионных) прав на программное обеспечение </w:t>
      </w:r>
      <w:r>
        <w:rPr>
          <w:color w:val="000000"/>
          <w:sz w:val="26"/>
          <w:szCs w:val="26"/>
          <w:lang w:bidi="ru-RU"/>
        </w:rPr>
        <w:t xml:space="preserve">ViPNet Client 5 for Linux </w:t>
      </w:r>
      <w:r>
        <w:rPr>
          <w:color w:val="000000"/>
          <w:sz w:val="26"/>
          <w:szCs w:val="26"/>
        </w:rPr>
        <w:t xml:space="preserve">(рег. № в РРПО: 4319)) в соответствии с Техническим заданием (Приложением № 1 к Контракту).</w:t>
      </w:r>
      <w:r>
        <w:rPr>
          <w:color w:val="000000"/>
          <w:sz w:val="26"/>
          <w:szCs w:val="26"/>
        </w:rPr>
      </w:r>
    </w:p>
    <w:p>
      <w:pPr>
        <w:pStyle w:val="965"/>
        <w:jc w:val="both"/>
        <w:widowControl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1.3.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«Исполнитель» обязуется передать «Заказчику» права использования 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 xml:space="preserve">ViPNet Client 5 for Linux </w:t>
      </w:r>
      <w:r>
        <w:rPr>
          <w:rFonts w:ascii="Times New Roman" w:hAnsi="Times New Roman"/>
          <w:color w:val="000000"/>
          <w:sz w:val="26"/>
          <w:szCs w:val="26"/>
        </w:rPr>
        <w:t xml:space="preserve">(рег. № в РРПО: 4319) с необходимым для их использования комплектом (дистрибутивом) на носителе информа</w:t>
      </w:r>
      <w:r>
        <w:rPr>
          <w:rFonts w:ascii="Times New Roman" w:hAnsi="Times New Roman"/>
          <w:color w:val="000000"/>
          <w:sz w:val="26"/>
          <w:szCs w:val="26"/>
        </w:rPr>
        <w:t xml:space="preserve">ции, надлежащего качества и в установленные сроки, а также осуществлять техническую поддержку переданного программного обеспечения, а «Заказчик» обязуется принять и оплатить объём услуг, оказанных «Исполнителем» во исполнение условий настоящего Контракта. </w:t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1.4.</w:t>
      </w:r>
      <w:r>
        <w:rPr>
          <w:color w:val="000000"/>
          <w:sz w:val="26"/>
          <w:szCs w:val="26"/>
        </w:rPr>
        <w:tab/>
        <w:t xml:space="preserve">Место оказания услуг (передача прав):</w:t>
      </w:r>
      <w:r>
        <w:rPr>
          <w:color w:val="000000"/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</w:t>
      </w:r>
      <w:r>
        <w:rPr>
          <w:color w:val="000000"/>
          <w:sz w:val="26"/>
          <w:szCs w:val="26"/>
        </w:rPr>
        <w:tab/>
        <w:t xml:space="preserve">г. Киров, ул. Ленина, д. 108.</w:t>
      </w:r>
      <w:r>
        <w:rPr>
          <w:color w:val="000000"/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1.5.</w:t>
      </w:r>
      <w:r>
        <w:rPr>
          <w:color w:val="000000"/>
          <w:sz w:val="26"/>
          <w:szCs w:val="26"/>
        </w:rPr>
        <w:tab/>
        <w:t xml:space="preserve">От</w:t>
      </w:r>
      <w:r>
        <w:rPr>
          <w:color w:val="000000"/>
          <w:sz w:val="26"/>
          <w:szCs w:val="26"/>
        </w:rPr>
        <w:t xml:space="preserve">ношения сторон, возникающие при исполнении настоящего Контракта в части предоставления неисключительных (пользовательских) прав на использование объекта интеллектуальной собственности (программ для ЭВМ) регулируются гл. 69 и гл. 70 Гражданского кодекса РФ.</w:t>
      </w:r>
      <w:r>
        <w:rPr>
          <w:color w:val="000000"/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1.6.</w:t>
      </w:r>
      <w:r>
        <w:rPr>
          <w:color w:val="000000"/>
          <w:sz w:val="26"/>
          <w:szCs w:val="26"/>
        </w:rPr>
        <w:tab/>
        <w:t xml:space="preserve">Наст</w:t>
      </w:r>
      <w:r>
        <w:rPr>
          <w:color w:val="000000"/>
          <w:sz w:val="26"/>
          <w:szCs w:val="26"/>
        </w:rPr>
        <w:t xml:space="preserve">оящий Контракт заключается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  <w:r>
        <w:rPr>
          <w:color w:val="000000"/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1.7.</w:t>
      </w:r>
      <w:r>
        <w:rPr>
          <w:color w:val="000000"/>
          <w:sz w:val="26"/>
          <w:szCs w:val="26"/>
        </w:rPr>
        <w:tab/>
        <w:t xml:space="preserve">Источник финансирования – федеральный бюджет.</w:t>
      </w:r>
      <w:r>
        <w:rPr>
          <w:color w:val="000000"/>
          <w:sz w:val="26"/>
          <w:szCs w:val="26"/>
        </w:rPr>
      </w:r>
    </w:p>
    <w:p>
      <w:pPr>
        <w:pStyle w:val="774"/>
        <w:jc w:val="center"/>
        <w:spacing w:before="0" w:after="0"/>
        <w:shd w:val="clear" w:color="auto" w:fill="ffffff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before="0" w:after="0"/>
        <w:shd w:val="clear" w:color="auto" w:fill="ffffff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ab/>
        <w:t xml:space="preserve">Стоимость услуг по Контракту, оплата и расчёты</w:t>
      </w:r>
      <w:r>
        <w:rPr>
          <w:rFonts w:ascii="Times New Roman" w:hAnsi="Times New Roman" w:cs="Times New Roman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2.1.</w:t>
      </w:r>
      <w:r>
        <w:rPr>
          <w:sz w:val="26"/>
          <w:szCs w:val="26"/>
        </w:rPr>
        <w:tab/>
        <w:t xml:space="preserve">Стоимость оказанных услуг (цена Контракта) составляет _____________ (_____________________________) рублей____копеек,</w:t>
      </w:r>
      <w:r>
        <w:rPr>
          <w:color w:val="000000"/>
          <w:sz w:val="26"/>
          <w:szCs w:val="26"/>
        </w:rPr>
        <w:t xml:space="preserve"> в том</w:t>
      </w:r>
      <w:r>
        <w:rPr>
          <w:color w:val="000000"/>
          <w:sz w:val="26"/>
          <w:szCs w:val="26"/>
        </w:rPr>
        <w:t xml:space="preserve"> числе НДС ___% (при наличии), стоимость комплекта (дистрибутива) на носителе информации, стоимостью сертификата активации прямой технической поддержки, транспортных расходов, всех расходов по уплате налогов, пошлин, сборов и других обязательных платежей, </w:t>
      </w:r>
      <w:r>
        <w:rPr>
          <w:spacing w:val="-4"/>
          <w:sz w:val="26"/>
          <w:szCs w:val="26"/>
        </w:rPr>
        <w:t xml:space="preserve">а также </w:t>
      </w:r>
      <w:r>
        <w:rPr>
          <w:spacing w:val="-4"/>
          <w:sz w:val="26"/>
          <w:szCs w:val="26"/>
        </w:rPr>
        <w:t xml:space="preserve">всех других затрат, связанных  с исполнением обязательств согласно  предмета Контракта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Цена Контракта </w:t>
      </w:r>
      <w:r>
        <w:rPr>
          <w:sz w:val="26"/>
          <w:szCs w:val="26"/>
        </w:rPr>
        <w:t xml:space="preserve">является твердой и определяется на весь срок действия Контракта.</w:t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Указанная цена Контракта остается неизменной в течение всего срока действия Контракта за исключением случаев, когда Стороны могут согласовать изменения в случаях, предусмотренных </w:t>
      </w:r>
      <w:r>
        <w:rPr>
          <w:sz w:val="26"/>
          <w:szCs w:val="26"/>
        </w:rPr>
        <w:t xml:space="preserve">Законом о контрактной системе</w:t>
      </w:r>
      <w:r>
        <w:rPr>
          <w:color w:val="000000"/>
          <w:sz w:val="26"/>
          <w:szCs w:val="26"/>
        </w:rPr>
        <w:t xml:space="preserve">. Цена Контракта может быть снижена по соглашению сторон без изменения предусмотренных Контрактом объема оказываемых услуг и иных условий исполнения Контракта.</w:t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  <w:t xml:space="preserve">В случае, если в соответствии с з</w:t>
      </w:r>
      <w:r>
        <w:rPr>
          <w:sz w:val="26"/>
          <w:szCs w:val="26"/>
        </w:rPr>
        <w:t xml:space="preserve">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«Заказчиком», в Контракт включается условие об уменьшении суммы, подлежащей уплате «Заказчи</w:t>
      </w:r>
      <w:r>
        <w:rPr>
          <w:sz w:val="26"/>
          <w:szCs w:val="26"/>
        </w:rPr>
        <w:t xml:space="preserve">ком»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2.2.</w:t>
      </w:r>
      <w:r>
        <w:rPr>
          <w:sz w:val="26"/>
          <w:szCs w:val="26"/>
        </w:rPr>
        <w:tab/>
        <w:t xml:space="preserve">«</w:t>
      </w:r>
      <w:r>
        <w:rPr>
          <w:color w:val="000000"/>
          <w:sz w:val="26"/>
          <w:szCs w:val="26"/>
        </w:rPr>
        <w:t xml:space="preserve">Заказчик» гарантирует «Исполнителю» своевременную и полную оплату за надлежащим образом оказанные услуги в соответствии с условиями настоящего государственного Контракта.</w:t>
      </w:r>
      <w:r>
        <w:rPr>
          <w:color w:val="000000"/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2.3.</w:t>
      </w: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Оплата за оказанные услуги производится из федерального бюджета по </w:t>
      </w:r>
      <w:r>
        <w:rPr>
          <w:bCs/>
          <w:iCs/>
          <w:sz w:val="26"/>
          <w:szCs w:val="26"/>
        </w:rPr>
        <w:t xml:space="preserve">безналичному расчету</w:t>
      </w:r>
      <w:r>
        <w:rPr>
          <w:sz w:val="26"/>
          <w:szCs w:val="26"/>
        </w:rPr>
        <w:t xml:space="preserve"> в течение 7 (семи) рабочих дней со дня подписания акта оказанных услуг на основании выставленного «Исполнителем» счёта и указанного акта.</w:t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2.4.</w:t>
      </w:r>
      <w:r>
        <w:rPr>
          <w:sz w:val="26"/>
          <w:szCs w:val="26"/>
        </w:rPr>
        <w:tab/>
        <w:t xml:space="preserve">Расчёты между сторонами осуществляются путём перечисления денежных средств на расчётный счёт «Исполнителя» по платёжным поручениям. 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Обязательства «Заказчика» в части оплаты считаются исполненными с момента списания обусловленной настоящим Контрактом суммы со счета «Заказчика».</w:t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</w:t>
      </w:r>
      <w:r>
        <w:rPr>
          <w:b/>
          <w:sz w:val="26"/>
          <w:szCs w:val="26"/>
        </w:rPr>
        <w:tab/>
        <w:t xml:space="preserve">Сроки оказания услуг</w:t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3.1. </w:t>
      </w: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Срок оказания услуг – в течение 6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-ти рабочих дней, начиная с даты заключения Контракта.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Исполнитель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вправе оказать услуги досрочно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numPr>
          <w:ilvl w:val="0"/>
          <w:numId w:val="5"/>
        </w:numPr>
        <w:jc w:val="center"/>
        <w:spacing w:before="10"/>
        <w:shd w:val="clear" w:color="auto" w:fill="ffffff"/>
        <w:widowControl w:val="off"/>
        <w:rPr>
          <w:b/>
          <w:color w:val="000000"/>
          <w:spacing w:val="-3"/>
          <w:sz w:val="26"/>
          <w:szCs w:val="26"/>
        </w:rPr>
      </w:pPr>
      <w:r>
        <w:rPr>
          <w:b/>
          <w:color w:val="000000"/>
          <w:spacing w:val="-3"/>
          <w:sz w:val="26"/>
          <w:szCs w:val="26"/>
        </w:rPr>
        <w:t xml:space="preserve">Обязанности сторон</w:t>
      </w:r>
      <w:r>
        <w:rPr>
          <w:b/>
          <w:color w:val="000000"/>
          <w:spacing w:val="-3"/>
          <w:sz w:val="26"/>
          <w:szCs w:val="26"/>
        </w:rPr>
      </w:r>
    </w:p>
    <w:p>
      <w:pPr>
        <w:ind w:right="2304"/>
        <w:spacing w:before="106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4.1.</w:t>
      </w:r>
      <w:r>
        <w:rPr>
          <w:b/>
          <w:color w:val="000000"/>
          <w:sz w:val="26"/>
          <w:szCs w:val="26"/>
        </w:rPr>
        <w:tab/>
        <w:t xml:space="preserve">Обязательства «Исполнителя»</w:t>
      </w:r>
      <w:r>
        <w:rPr>
          <w:b/>
          <w:color w:val="000000"/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оказания услуг по настоящему Контракту «Исполнитель» принимает на себя обязательства:</w:t>
      </w:r>
      <w:r>
        <w:rPr>
          <w:sz w:val="26"/>
          <w:szCs w:val="26"/>
        </w:rPr>
      </w:r>
    </w:p>
    <w:p>
      <w:pPr>
        <w:ind w:left="10"/>
        <w:jc w:val="both"/>
        <w:shd w:val="clear" w:color="auto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</w:t>
      </w:r>
      <w:r>
        <w:rPr>
          <w:sz w:val="26"/>
          <w:szCs w:val="26"/>
        </w:rPr>
        <w:t xml:space="preserve">.1.1.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Оказать услуги, обусловленные настоящим Контрактом, в соответствии с действующими нормативно-правовыми документами, в объеме, с надлежащим качеством и в сроки, предусмотренные Контрактом и передать результаты «Заказчику».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4.1.2.</w:t>
      </w:r>
      <w:r>
        <w:rPr>
          <w:sz w:val="26"/>
          <w:szCs w:val="26"/>
        </w:rPr>
        <w:tab/>
        <w:t xml:space="preserve">Своевременно предоставлять «Заказчику» по его требованию достоверную информацию о ходе исполнения обязательств по Контракту, а также сообщать о сложностях, возникших при исполнении Контракта.</w:t>
      </w:r>
      <w:r>
        <w:rPr>
          <w:sz w:val="26"/>
          <w:szCs w:val="26"/>
        </w:rPr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4.1.3. После оказания услуг передать их результат, а также комплект (дистрибутив) на носителе информации, указанный в техническом задании (Приложение № 1 к Контракту).</w:t>
      </w:r>
      <w:r>
        <w:rPr>
          <w:bCs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4.1.</w:t>
      </w:r>
      <w:r>
        <w:rPr>
          <w:sz w:val="26"/>
          <w:szCs w:val="26"/>
        </w:rPr>
        <w:t xml:space="preserve">4. Предоставить сертификат активации прямой технической поддержки </w:t>
      </w:r>
      <w:r>
        <w:rPr>
          <w:sz w:val="26"/>
          <w:szCs w:val="26"/>
          <w:lang w:bidi="ru-RU"/>
        </w:rPr>
        <w:t xml:space="preserve">на срок 1 год, уровень расширенный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4.1.5. Выполнить в полном объеме все свои обязательства, предусмотренные в других пунктах настоящего Контракта.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4.1.6. Оказывать письменные и устные консультации по вопросам, связанным с предметом настоящего Контракта.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pacing w:val="-3"/>
          <w:sz w:val="26"/>
          <w:szCs w:val="26"/>
        </w:rPr>
        <w:t xml:space="preserve">4</w:t>
      </w:r>
      <w:r>
        <w:rPr>
          <w:b/>
          <w:color w:val="000000"/>
          <w:sz w:val="26"/>
          <w:szCs w:val="26"/>
        </w:rPr>
        <w:t xml:space="preserve">.2.</w:t>
      </w:r>
      <w:r>
        <w:rPr>
          <w:b/>
          <w:color w:val="000000"/>
          <w:sz w:val="26"/>
          <w:szCs w:val="26"/>
        </w:rPr>
        <w:tab/>
        <w:t xml:space="preserve">Обязательства «Заказчика»</w:t>
      </w:r>
      <w:r>
        <w:rPr>
          <w:b/>
          <w:color w:val="000000"/>
          <w:sz w:val="26"/>
          <w:szCs w:val="26"/>
        </w:rPr>
      </w:r>
    </w:p>
    <w:p>
      <w:pPr>
        <w:ind w:firstLine="708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Для реализации настоящего Контракта «Заказчик» принимает на себя обязательства: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4.2.1.</w:t>
      </w:r>
      <w:r>
        <w:rPr>
          <w:sz w:val="26"/>
          <w:szCs w:val="26"/>
        </w:rPr>
        <w:tab/>
        <w:t xml:space="preserve">Произвести приемку услуг, оказанных «Исполнителем», в порядке, предусмотренном в статье 5 настоящего Контракта.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4.2.2.</w:t>
      </w:r>
      <w:r>
        <w:rPr>
          <w:sz w:val="26"/>
          <w:szCs w:val="26"/>
        </w:rPr>
        <w:tab/>
        <w:t xml:space="preserve">При отсутствии претензий по качеству оказанных услуг, в течение 5 (пяти) рабочих дней со дня получения акта оказанных услуг от «Исполнителя», принять оказанные услуги путем подписания акта.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4.2.3.</w:t>
      </w:r>
      <w:r>
        <w:rPr>
          <w:sz w:val="26"/>
          <w:szCs w:val="26"/>
        </w:rPr>
        <w:tab/>
        <w:t xml:space="preserve">Выполнить в полном объеме все свои обязательства, предусмотренные в других статьях настоящего Контракта.</w:t>
      </w:r>
      <w:r>
        <w:rPr>
          <w:sz w:val="26"/>
          <w:szCs w:val="26"/>
        </w:rPr>
      </w:r>
    </w:p>
    <w:p>
      <w:pPr>
        <w:pStyle w:val="974"/>
        <w:ind w:left="0"/>
        <w:jc w:val="center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4"/>
        <w:ind w:left="0"/>
        <w:jc w:val="center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</w:t>
      </w:r>
      <w:r>
        <w:rPr>
          <w:b/>
          <w:sz w:val="26"/>
          <w:szCs w:val="26"/>
        </w:rPr>
        <w:tab/>
        <w:t xml:space="preserve">Порядок приемки оказанных услуг</w:t>
      </w:r>
      <w:r>
        <w:rPr>
          <w:b/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5.1.</w:t>
      </w:r>
      <w:r>
        <w:rPr>
          <w:sz w:val="26"/>
          <w:szCs w:val="26"/>
        </w:rPr>
        <w:tab/>
        <w:t xml:space="preserve">Приемка оказанных услуг по качеству и объему осуществляется по факту окончания оказания услуг (передача права на использование </w:t>
      </w:r>
      <w:r>
        <w:rPr>
          <w:sz w:val="26"/>
          <w:szCs w:val="26"/>
          <w:lang w:bidi="ru-RU"/>
        </w:rPr>
        <w:t xml:space="preserve">ViPNet Client 5 for Linux</w:t>
      </w:r>
      <w:r>
        <w:rPr>
          <w:sz w:val="26"/>
          <w:szCs w:val="26"/>
        </w:rPr>
        <w:t xml:space="preserve">), путем подписания Сторонами акта оказанных услуг в срок, указанный в разделе 4 настоящего Контракта. </w:t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i/>
          <w:sz w:val="26"/>
          <w:szCs w:val="26"/>
        </w:rPr>
        <w:t xml:space="preserve">«Исполнитель» обязан предоставить «Заказчику» акт оказанных услуг в течение 5 рабочих дней с даты оказания услуг.</w:t>
      </w:r>
      <w:r>
        <w:rPr>
          <w:i/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/>
      <w:bookmarkStart w:id="0" w:name="_ref_21960635"/>
      <w:r>
        <w:rPr>
          <w:sz w:val="26"/>
          <w:szCs w:val="26"/>
        </w:rPr>
        <w:t xml:space="preserve">5.2.</w:t>
      </w:r>
      <w:r>
        <w:rPr>
          <w:sz w:val="26"/>
          <w:szCs w:val="26"/>
        </w:rPr>
        <w:tab/>
        <w:t xml:space="preserve">При обнаружении в ходе приёмки недостатков составляется акт о недостатках, подписываемый обеими сторонами. В акте должны быть указаны перечень выявленных недостатков и сроки их устранения.</w:t>
      </w:r>
      <w:bookmarkEnd w:id="0"/>
      <w:r>
        <w:rPr>
          <w:sz w:val="26"/>
          <w:szCs w:val="26"/>
        </w:rPr>
        <w:t xml:space="preserve"> «Исполнитель» обязуется рассмотреть акт и устранить недостатки в течение 10 дней с момента получения.</w:t>
      </w:r>
      <w:r>
        <w:rPr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>
        <w:rPr>
          <w:sz w:val="26"/>
          <w:szCs w:val="26"/>
        </w:rPr>
        <w:tab/>
        <w:t xml:space="preserve">Акт оказанных услуг подписывается уполномоченными представителями Сторон. С момента подписания акта услуги считаются надлежащим образом оказанными в соответствии с условиями настоящего Контракта.</w:t>
      </w:r>
      <w:r>
        <w:rPr>
          <w:sz w:val="26"/>
          <w:szCs w:val="26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 xml:space="preserve">5.4.</w:t>
      </w:r>
      <w:r>
        <w:rPr>
          <w:rFonts w:eastAsia="Calibri"/>
          <w:i/>
          <w:sz w:val="26"/>
          <w:szCs w:val="26"/>
          <w:lang w:eastAsia="zh-CN"/>
        </w:rPr>
        <w:tab/>
        <w:t xml:space="preserve">На основании подписанного Сторонами документа о приемке, подтверждающего поставку товара (выполнение работ, оказание услуг), «Заказчиком» формируется Акт приемки по форме № 0510452, утвержденной приказом Минфина России от 15.04.2021 № 61н.</w:t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Акт по форме № 0510452 направляется «Заказчиком» «Поставщику» по электронной почте в течение 2 рабочих дней с даты подписания документа о приемке, подтверждающего поставку товара (выполнение работ, оказание услуг).</w:t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В течение 1 рабочего дня с даты получения от «Заказчика» акта по форме № 0510452 «Поставщик» обязан его подписать и направить «Заказчику» посредством почтовой связи и электронной почты (скан с подписью «Поставщика»).</w:t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274"/>
        <w:jc w:val="center"/>
        <w:spacing w:before="24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7.</w:t>
      </w:r>
      <w:r>
        <w:rPr>
          <w:b/>
          <w:color w:val="000000"/>
          <w:sz w:val="26"/>
          <w:szCs w:val="26"/>
        </w:rPr>
        <w:tab/>
        <w:t xml:space="preserve">Ответственность сторон</w:t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7.1.</w:t>
      </w:r>
      <w:r>
        <w:rPr>
          <w:rFonts w:eastAsia="Calibri"/>
          <w:sz w:val="26"/>
          <w:szCs w:val="26"/>
          <w:lang w:eastAsia="zh-CN"/>
        </w:rPr>
        <w:tab/>
        <w:t xml:space="preserve">Стороны Контракта несут ответственность за невыполнение или ненадлежащее выполнение своих обязательств по Контракту в соответствии с действующим законодательством РФ, в том числе Законом о контрактной системе.</w:t>
      </w:r>
      <w:r>
        <w:rPr>
          <w:rFonts w:eastAsia="Calibri"/>
          <w:sz w:val="26"/>
          <w:szCs w:val="26"/>
          <w:lang w:eastAsia="zh-CN"/>
        </w:rPr>
      </w:r>
    </w:p>
    <w:p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7.2.</w:t>
      </w:r>
      <w:r>
        <w:rPr>
          <w:rFonts w:eastAsia="Calibri"/>
          <w:sz w:val="26"/>
          <w:szCs w:val="26"/>
          <w:lang w:eastAsia="zh-CN"/>
        </w:rPr>
        <w:tab/>
        <w:t xml:space="preserve">В случае нарушения обязательств по Контракту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  <w:r>
        <w:rPr>
          <w:rFonts w:eastAsia="Calibri"/>
          <w:sz w:val="26"/>
          <w:szCs w:val="26"/>
          <w:lang w:eastAsia="zh-CN"/>
        </w:rPr>
      </w:r>
    </w:p>
    <w:p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7.3.</w:t>
      </w:r>
      <w:r>
        <w:rPr>
          <w:rFonts w:eastAsia="Calibri"/>
          <w:sz w:val="26"/>
          <w:szCs w:val="26"/>
          <w:lang w:eastAsia="zh-CN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eastAsia="Calibri"/>
          <w:sz w:val="26"/>
          <w:szCs w:val="26"/>
          <w:lang w:eastAsia="zh-CN"/>
        </w:rPr>
      </w:r>
    </w:p>
    <w:p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7.4. Выплата неустоек (штрафов, пеней), предусмотренных Контрактом, не освобождает Стороны от исполнения обязательств по Контракту.</w:t>
      </w:r>
      <w:r>
        <w:rPr>
          <w:rFonts w:eastAsia="Calibri"/>
          <w:sz w:val="26"/>
          <w:szCs w:val="26"/>
          <w:lang w:eastAsia="zh-CN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7"/>
        </w:numPr>
        <w:jc w:val="center"/>
        <w:shd w:val="clear" w:color="auto" w:fill="ffffff"/>
        <w:rPr>
          <w:b/>
          <w:color w:val="000000"/>
          <w:spacing w:val="-4"/>
          <w:sz w:val="26"/>
          <w:szCs w:val="26"/>
        </w:rPr>
      </w:pPr>
      <w:r>
        <w:rPr>
          <w:b/>
          <w:color w:val="000000"/>
          <w:spacing w:val="-4"/>
          <w:sz w:val="26"/>
          <w:szCs w:val="26"/>
        </w:rPr>
        <w:tab/>
        <w:t xml:space="preserve">Форс-мажор</w:t>
      </w:r>
      <w:r>
        <w:rPr>
          <w:b/>
          <w:color w:val="000000"/>
          <w:spacing w:val="-4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</w:t>
      </w:r>
      <w:r>
        <w:rPr>
          <w:sz w:val="26"/>
          <w:szCs w:val="26"/>
        </w:rPr>
        <w:tab/>
        <w:t xml:space="preserve">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</w:t>
      </w:r>
      <w:r>
        <w:rPr>
          <w:sz w:val="26"/>
          <w:szCs w:val="26"/>
        </w:rPr>
        <w:tab/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</w:t>
      </w:r>
      <w:r>
        <w:rPr>
          <w:sz w:val="26"/>
          <w:szCs w:val="26"/>
        </w:rPr>
        <w:tab/>
        <w:t xml:space="preserve">Сторона, не исполняющая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</w:t>
      </w:r>
      <w:r>
        <w:rPr>
          <w:sz w:val="26"/>
          <w:szCs w:val="26"/>
        </w:rPr>
        <w:tab/>
        <w:t xml:space="preserve">Если обстоят</w:t>
      </w:r>
      <w:r>
        <w:rPr>
          <w:sz w:val="26"/>
          <w:szCs w:val="26"/>
        </w:rPr>
        <w:t xml:space="preserve">ельства непреодолимой силы (форс-мажор) и их последствия будут длиться более 1 (одного) месяца Контракт расторгается в порядке, предусмотренном действующим законодательством. В этом случае Стороны Контракта не имеют права требовать уплаты штрафных санкций.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23"/>
        </w:numPr>
        <w:jc w:val="center"/>
        <w:shd w:val="clear" w:color="auto" w:fill="ffffff"/>
        <w:rPr>
          <w:b/>
          <w:color w:val="000000"/>
          <w:spacing w:val="-1"/>
          <w:sz w:val="26"/>
          <w:szCs w:val="26"/>
        </w:rPr>
      </w:pPr>
      <w:r>
        <w:rPr>
          <w:b/>
          <w:color w:val="000000"/>
          <w:spacing w:val="-1"/>
          <w:sz w:val="26"/>
          <w:szCs w:val="26"/>
        </w:rPr>
        <w:t xml:space="preserve">Порядок разрешения споров</w:t>
      </w:r>
      <w:r>
        <w:rPr>
          <w:b/>
          <w:color w:val="000000"/>
          <w:spacing w:val="-1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</w:t>
      </w:r>
      <w:r>
        <w:rPr>
          <w:sz w:val="26"/>
          <w:szCs w:val="26"/>
        </w:rPr>
        <w:tab/>
        <w:t xml:space="preserve">Все споры, связанные с заключением, толкованием, исполнением и расторжением Контракта, будут разрешаться Сторонами путем переговоров.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</w:t>
      </w:r>
      <w:r>
        <w:rPr>
          <w:sz w:val="26"/>
          <w:szCs w:val="26"/>
        </w:rPr>
        <w:tab/>
        <w:t xml:space="preserve">В случае не достижения соглашения в ходе переговоров, указанных в </w:t>
      </w:r>
      <w:hyperlink w:tooltip="#Par143" w:anchor="Par143" w:history="1">
        <w:r>
          <w:rPr>
            <w:sz w:val="26"/>
            <w:szCs w:val="26"/>
          </w:rPr>
          <w:t xml:space="preserve">п. 9.1</w:t>
        </w:r>
      </w:hyperlink>
      <w:r>
        <w:rPr>
          <w:sz w:val="26"/>
          <w:szCs w:val="26"/>
        </w:rPr>
        <w:t xml:space="preserve"> Контракта, заинте</w:t>
      </w:r>
      <w:r>
        <w:rPr>
          <w:sz w:val="26"/>
          <w:szCs w:val="26"/>
        </w:rPr>
        <w:t xml:space="preserve">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9.3.</w:t>
      </w:r>
      <w:r>
        <w:rPr>
          <w:sz w:val="26"/>
          <w:szCs w:val="26"/>
        </w:rPr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" w:name="Par146"/>
      <w:r/>
      <w:bookmarkEnd w:id="1"/>
      <w:r/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9.4. </w:t>
      </w:r>
      <w:r>
        <w:rPr>
          <w:sz w:val="26"/>
          <w:szCs w:val="26"/>
        </w:rPr>
        <w:tab/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</w:t>
      </w:r>
      <w:r>
        <w:rPr>
          <w:sz w:val="26"/>
          <w:szCs w:val="26"/>
        </w:rPr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tooltip="#Par146" w:anchor="Par146" w:history="1">
        <w:r>
          <w:rPr>
            <w:sz w:val="26"/>
            <w:szCs w:val="26"/>
          </w:rPr>
          <w:t xml:space="preserve">п. 9.4</w:t>
        </w:r>
      </w:hyperlink>
      <w:r>
        <w:rPr>
          <w:sz w:val="26"/>
          <w:szCs w:val="26"/>
        </w:rPr>
        <w:t xml:space="preserve"> Контракта, спор передается в Арбитражный суд Кировской области в соответствии с действующим законодательством РФ.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</w:t>
      </w:r>
      <w:r>
        <w:rPr>
          <w:b/>
          <w:sz w:val="26"/>
          <w:szCs w:val="26"/>
        </w:rPr>
        <w:tab/>
        <w:t xml:space="preserve">Расторжение, изменение и/или дополнение Контракта</w:t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</w:t>
      </w:r>
      <w:r>
        <w:rPr>
          <w:sz w:val="26"/>
          <w:szCs w:val="26"/>
        </w:rPr>
        <w:tab/>
        <w:t xml:space="preserve">Контракт расторгается по соглашению Сторон или  по </w:t>
      </w:r>
      <w:r>
        <w:rPr>
          <w:sz w:val="26"/>
          <w:szCs w:val="26"/>
        </w:rPr>
        <w:t xml:space="preserve"> решению  суда по основаниям, предусмотренным действующим законодательством РФ, а также, расторжение Контракта допускается в случае одностороннего отказа стороны Контракта от исполнения Контракта в связи с существенным нарушением обязательств по Контракту.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Контракт не подлежит расторжению в одностороннем порядке без наличия существенных нарушений одной из сторон.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</w:t>
      </w:r>
      <w:r>
        <w:rPr>
          <w:sz w:val="26"/>
          <w:szCs w:val="26"/>
        </w:rPr>
        <w:tab/>
        <w:t xml:space="preserve">Изменения в Контракт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Контракту.</w:t>
      </w:r>
      <w:r>
        <w:rPr>
          <w:sz w:val="26"/>
          <w:szCs w:val="26"/>
        </w:rPr>
      </w:r>
    </w:p>
    <w:p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10.3.</w:t>
      </w:r>
      <w:r>
        <w:rPr>
          <w:rFonts w:eastAsia="Calibri"/>
          <w:sz w:val="26"/>
          <w:szCs w:val="26"/>
          <w:lang w:eastAsia="zh-CN"/>
        </w:rPr>
        <w:tab/>
        <w:t xml:space="preserve">Стороны вправе принять решение об одностороннем отказе от исполнения Контракта в порядке и в соответствии с положениями </w:t>
      </w:r>
      <w:hyperlink r:id="rId11" w:tooltip="consultantplus://offline/ref=A504A56ED4A1CDDA8B29EFC200D36F33FDDBD8169DD13F3DEDFE66CFF8AF15271A3DD931D36ABF05mEU8M" w:history="1">
        <w:r>
          <w:rPr>
            <w:rFonts w:eastAsia="Calibri"/>
            <w:sz w:val="26"/>
            <w:szCs w:val="26"/>
            <w:lang w:eastAsia="zh-CN"/>
          </w:rPr>
          <w:t xml:space="preserve">ст. 95</w:t>
        </w:r>
      </w:hyperlink>
      <w:r>
        <w:rPr>
          <w:rFonts w:eastAsia="Calibri"/>
          <w:sz w:val="26"/>
          <w:szCs w:val="26"/>
          <w:lang w:eastAsia="zh-CN"/>
        </w:rPr>
        <w:t xml:space="preserve"> Закона о контрактной системе.</w:t>
      </w:r>
      <w:r>
        <w:rPr>
          <w:rFonts w:eastAsia="Calibri"/>
          <w:sz w:val="26"/>
          <w:szCs w:val="26"/>
          <w:lang w:eastAsia="zh-CN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10.4.</w:t>
      </w:r>
      <w:r>
        <w:rPr>
          <w:sz w:val="26"/>
          <w:szCs w:val="26"/>
        </w:rPr>
        <w:tab/>
        <w:t xml:space="preserve">Любые соглашения сторон по изменению и/или дополнению условий настоящего Контракта имеют силу в том случае, если они оформлены в письменном виде, подписаны сторонами Контракта.</w:t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</w:t>
      </w:r>
      <w:r>
        <w:rPr>
          <w:b/>
          <w:sz w:val="26"/>
          <w:szCs w:val="26"/>
        </w:rPr>
        <w:tab/>
        <w:t xml:space="preserve">Обеспечение исполнения контракта</w:t>
      </w:r>
      <w:r>
        <w:rPr>
          <w:b/>
          <w:sz w:val="26"/>
          <w:szCs w:val="26"/>
        </w:rPr>
      </w:r>
    </w:p>
    <w:p>
      <w:pPr>
        <w:ind w:firstLine="708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Не применяется</w:t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12.</w:t>
      </w:r>
      <w:r>
        <w:rPr>
          <w:b/>
          <w:color w:val="000000"/>
          <w:sz w:val="26"/>
          <w:szCs w:val="26"/>
        </w:rPr>
        <w:tab/>
        <w:t xml:space="preserve">Условия конфиденциальности</w:t>
      </w:r>
      <w:r>
        <w:rPr>
          <w:b/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12.1.</w:t>
      </w:r>
      <w:r>
        <w:rPr>
          <w:color w:val="000000"/>
          <w:sz w:val="26"/>
          <w:szCs w:val="26"/>
        </w:rPr>
        <w:tab/>
        <w:t xml:space="preserve">Вся предоставляемая Сторонами друг другу информация, связанная с заключением и исполнением Контракта, не подлежит разглашению.</w:t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12.2.</w:t>
      </w:r>
      <w:r>
        <w:rPr>
          <w:color w:val="000000"/>
          <w:sz w:val="26"/>
          <w:szCs w:val="26"/>
        </w:rPr>
        <w:tab/>
        <w:t xml:space="preserve"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12.3. При нарушении «Исполнителем» в ходе оказания услуг взятых на себя обязательств по защите сведений составляющих госуд</w:t>
      </w:r>
      <w:r>
        <w:rPr>
          <w:color w:val="000000"/>
          <w:sz w:val="26"/>
          <w:szCs w:val="26"/>
        </w:rPr>
        <w:t xml:space="preserve">арственную тайну, служебную и конфиденциальную информацию, «Заказчик» вправе приостановить оказание услуг до устранения нарушений. При этом убытки, нанесенные «Исполнителем» «Заказчику», подлежит взысканию в соответствии с действующим законодательством РФ.</w:t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12.4. Обязательства по соблюдению конфиденциальности сохраняют свою силу, и после истечения срока действия Контракта.</w:t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1" w:firstLine="272"/>
        <w:jc w:val="center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13.</w:t>
      </w:r>
      <w:r>
        <w:rPr>
          <w:b/>
          <w:color w:val="000000"/>
          <w:sz w:val="26"/>
          <w:szCs w:val="26"/>
        </w:rPr>
        <w:tab/>
        <w:t xml:space="preserve">Прочие условия</w:t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13.1.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По всем вопросам, не нашедшим своего отражения в тексте и условиях настоящего Контракта, но прямо или косвенно вытекающим из отношений сторон по нему, затрагивающих имущ</w:t>
      </w:r>
      <w:r>
        <w:rPr>
          <w:color w:val="000000"/>
          <w:sz w:val="26"/>
          <w:szCs w:val="26"/>
        </w:rPr>
        <w:t xml:space="preserve">ественные интересы и деловую репутацию сторон Контракта,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r>
        <w:rPr>
          <w:color w:val="000000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13.2.</w:t>
      </w:r>
      <w:r>
        <w:rPr>
          <w:sz w:val="26"/>
          <w:szCs w:val="26"/>
        </w:rPr>
        <w:tab/>
        <w:t xml:space="preserve">Настоящий Контракт вступает в действие с даты подписания и действует до исполнения Сторонами всех своих обязательств по Контракту.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13.3.</w:t>
      </w:r>
      <w:r>
        <w:rPr>
          <w:sz w:val="26"/>
          <w:szCs w:val="26"/>
        </w:rPr>
        <w:tab/>
        <w:t xml:space="preserve">В случае изменения у ка</w:t>
      </w:r>
      <w:r>
        <w:rPr>
          <w:sz w:val="26"/>
          <w:szCs w:val="26"/>
        </w:rPr>
        <w:t xml:space="preserve">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противном случае все риски, связанные с направлением документов или перечислением денежных средств несет сторона не исполнившая вышеуказанное обязательство.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13.4.</w:t>
      </w:r>
      <w:r>
        <w:rPr>
          <w:sz w:val="26"/>
          <w:szCs w:val="26"/>
        </w:rPr>
        <w:tab/>
        <w:t xml:space="preserve">Все изменения, дополнения к настоящему Контракту действительны, если они согласованы сторонами в письменном виде.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/>
      <w:bookmarkStart w:id="2" w:name="_ref_1438055"/>
      <w:r>
        <w:rPr>
          <w:sz w:val="26"/>
          <w:szCs w:val="26"/>
        </w:rPr>
        <w:t xml:space="preserve">13.5.</w:t>
      </w:r>
      <w:r>
        <w:rPr>
          <w:sz w:val="26"/>
          <w:szCs w:val="26"/>
        </w:rPr>
        <w:tab/>
        <w:t xml:space="preserve">Заявления, уведомления, извещения, требования или иные юридически значимые сообщения, с которыми закон или Кон</w:t>
      </w:r>
      <w:r>
        <w:rPr>
          <w:sz w:val="26"/>
          <w:szCs w:val="26"/>
        </w:rPr>
        <w:t xml:space="preserve">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Контрактом предусмотрен специальный способ направления):</w:t>
      </w:r>
      <w:bookmarkEnd w:id="2"/>
      <w:r/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заказным письмом с уведомлением о вручении;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электронной почте;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факсом;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посредством ЕАТ.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3" w:name="_ref_2117125"/>
      <w:r>
        <w:rPr>
          <w:sz w:val="26"/>
          <w:szCs w:val="26"/>
        </w:rPr>
        <w:t xml:space="preserve">Юридически значимые сообщения направляются исключительно предусмотренными Контрактом способами. Направление сообщения иным способом не может считаться надлежащим.</w:t>
      </w:r>
      <w:bookmarkEnd w:id="3"/>
      <w:r/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4" w:name="_ref_2117126"/>
      <w:r>
        <w:rPr>
          <w:sz w:val="26"/>
          <w:szCs w:val="26"/>
        </w:rPr>
        <w:t xml:space="preserve">Все юридически значимые сообщения должны направляться исключительно по почтовому адресу, который указан в разделе Контракта «Почтовые и банковские реквизиты сторон». Направление сообщения по другим адресам не может считаться надлежащим.</w:t>
      </w:r>
      <w:bookmarkEnd w:id="4"/>
      <w:r/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5" w:name="_ref_2117127"/>
      <w:r>
        <w:rPr>
          <w:sz w:val="26"/>
          <w:szCs w:val="26"/>
        </w:rPr>
        <w:t xml:space="preserve">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5"/>
      <w:r/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13.6.</w:t>
      </w:r>
      <w:r>
        <w:rPr>
          <w:sz w:val="26"/>
          <w:szCs w:val="26"/>
        </w:rPr>
        <w:tab/>
        <w:t xml:space="preserve"> К настоящему Контракту прилагается и является его неотъемлемой частью: </w:t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  <w:t xml:space="preserve">- Приложение №1 – Техническое задание.</w:t>
      </w:r>
      <w:r>
        <w:rPr>
          <w:sz w:val="26"/>
          <w:szCs w:val="26"/>
        </w:rPr>
      </w:r>
    </w:p>
    <w:p>
      <w:pPr>
        <w:ind w:left="10" w:firstLine="274"/>
        <w:jc w:val="center"/>
        <w:spacing w:line="250" w:lineRule="exact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 w:firstLine="274"/>
        <w:jc w:val="center"/>
        <w:spacing w:line="250" w:lineRule="exact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14.</w:t>
      </w:r>
      <w:r>
        <w:rPr>
          <w:b/>
          <w:color w:val="000000"/>
          <w:sz w:val="26"/>
          <w:szCs w:val="26"/>
        </w:rPr>
        <w:tab/>
        <w:t xml:space="preserve">Почтовые и банковские реквизиты сторон</w:t>
      </w:r>
      <w:r>
        <w:rPr>
          <w:b/>
          <w:color w:val="000000"/>
          <w:sz w:val="26"/>
          <w:szCs w:val="26"/>
        </w:rPr>
      </w:r>
    </w:p>
    <w:tbl>
      <w:tblPr>
        <w:tblW w:w="9885" w:type="dxa"/>
        <w:tblInd w:w="-34" w:type="dxa"/>
        <w:tblLook w:val="01E0" w:firstRow="1" w:lastRow="1" w:firstColumn="1" w:lastColumn="1" w:noHBand="0" w:noVBand="0"/>
      </w:tblPr>
      <w:tblGrid>
        <w:gridCol w:w="4849"/>
        <w:gridCol w:w="5036"/>
      </w:tblGrid>
      <w:tr>
        <w:tblPrEx/>
        <w:trPr>
          <w:trHeight w:val="366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«Заказчик»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«Исполнитель»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Федеральной службы государственной регистрации, кадастра и картографии по Кировской области</w:t>
            </w:r>
            <w:r>
              <w:rPr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r/>
            <w:r/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 w:hanging="2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610002, Кировская область, г. Киров, ул. Ленина, д. 108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ИНН 4345093420 / КПП 434501001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ОГРН 1044316880453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ОКВЭД 84.11.12, ОКПО 73596733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 </w:t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КПП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БИК 012202102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Л./сч. 03401</w:t>
            </w:r>
            <w:r>
              <w:rPr>
                <w:color w:val="000000"/>
                <w:sz w:val="26"/>
                <w:szCs w:val="26"/>
                <w:lang w:val="en-US"/>
              </w:rPr>
              <w:t xml:space="preserve">W</w:t>
            </w:r>
            <w:r>
              <w:rPr>
                <w:color w:val="000000"/>
                <w:sz w:val="26"/>
                <w:szCs w:val="26"/>
              </w:rPr>
              <w:t xml:space="preserve">00520 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Кор./сч. 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Р./сч. 03211643000000013246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Р./сч.  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ОКЦ № 1 ВВГУ Банка России//УФК по Нижегородской области, г. Нижний Новгород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Кор./сч. 40102810745370000024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Тел.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225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________________Е.В. Ембасинова</w:t>
            </w:r>
            <w:r>
              <w:rPr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Факс.:</w:t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e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  <w:lang w:val="en-US"/>
              </w:rPr>
              <w:t xml:space="preserve">mail</w:t>
            </w:r>
            <w:r>
              <w:t xml:space="preserve">:</w:t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0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pStyle w:val="7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spacing w:after="120" w:line="300" w:lineRule="exact"/>
      </w:pPr>
      <w:r>
        <w:t xml:space="preserve">Приложение № 1 </w:t>
      </w:r>
      <w:r/>
    </w:p>
    <w:p>
      <w:pPr>
        <w:contextualSpacing/>
        <w:jc w:val="right"/>
        <w:spacing w:after="120" w:line="300" w:lineRule="exact"/>
      </w:pPr>
      <w:r>
        <w:t xml:space="preserve">к государственному контракту № ___________ от «___» _______2026г.</w:t>
      </w:r>
      <w:r/>
    </w:p>
    <w:p>
      <w:pPr>
        <w:jc w:val="center"/>
        <w:widowControl w:val="off"/>
        <w:rPr>
          <w:rFonts w:cs="Arial"/>
          <w:b/>
        </w:rPr>
      </w:pPr>
      <w:r>
        <w:rPr>
          <w:rFonts w:cs="Arial"/>
          <w:b/>
        </w:rPr>
      </w:r>
      <w:r>
        <w:rPr>
          <w:rFonts w:cs="Arial"/>
          <w:b/>
        </w:rPr>
      </w:r>
    </w:p>
    <w:p>
      <w:pPr>
        <w:ind w:left="567"/>
        <w:jc w:val="center"/>
        <w:rPr>
          <w:b/>
          <w:bCs/>
        </w:rPr>
      </w:pPr>
      <w:r>
        <w:rPr>
          <w:b/>
          <w:bCs/>
        </w:rPr>
        <w:t xml:space="preserve">ТЕХНИЧЕСКОЕ ЗАДАНИЕ</w:t>
      </w:r>
      <w:r>
        <w:rPr>
          <w:b/>
          <w:bCs/>
        </w:rPr>
      </w:r>
    </w:p>
    <w:p>
      <w:pPr>
        <w:ind w:left="567"/>
        <w:jc w:val="center"/>
        <w:rPr>
          <w:b/>
          <w:bCs/>
        </w:rPr>
      </w:pPr>
      <w:r>
        <w:rPr>
          <w:b/>
          <w:bCs/>
        </w:rPr>
        <w:t xml:space="preserve">на приобретение прав использования ПО ViPNet Client 5 for Linux (рег. № в РРПО: 4319)</w:t>
      </w:r>
      <w:r>
        <w:rPr>
          <w:b/>
          <w:bCs/>
        </w:rPr>
      </w:r>
    </w:p>
    <w:p>
      <w:pPr>
        <w:ind w:left="567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93"/>
        <w:numPr>
          <w:ilvl w:val="0"/>
          <w:numId w:val="50"/>
        </w:numPr>
        <w:contextualSpacing/>
        <w:ind w:left="567" w:firstLine="0"/>
        <w:jc w:val="both"/>
        <w:widowControl w:val="off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 xml:space="preserve">Наименование услуг: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93"/>
        <w:ind w:left="567"/>
        <w:jc w:val="both"/>
        <w:widowControl w:val="off"/>
        <w:rPr>
          <w:b/>
          <w:bCs/>
          <w:sz w:val="24"/>
          <w:szCs w:val="24"/>
        </w:rPr>
      </w:pPr>
      <w:r>
        <w:rPr>
          <w:sz w:val="22"/>
          <w:szCs w:val="22"/>
          <w:lang w:val="ru-RU"/>
        </w:rPr>
        <w:t xml:space="preserve">              </w:t>
      </w:r>
      <w:r>
        <w:rPr>
          <w:sz w:val="22"/>
          <w:szCs w:val="22"/>
          <w:lang w:val="ru-RU"/>
        </w:rPr>
        <w:t xml:space="preserve">Оказание услуг по п</w:t>
      </w:r>
      <w:r>
        <w:rPr>
          <w:sz w:val="22"/>
          <w:szCs w:val="22"/>
          <w:lang w:val="ru-RU"/>
        </w:rPr>
        <w:t xml:space="preserve">ередач</w:t>
      </w:r>
      <w:r>
        <w:rPr>
          <w:sz w:val="22"/>
          <w:szCs w:val="22"/>
          <w:lang w:val="ru-RU"/>
        </w:rPr>
        <w:t xml:space="preserve">е</w:t>
      </w:r>
      <w:r>
        <w:rPr>
          <w:sz w:val="22"/>
          <w:szCs w:val="22"/>
          <w:lang w:val="ru-RU"/>
        </w:rPr>
        <w:t xml:space="preserve"> неисключительных (лицензионных) прав на программное обеспечение </w:t>
      </w:r>
      <w:r>
        <w:rPr>
          <w:color w:val="000000" w:themeColor="text1"/>
          <w:sz w:val="22"/>
          <w:szCs w:val="22"/>
          <w:lang w:bidi="ru-RU"/>
        </w:rPr>
        <w:t xml:space="preserve">ViPNet</w:t>
      </w:r>
      <w:r>
        <w:rPr>
          <w:color w:val="000000" w:themeColor="text1"/>
          <w:sz w:val="22"/>
          <w:szCs w:val="22"/>
          <w:lang w:val="ru-RU" w:bidi="ru-RU"/>
        </w:rPr>
        <w:t xml:space="preserve"> </w:t>
      </w:r>
      <w:r>
        <w:rPr>
          <w:color w:val="000000" w:themeColor="text1"/>
          <w:sz w:val="22"/>
          <w:szCs w:val="22"/>
          <w:lang w:bidi="ru-RU"/>
        </w:rPr>
        <w:t xml:space="preserve">Client</w:t>
      </w:r>
      <w:r>
        <w:rPr>
          <w:color w:val="000000" w:themeColor="text1"/>
          <w:sz w:val="22"/>
          <w:szCs w:val="22"/>
          <w:lang w:val="ru-RU" w:bidi="ru-RU"/>
        </w:rPr>
        <w:t xml:space="preserve"> 5 </w:t>
      </w:r>
      <w:r>
        <w:rPr>
          <w:color w:val="000000" w:themeColor="text1"/>
          <w:sz w:val="22"/>
          <w:szCs w:val="22"/>
          <w:lang w:bidi="ru-RU"/>
        </w:rPr>
        <w:t xml:space="preserve">for</w:t>
      </w:r>
      <w:r>
        <w:rPr>
          <w:color w:val="000000" w:themeColor="text1"/>
          <w:sz w:val="22"/>
          <w:szCs w:val="22"/>
          <w:lang w:val="ru-RU" w:bidi="ru-RU"/>
        </w:rPr>
        <w:t xml:space="preserve"> </w:t>
      </w:r>
      <w:r>
        <w:rPr>
          <w:color w:val="000000" w:themeColor="text1"/>
          <w:sz w:val="22"/>
          <w:szCs w:val="22"/>
          <w:lang w:bidi="ru-RU"/>
        </w:rPr>
        <w:t xml:space="preserve">Linux</w:t>
      </w:r>
      <w:r>
        <w:rPr>
          <w:color w:val="000000" w:themeColor="text1"/>
          <w:sz w:val="22"/>
          <w:szCs w:val="22"/>
          <w:lang w:val="ru-RU" w:bidi="ru-RU"/>
        </w:rPr>
        <w:t xml:space="preserve"> </w:t>
      </w:r>
      <w:r>
        <w:rPr>
          <w:sz w:val="22"/>
          <w:szCs w:val="22"/>
          <w:lang w:val="ru-RU"/>
        </w:rPr>
        <w:t xml:space="preserve">(рег. № в РРПО: 4319) для нужд Управления Росреестра по </w:t>
      </w:r>
      <w:r>
        <w:rPr>
          <w:sz w:val="22"/>
          <w:szCs w:val="22"/>
          <w:lang w:val="ru-RU"/>
        </w:rPr>
        <w:t xml:space="preserve">Кировской области</w:t>
      </w:r>
      <w:r>
        <w:rPr>
          <w:sz w:val="22"/>
          <w:szCs w:val="22"/>
          <w:lang w:val="ru-RU"/>
        </w:rPr>
        <w:t xml:space="preserve">.</w:t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ind w:left="567" w:firstLine="851"/>
        <w:jc w:val="both"/>
        <w:rPr>
          <w:shd w:val="clear" w:color="auto" w:fill="ffffff"/>
        </w:rPr>
      </w:pPr>
      <w:r>
        <w:rPr>
          <w:sz w:val="22"/>
          <w:szCs w:val="22"/>
        </w:rPr>
        <w:t xml:space="preserve">Код закупки по ОКПД2: 58.29.50.000</w:t>
      </w:r>
      <w:r>
        <w:rPr>
          <w:rFonts w:ascii="Roboto" w:hAnsi="Roboto"/>
          <w:color w:val="334059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Услуги по предоставлению лицензий на право </w:t>
      </w:r>
      <w:r>
        <w:rPr>
          <w:sz w:val="22"/>
          <w:szCs w:val="22"/>
          <w:shd w:val="clear" w:color="auto" w:fill="ffffff"/>
        </w:rPr>
        <w:t xml:space="preserve">  </w:t>
      </w:r>
      <w:r>
        <w:rPr>
          <w:sz w:val="22"/>
          <w:szCs w:val="22"/>
          <w:shd w:val="clear" w:color="auto" w:fill="ffffff"/>
        </w:rPr>
        <w:t xml:space="preserve">использовать компьютерное программное обеспечение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left="567"/>
        <w:jc w:val="both"/>
        <w:rPr>
          <w:spacing w:val="-8"/>
        </w:rPr>
      </w:pPr>
      <w:r>
        <w:rPr>
          <w:b/>
          <w:spacing w:val="-8"/>
          <w:sz w:val="22"/>
          <w:szCs w:val="22"/>
        </w:rPr>
        <w:t xml:space="preserve">2. </w:t>
      </w:r>
      <w:r>
        <w:rPr>
          <w:b/>
          <w:spacing w:val="-8"/>
          <w:sz w:val="22"/>
          <w:szCs w:val="22"/>
        </w:rPr>
        <w:tab/>
      </w:r>
      <w:r>
        <w:rPr>
          <w:b/>
          <w:spacing w:val="-8"/>
          <w:sz w:val="22"/>
          <w:szCs w:val="22"/>
        </w:rPr>
        <w:t xml:space="preserve">Место оказания услу</w:t>
      </w:r>
      <w:r>
        <w:rPr>
          <w:b/>
          <w:spacing w:val="-8"/>
          <w:sz w:val="22"/>
          <w:szCs w:val="22"/>
        </w:rPr>
        <w:t xml:space="preserve">г: </w:t>
      </w:r>
      <w:r>
        <w:rPr>
          <w:sz w:val="22"/>
          <w:szCs w:val="22"/>
        </w:rPr>
        <w:t xml:space="preserve">г. </w:t>
      </w:r>
      <w:r>
        <w:rPr>
          <w:sz w:val="22"/>
          <w:szCs w:val="22"/>
        </w:rPr>
        <w:t xml:space="preserve">Киров</w:t>
      </w:r>
      <w:r>
        <w:rPr>
          <w:sz w:val="22"/>
          <w:szCs w:val="22"/>
        </w:rPr>
        <w:t xml:space="preserve">, ул. </w:t>
      </w:r>
      <w:r>
        <w:rPr>
          <w:sz w:val="22"/>
          <w:szCs w:val="22"/>
        </w:rPr>
        <w:t xml:space="preserve">Ленина</w:t>
      </w:r>
      <w:r>
        <w:rPr>
          <w:sz w:val="22"/>
          <w:szCs w:val="22"/>
        </w:rPr>
        <w:t xml:space="preserve">, д. </w:t>
      </w:r>
      <w:r>
        <w:rPr>
          <w:sz w:val="22"/>
          <w:szCs w:val="22"/>
        </w:rPr>
        <w:t xml:space="preserve">108</w:t>
      </w:r>
      <w:r>
        <w:rPr>
          <w:spacing w:val="-8"/>
          <w:sz w:val="22"/>
          <w:szCs w:val="22"/>
        </w:rPr>
      </w:r>
      <w:r>
        <w:rPr>
          <w:spacing w:val="-8"/>
          <w:sz w:val="22"/>
          <w:szCs w:val="22"/>
        </w:rPr>
      </w:r>
    </w:p>
    <w:p>
      <w:pPr>
        <w:ind w:left="567"/>
        <w:jc w:val="both"/>
        <w:rPr>
          <w:shd w:val="clear" w:color="auto" w:fill="ffffff"/>
        </w:rPr>
      </w:pPr>
      <w:r>
        <w:rPr>
          <w:b/>
          <w:spacing w:val="-8"/>
          <w:sz w:val="22"/>
          <w:szCs w:val="22"/>
        </w:rPr>
        <w:t xml:space="preserve">3.</w:t>
      </w:r>
      <w:r>
        <w:rPr>
          <w:b/>
          <w:spacing w:val="-8"/>
          <w:sz w:val="22"/>
          <w:szCs w:val="22"/>
        </w:rPr>
        <w:tab/>
      </w:r>
      <w:r>
        <w:rPr>
          <w:b/>
          <w:spacing w:val="-8"/>
          <w:sz w:val="22"/>
          <w:szCs w:val="22"/>
        </w:rPr>
        <w:t xml:space="preserve">Срок оказания услуг: </w:t>
      </w:r>
      <w:r>
        <w:rPr>
          <w:spacing w:val="-8"/>
          <w:sz w:val="22"/>
          <w:szCs w:val="22"/>
        </w:rPr>
        <w:t xml:space="preserve">в течение </w:t>
      </w:r>
      <w:r>
        <w:rPr>
          <w:spacing w:val="-8"/>
          <w:sz w:val="22"/>
          <w:szCs w:val="22"/>
        </w:rPr>
        <w:t xml:space="preserve">6</w:t>
      </w:r>
      <w:r>
        <w:rPr>
          <w:spacing w:val="-8"/>
          <w:sz w:val="22"/>
          <w:szCs w:val="22"/>
        </w:rPr>
        <w:t xml:space="preserve">5</w:t>
      </w:r>
      <w:bookmarkStart w:id="0" w:name="undefined"/>
      <w:r>
        <w:rPr>
          <w:sz w:val="22"/>
          <w:szCs w:val="22"/>
        </w:rPr>
      </w:r>
      <w:bookmarkEnd w:id="0"/>
      <w:r>
        <w:rPr>
          <w:spacing w:val="-8"/>
          <w:sz w:val="22"/>
          <w:szCs w:val="22"/>
        </w:rPr>
        <w:t xml:space="preserve">-ти рабочих дней с даты подписания контракта.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pStyle w:val="993"/>
        <w:ind w:left="567"/>
        <w:jc w:val="both"/>
        <w:widowControl w:val="off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996"/>
        <w:ind w:left="567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4.  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Спецификация</w:t>
      </w:r>
      <w:r>
        <w:rPr>
          <w:b/>
          <w:bCs/>
          <w:sz w:val="22"/>
          <w:szCs w:val="22"/>
        </w:rPr>
        <w:t xml:space="preserve">: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96"/>
        <w:ind w:left="567"/>
        <w:spacing w:after="0"/>
        <w:rPr>
          <w:b/>
          <w:bCs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9864" w:type="dxa"/>
        <w:tblInd w:w="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6123"/>
        <w:gridCol w:w="1418"/>
        <w:gridCol w:w="1530"/>
      </w:tblGrid>
      <w:tr>
        <w:tblPrEx/>
        <w:trPr>
          <w:trHeight w:val="2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" w:type="dxa"/>
            <w:vAlign w:val="center"/>
            <w:textDirection w:val="lrTb"/>
            <w:noWrap w:val="false"/>
          </w:tcPr>
          <w:p>
            <w:pPr>
              <w:ind w:left="567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br w:type="page" w:clear="all"/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3" w:type="dxa"/>
            <w:vAlign w:val="center"/>
            <w:textDirection w:val="lrTb"/>
            <w:noWrap w:val="false"/>
          </w:tcPr>
          <w:p>
            <w:pPr>
              <w:ind w:left="567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Наименование</w:t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Единица измерения</w:t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ind w:left="-86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Количество</w:t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" w:type="dxa"/>
            <w:vAlign w:val="center"/>
            <w:textDirection w:val="lrTb"/>
            <w:noWrap w:val="false"/>
          </w:tcPr>
          <w:p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3" w:type="dxa"/>
            <w:vAlign w:val="center"/>
            <w:textDirection w:val="lrTb"/>
            <w:noWrap w:val="false"/>
          </w:tcPr>
          <w:p>
            <w:pPr>
              <w:ind w:left="168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Передача права на использование ПО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ViPNet Client 5 for Linux</w:t>
            </w:r>
            <w:r>
              <w:rPr>
                <w:rFonts w:eastAsia="Calibri"/>
                <w:sz w:val="22"/>
                <w:szCs w:val="22"/>
              </w:rPr>
              <w:t xml:space="preserve"> (КС2)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(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Update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Client</w:t>
            </w:r>
            <w:r>
              <w:rPr>
                <w:rFonts w:eastAsia="Calibri"/>
                <w:sz w:val="22"/>
                <w:szCs w:val="22"/>
              </w:rPr>
              <w:t xml:space="preserve"> 4 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Lin</w:t>
            </w:r>
            <w:r>
              <w:rPr>
                <w:rFonts w:eastAsia="Calibri"/>
                <w:sz w:val="22"/>
                <w:szCs w:val="22"/>
              </w:rPr>
              <w:t xml:space="preserve">), </w:t>
            </w:r>
            <w:r>
              <w:rPr>
                <w:rFonts w:eastAsia="Calibri"/>
                <w:sz w:val="22"/>
                <w:szCs w:val="22"/>
              </w:rPr>
              <w:t xml:space="preserve">Сеть 1274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шт.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</w:tr>
      <w:tr>
        <w:tblPrEx/>
        <w:trPr>
          <w:trHeight w:val="6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" w:type="dxa"/>
            <w:vAlign w:val="center"/>
            <w:textDirection w:val="lrTb"/>
            <w:noWrap w:val="false"/>
          </w:tcPr>
          <w:p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3" w:type="dxa"/>
            <w:vAlign w:val="center"/>
            <w:textDirection w:val="lrTb"/>
            <w:noWrap w:val="false"/>
          </w:tcPr>
          <w:p>
            <w:pPr>
              <w:ind w:left="168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Сертификат активации прямой технической поддержки ПО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ViPNet Client 5 for Linux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 на срок 1 год, уровень расширенный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шт.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</w:tr>
      <w:tr>
        <w:tblPrEx/>
        <w:trPr>
          <w:trHeight w:val="6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" w:type="dxa"/>
            <w:vAlign w:val="center"/>
            <w:textDirection w:val="lrTb"/>
            <w:noWrap w:val="false"/>
          </w:tcPr>
          <w:p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3" w:type="dxa"/>
            <w:vAlign w:val="center"/>
            <w:textDirection w:val="lrTb"/>
            <w:noWrap w:val="false"/>
          </w:tcPr>
          <w:p>
            <w:pPr>
              <w:ind w:left="168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Дистрибутив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ViPNet Client 5 for Linux </w:t>
            </w:r>
            <w:r>
              <w:rPr>
                <w:rFonts w:eastAsia="Calibri"/>
                <w:sz w:val="22"/>
                <w:szCs w:val="22"/>
              </w:rPr>
              <w:t xml:space="preserve">(</w:t>
            </w:r>
            <w:r>
              <w:rPr>
                <w:rFonts w:eastAsia="Calibri"/>
                <w:sz w:val="22"/>
                <w:szCs w:val="22"/>
              </w:rPr>
              <w:t xml:space="preserve">КС</w:t>
            </w:r>
            <w:r>
              <w:rPr>
                <w:rFonts w:eastAsia="Calibri"/>
                <w:sz w:val="22"/>
                <w:szCs w:val="22"/>
              </w:rPr>
              <w:t xml:space="preserve">2)</w:t>
            </w:r>
            <w:r>
              <w:rPr>
                <w:rFonts w:eastAsia="Calibri"/>
                <w:sz w:val="22"/>
                <w:szCs w:val="22"/>
              </w:rPr>
              <w:t xml:space="preserve"> на носителе информации 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шт.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</w:tr>
    </w:tbl>
    <w:p>
      <w:pPr>
        <w:pStyle w:val="996"/>
        <w:ind w:left="567"/>
        <w:spacing w:after="0"/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>
      <w:pPr>
        <w:pStyle w:val="993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 xml:space="preserve">Характеристики</w:t>
      </w:r>
      <w:r>
        <w:rPr>
          <w:b/>
          <w:bCs/>
          <w:sz w:val="22"/>
          <w:szCs w:val="22"/>
        </w:rPr>
        <w:t xml:space="preserve">:</w:t>
      </w: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996"/>
        <w:ind w:left="567"/>
        <w:spacing w:after="0"/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tbl>
      <w:tblPr>
        <w:tblW w:w="9722" w:type="dxa"/>
        <w:tblInd w:w="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171"/>
      </w:tblGrid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ind w:left="182"/>
              <w:jc w:val="center"/>
              <w:spacing w:before="100" w:beforeAutospacing="1" w:after="100" w:afterAutospacing="1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  <w:t xml:space="preserve"> программного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171" w:type="dxa"/>
            <w:textDirection w:val="lrTb"/>
            <w:noWrap w:val="false"/>
          </w:tcPr>
          <w:p>
            <w:pPr>
              <w:ind w:left="567"/>
              <w:jc w:val="center"/>
              <w:spacing w:before="100" w:beforeAutospacing="1" w:after="100" w:afterAutospacing="1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ind w:left="174"/>
              <w:spacing w:before="100" w:beforeAutospacing="1" w:after="100" w:afterAutospacing="1"/>
              <w:widowControl w:val="off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Передача права на использование ПО </w:t>
            </w:r>
            <w:r>
              <w:rPr>
                <w:b/>
                <w:sz w:val="22"/>
                <w:szCs w:val="22"/>
              </w:rPr>
              <w:t xml:space="preserve">ViPNet Client 5 for Linux </w:t>
            </w:r>
            <w:r>
              <w:rPr>
                <w:b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left="567"/>
              <w:spacing w:before="100" w:beforeAutospacing="1" w:after="100" w:afterAutospacing="1"/>
              <w:widowControl w:val="off"/>
              <w:rPr>
                <w:b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1" w:type="dxa"/>
            <w:vAlign w:val="center"/>
            <w:textDirection w:val="lrTb"/>
            <w:noWrap w:val="false"/>
          </w:tcPr>
          <w:p>
            <w:pPr>
              <w:pStyle w:val="773"/>
              <w:numPr>
                <w:ilvl w:val="1"/>
                <w:numId w:val="51"/>
              </w:numPr>
              <w:ind w:left="565" w:hanging="432"/>
              <w:keepLines w:val="0"/>
              <w:spacing w:after="0"/>
              <w:widowControl/>
              <w:tabs>
                <w:tab w:val="clear" w:pos="0" w:leader="none"/>
                <w:tab w:val="left" w:pos="1418" w:leader="none"/>
              </w:tabs>
              <w:rPr>
                <w:b/>
                <w:bCs/>
                <w:smallCaps/>
                <w:color w:val="000000"/>
                <w:sz w:val="24"/>
              </w:rPr>
              <w:suppressLineNumbers w:val="0"/>
            </w:pPr>
            <w:r>
              <w:rPr>
                <w:sz w:val="22"/>
                <w:szCs w:val="22"/>
              </w:rPr>
            </w:r>
            <w:bookmarkStart w:id="0" w:name="undefined"/>
            <w:r>
              <w:rPr>
                <w:b/>
                <w:bCs/>
                <w:color w:val="000000"/>
                <w:sz w:val="22"/>
                <w:szCs w:val="22"/>
              </w:rPr>
              <w:t xml:space="preserve">Функциональные требования</w:t>
            </w:r>
            <w:bookmarkEnd w:id="0"/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</w:p>
          <w:p>
            <w:pPr>
              <w:ind w:left="56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Программное обеспечение, реализующее функции криптографического клиента, должно интегрироваться и расширять уже существующую систему защиты каналов связи </w:t>
            </w:r>
            <w:r>
              <w:rPr>
                <w:sz w:val="22"/>
                <w:szCs w:val="22"/>
                <w:lang w:eastAsia="ar-SA"/>
              </w:rPr>
              <w:t xml:space="preserve">(ViPNet сеть </w:t>
            </w:r>
            <w:r>
              <w:rPr>
                <w:sz w:val="22"/>
                <w:szCs w:val="22"/>
                <w:lang w:eastAsia="ar-SA"/>
              </w:rPr>
              <w:t xml:space="preserve">№1274</w:t>
            </w:r>
            <w:r>
              <w:rPr>
                <w:sz w:val="22"/>
                <w:szCs w:val="22"/>
                <w:lang w:eastAsia="ar-SA"/>
              </w:rPr>
              <w:t xml:space="preserve">)</w:t>
            </w:r>
            <w:r>
              <w:rPr>
                <w:sz w:val="22"/>
                <w:szCs w:val="22"/>
              </w:rPr>
              <w:t xml:space="preserve">, построенную на базе продуктов </w:t>
            </w:r>
            <w:r>
              <w:rPr>
                <w:sz w:val="22"/>
                <w:szCs w:val="22"/>
                <w:lang w:val="en-US"/>
              </w:rPr>
              <w:t xml:space="preserve">ViPNet</w:t>
            </w:r>
            <w:r>
              <w:rPr>
                <w:sz w:val="22"/>
                <w:szCs w:val="22"/>
              </w:rPr>
              <w:t xml:space="preserve">, а также отвечать следующим требованиям: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3"/>
              <w:numPr>
                <w:ilvl w:val="0"/>
                <w:numId w:val="54"/>
              </w:numPr>
              <w:ind w:left="565" w:hanging="432"/>
              <w:spacing w:before="0" w:after="0"/>
              <w:widowControl w:val="off"/>
              <w:tabs>
                <w:tab w:val="left" w:pos="-31504" w:leader="none"/>
                <w:tab w:val="left" w:pos="-30795" w:leader="none"/>
                <w:tab w:val="left" w:pos="-30086" w:leader="none"/>
                <w:tab w:val="left" w:pos="-29377" w:leader="none"/>
                <w:tab w:val="left" w:pos="-28668" w:leader="none"/>
                <w:tab w:val="left" w:pos="-27959" w:leader="none"/>
                <w:tab w:val="left" w:pos="-27250" w:leader="none"/>
                <w:tab w:val="left" w:pos="-26541" w:leader="none"/>
                <w:tab w:val="left" w:pos="-25832" w:leader="none"/>
                <w:tab w:val="left" w:pos="-25123" w:leader="none"/>
                <w:tab w:val="left" w:pos="-24414" w:leader="none"/>
                <w:tab w:val="left" w:pos="-23705" w:leader="none"/>
                <w:tab w:val="left" w:pos="-22996" w:leader="none"/>
                <w:tab w:val="left" w:pos="-22287" w:leader="none"/>
                <w:tab w:val="left" w:pos="-21578" w:leader="none"/>
                <w:tab w:val="left" w:pos="-20869" w:leader="none"/>
                <w:tab w:val="left" w:pos="-2016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совместимо (полностью) с программным обеспечением, реализующим функции управления защищённой сетью (ПК </w:t>
            </w:r>
            <w:r>
              <w:rPr>
                <w:sz w:val="22"/>
                <w:szCs w:val="22"/>
                <w:lang w:val="en-US"/>
              </w:rPr>
              <w:t xml:space="preserve">ViPNet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Administrator</w:t>
            </w:r>
            <w:r>
              <w:rPr>
                <w:sz w:val="22"/>
                <w:szCs w:val="22"/>
              </w:rPr>
              <w:t xml:space="preserve">), обновления программного обеспечения, обновления справочно-ключевой информации, управление политиками безопасности;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совместимо (полностью) с программно-аппаратным комплексом, реализующим функции шифрование/дешифрование направляемого/принимаемого IP-трафика (</w:t>
            </w:r>
            <w:r>
              <w:rPr>
                <w:sz w:val="22"/>
                <w:szCs w:val="22"/>
                <w:lang w:val="en-US"/>
              </w:rPr>
              <w:t xml:space="preserve">ViPNet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Coordinator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HW</w:t>
            </w:r>
            <w:r>
              <w:rPr>
                <w:sz w:val="22"/>
                <w:szCs w:val="22"/>
              </w:rPr>
              <w:t xml:space="preserve">5000/2000/1000);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4"/>
              <w:ind w:left="565"/>
              <w:spacing w:after="0"/>
              <w:rPr>
                <w:color w:val="000000"/>
              </w:rPr>
            </w:pPr>
            <w:r>
              <w:rPr>
                <w:sz w:val="22"/>
                <w:szCs w:val="22"/>
              </w:rPr>
            </w:r>
            <w:bookmarkStart w:id="0" w:name="undefined"/>
            <w:r>
              <w:rPr>
                <w:sz w:val="22"/>
                <w:szCs w:val="22"/>
              </w:rPr>
            </w:r>
            <w:bookmarkStart w:id="0" w:name="undefined"/>
            <w:r>
              <w:rPr>
                <w:sz w:val="22"/>
                <w:szCs w:val="22"/>
              </w:rPr>
            </w:r>
            <w:bookmarkStart w:id="0" w:name="undefined"/>
            <w:r>
              <w:rPr>
                <w:color w:val="000000"/>
                <w:sz w:val="22"/>
                <w:szCs w:val="22"/>
              </w:rPr>
              <w:t xml:space="preserve">Криптоклиент должен обеспечивать: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шифрование и имитозащиту данных в соответствии: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5"/>
              <w:numPr>
                <w:ilvl w:val="0"/>
                <w:numId w:val="52"/>
              </w:numPr>
              <w:ind w:left="565" w:hanging="432"/>
              <w:spacing w:before="0"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ГОСТ 28147-89 «Системы обработки информации. Защита криптографическая.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Алгоритм криптографического преобразования»;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  <w:p>
            <w:pPr>
              <w:pStyle w:val="1015"/>
              <w:numPr>
                <w:ilvl w:val="0"/>
                <w:numId w:val="52"/>
              </w:numPr>
              <w:ind w:left="565" w:hanging="432"/>
              <w:spacing w:before="0"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ГОСТ 34.12-2018 «Информационная технология. Криптографическая защита информации.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Блочные шифры»;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  <w:p>
            <w:pPr>
              <w:pStyle w:val="1015"/>
              <w:numPr>
                <w:ilvl w:val="0"/>
                <w:numId w:val="52"/>
              </w:numPr>
              <w:ind w:left="565" w:hanging="432"/>
              <w:spacing w:before="0"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ГОСТ 34.13-2018 «Информационная технология. Криптографическая защита информации.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Режимы работы блочных шифров»</w:t>
            </w:r>
            <w:r>
              <w:rPr>
                <w:color w:val="000000"/>
                <w:sz w:val="22"/>
                <w:szCs w:val="22"/>
              </w:rPr>
              <w:t xml:space="preserve">;</w:t>
            </w:r>
            <w:r>
              <w:rPr>
                <w:color w:val="000000"/>
                <w:sz w:val="22"/>
                <w:szCs w:val="22"/>
                <w:lang w:val="ru-RU"/>
              </w:rPr>
            </w:r>
            <w:r>
              <w:rPr>
                <w:color w:val="000000"/>
                <w:sz w:val="22"/>
                <w:szCs w:val="22"/>
                <w:lang w:val="ru-RU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защищенных каналов (туннелей) посредством шифрования трафика защищаемого узла и передачи этого трафика на другие VPN-шлюзы или защищенные клиенты;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обработку IP-трафика на прикладном уровне (по протоколам FTP, DNS, H.323, SCCP, SIP);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блокирование входящих IP-пакетов при следующих условиях: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2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найден ключ для идентификатора в IP-пакете;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2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имитозащитной вставки, принятой в составе входящего IP-пакета, не совпадает со значением вычисленной имитозащитной вставки для данного пакета на принимающей стороне;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2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превышено допустимое время передачи (получения) IP-пакета;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2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полученный IP-пакет не соответствует протоколу;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аутентификацию пользователя;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целостности;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регистрацию событий.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3"/>
              <w:numPr>
                <w:ilvl w:val="1"/>
                <w:numId w:val="51"/>
              </w:numPr>
              <w:ind w:left="565" w:hanging="432"/>
              <w:keepLines w:val="0"/>
              <w:spacing w:after="0"/>
              <w:widowControl/>
              <w:tabs>
                <w:tab w:val="clear" w:pos="0" w:leader="none"/>
                <w:tab w:val="left" w:pos="1418" w:leader="none"/>
              </w:tabs>
              <w:rPr>
                <w:b/>
                <w:bCs/>
                <w:smallCaps/>
                <w:color w:val="000000"/>
                <w:sz w:val="24"/>
              </w:rPr>
              <w:suppressLineNumbers w:val="0"/>
            </w:pPr>
            <w:r>
              <w:rPr>
                <w:sz w:val="22"/>
                <w:szCs w:val="22"/>
              </w:rPr>
            </w:r>
            <w:bookmarkStart w:id="0" w:name="undefined"/>
            <w:r>
              <w:rPr>
                <w:b/>
                <w:bCs/>
                <w:color w:val="000000"/>
                <w:sz w:val="22"/>
                <w:szCs w:val="22"/>
              </w:rPr>
              <w:t xml:space="preserve">Требования к поддерживаемым операционным системам</w:t>
            </w:r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 xml:space="preserve">:</w:t>
            </w:r>
            <w:bookmarkEnd w:id="0"/>
            <w:r>
              <w:rPr>
                <w:sz w:val="22"/>
                <w:szCs w:val="22"/>
              </w:rPr>
            </w:r>
            <w:bookmarkEnd w:id="0"/>
            <w:r>
              <w:rPr>
                <w:sz w:val="22"/>
                <w:szCs w:val="22"/>
              </w:rPr>
            </w:r>
            <w:bookmarkEnd w:id="0"/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</w:p>
          <w:p>
            <w:pPr>
              <w:pStyle w:val="974"/>
              <w:ind w:left="565"/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Криптоклиент должен функционировать под управлением следующих операционных систем: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Astra Linux Special Edition «</w:t>
            </w:r>
            <w:r>
              <w:rPr>
                <w:color w:val="auto"/>
                <w:sz w:val="22"/>
                <w:szCs w:val="22"/>
              </w:rPr>
              <w:t xml:space="preserve">Смоленск</w:t>
            </w:r>
            <w:r>
              <w:rPr>
                <w:color w:val="auto"/>
                <w:sz w:val="22"/>
                <w:szCs w:val="22"/>
                <w:lang w:val="en-US"/>
              </w:rPr>
              <w:t xml:space="preserve">»; </w:t>
            </w:r>
            <w:r>
              <w:rPr>
                <w:color w:val="auto"/>
                <w:sz w:val="22"/>
                <w:szCs w:val="22"/>
                <w:lang w:val="en-US"/>
              </w:rPr>
            </w:r>
            <w:r>
              <w:rPr>
                <w:color w:val="auto"/>
                <w:sz w:val="22"/>
                <w:szCs w:val="22"/>
                <w:lang w:val="en-US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Astra Linux Special Edition «</w:t>
            </w:r>
            <w:r>
              <w:rPr>
                <w:color w:val="auto"/>
                <w:sz w:val="22"/>
                <w:szCs w:val="22"/>
              </w:rPr>
              <w:t xml:space="preserve">Воронеж</w:t>
            </w:r>
            <w:r>
              <w:rPr>
                <w:color w:val="auto"/>
                <w:sz w:val="22"/>
                <w:szCs w:val="22"/>
                <w:lang w:val="en-US"/>
              </w:rPr>
              <w:t xml:space="preserve">»; </w:t>
            </w:r>
            <w:r>
              <w:rPr>
                <w:color w:val="auto"/>
                <w:sz w:val="22"/>
                <w:szCs w:val="22"/>
                <w:lang w:val="en-US"/>
              </w:rPr>
            </w:r>
            <w:r>
              <w:rPr>
                <w:color w:val="auto"/>
                <w:sz w:val="22"/>
                <w:szCs w:val="22"/>
                <w:lang w:val="en-US"/>
              </w:rPr>
            </w:r>
          </w:p>
          <w:p>
            <w:pPr>
              <w:pStyle w:val="1014"/>
              <w:numPr>
                <w:ilvl w:val="0"/>
                <w:numId w:val="53"/>
              </w:numPr>
              <w:ind w:left="565" w:hanging="432"/>
              <w:spacing w:before="0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Astra Linux Common Edition «</w:t>
            </w:r>
            <w:r>
              <w:rPr>
                <w:color w:val="auto"/>
                <w:sz w:val="22"/>
                <w:szCs w:val="22"/>
              </w:rPr>
              <w:t xml:space="preserve">Орел</w:t>
            </w:r>
            <w:r>
              <w:rPr>
                <w:color w:val="auto"/>
                <w:sz w:val="22"/>
                <w:szCs w:val="22"/>
                <w:lang w:val="en-US"/>
              </w:rPr>
              <w:t xml:space="preserve">»;</w:t>
            </w:r>
            <w:r>
              <w:rPr>
                <w:color w:val="auto"/>
                <w:sz w:val="22"/>
                <w:szCs w:val="22"/>
                <w:lang w:val="en-US"/>
              </w:rPr>
            </w:r>
            <w:r>
              <w:rPr>
                <w:color w:val="auto"/>
                <w:sz w:val="22"/>
                <w:szCs w:val="22"/>
                <w:lang w:val="en-US"/>
              </w:rPr>
            </w:r>
          </w:p>
          <w:p>
            <w:pPr>
              <w:pStyle w:val="773"/>
              <w:numPr>
                <w:ilvl w:val="1"/>
                <w:numId w:val="51"/>
              </w:numPr>
              <w:ind w:left="565" w:hanging="432"/>
              <w:keepLines w:val="0"/>
              <w:spacing w:after="0"/>
              <w:widowControl/>
              <w:tabs>
                <w:tab w:val="clear" w:pos="0" w:leader="none"/>
                <w:tab w:val="num" w:pos="360" w:leader="none"/>
                <w:tab w:val="left" w:pos="1418" w:leader="none"/>
              </w:tabs>
              <w:rPr>
                <w:b/>
                <w:bCs/>
                <w:smallCaps/>
                <w:color w:val="000000"/>
                <w:sz w:val="24"/>
              </w:rPr>
              <w:suppressLineNumbers w:val="0"/>
            </w:pPr>
            <w:r>
              <w:rPr>
                <w:sz w:val="22"/>
                <w:szCs w:val="22"/>
              </w:rPr>
            </w:r>
            <w:bookmarkStart w:id="0" w:name="undefined"/>
            <w:r>
              <w:rPr>
                <w:b/>
                <w:bCs/>
                <w:color w:val="000000"/>
                <w:sz w:val="22"/>
                <w:szCs w:val="22"/>
              </w:rPr>
              <w:t xml:space="preserve">Требования к сертификации</w:t>
            </w:r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 xml:space="preserve">:</w:t>
            </w:r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  <w:r>
              <w:rPr>
                <w:b/>
                <w:bCs/>
                <w:smallCaps/>
                <w:color w:val="000000"/>
                <w:sz w:val="22"/>
                <w:szCs w:val="22"/>
              </w:rPr>
            </w:r>
          </w:p>
          <w:p>
            <w:pPr>
              <w:pStyle w:val="974"/>
              <w:ind w:left="565"/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Криптоклиент должен соответствовать требованиям ФСБ России к средствам криптографической защиты информации, предназначенным для защиты информации, не содержащей сведений, составляющих государственную тайну, для класса КС2.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ind w:left="174"/>
              <w:jc w:val="center"/>
              <w:spacing w:before="100" w:beforeAutospacing="1" w:after="100" w:afterAutospacing="1"/>
              <w:widowControl w:val="off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Дистрибутив ПО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ViPNet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Client</w:t>
            </w:r>
            <w:r>
              <w:rPr>
                <w:b/>
                <w:sz w:val="22"/>
                <w:szCs w:val="22"/>
              </w:rPr>
              <w:t xml:space="preserve"> 5 </w:t>
            </w:r>
            <w:r>
              <w:rPr>
                <w:b/>
                <w:sz w:val="22"/>
                <w:szCs w:val="22"/>
                <w:lang w:val="en-US"/>
              </w:rPr>
              <w:t xml:space="preserve">for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Linux</w:t>
            </w:r>
            <w:r>
              <w:rPr>
                <w:b/>
                <w:sz w:val="22"/>
                <w:szCs w:val="22"/>
              </w:rPr>
              <w:t xml:space="preserve"> (КС2) </w:t>
            </w:r>
            <w:r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 xml:space="preserve">носителе информации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1" w:type="dxa"/>
            <w:vAlign w:val="center"/>
            <w:textDirection w:val="lrTb"/>
            <w:noWrap w:val="false"/>
          </w:tcPr>
          <w:p>
            <w:pPr>
              <w:ind w:left="567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1. 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В комплект поставки 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д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истрибутив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а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 входит формуляр и сертификаты соответствия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color w:val="000000"/>
                <w:sz w:val="22"/>
                <w:szCs w:val="22"/>
                <w:lang w:eastAsia="ar-SA"/>
              </w:rPr>
            </w:r>
            <w:r>
              <w:rPr>
                <w:color w:val="000000"/>
                <w:sz w:val="22"/>
                <w:szCs w:val="22"/>
                <w:lang w:eastAsia="ar-SA"/>
              </w:rPr>
            </w:r>
          </w:p>
          <w:p>
            <w:pPr>
              <w:ind w:left="567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2. 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Доставка в адрес заказчика </w:t>
            </w:r>
            <w:r>
              <w:rPr>
                <w:color w:val="000000"/>
                <w:sz w:val="22"/>
                <w:szCs w:val="22"/>
                <w:lang w:eastAsia="ar-SA"/>
              </w:rPr>
              <w:t xml:space="preserve">(г. Киров, ул. Ленина, д. 108)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 осуществляется за счет исполнителя</w:t>
            </w:r>
            <w:r>
              <w:rPr>
                <w:color w:val="000000"/>
                <w:sz w:val="22"/>
                <w:szCs w:val="22"/>
                <w:lang w:eastAsia="ar-SA"/>
              </w:rPr>
            </w:r>
            <w:r>
              <w:rPr>
                <w:color w:val="000000"/>
                <w:sz w:val="22"/>
                <w:szCs w:val="22"/>
                <w:lang w:eastAsia="ar-SA"/>
              </w:rPr>
            </w:r>
          </w:p>
        </w:tc>
      </w:tr>
    </w:tbl>
    <w:p>
      <w:pPr>
        <w:pStyle w:val="806"/>
        <w:ind w:left="567" w:right="-1"/>
        <w:jc w:val="both"/>
        <w:rPr>
          <w:rFonts w:ascii="Times New Roman" w:hAnsi="Times New Roman" w:cs="Times New Roman"/>
          <w:i/>
          <w:color w:val="000000"/>
        </w:rPr>
      </w:pPr>
      <w:r>
        <w:rPr>
          <w:sz w:val="22"/>
          <w:szCs w:val="22"/>
        </w:rPr>
        <w:t xml:space="preserve">*</w:t>
      </w:r>
      <w:r>
        <w:rPr>
          <w:rFonts w:ascii="Times New Roman" w:hAnsi="Times New Roman" w:cs="Times New Roman"/>
          <w:i/>
          <w:sz w:val="22"/>
          <w:szCs w:val="22"/>
        </w:rPr>
        <w:t xml:space="preserve">Предоставление неисключительных прав </w:t>
      </w:r>
      <w:r>
        <w:rPr>
          <w:rFonts w:ascii="Times New Roman" w:hAnsi="Times New Roman" w:cs="Times New Roman"/>
          <w:i/>
          <w:sz w:val="22"/>
          <w:szCs w:val="22"/>
          <w:lang w:eastAsia="ru-RU"/>
        </w:rPr>
        <w:t xml:space="preserve">на использование программного обеспечения, отличного от указанного в данном техническом задании,</w:t>
      </w:r>
      <w:r>
        <w:rPr>
          <w:rFonts w:ascii="Times New Roman" w:hAnsi="Times New Roman" w:cs="Times New Roman"/>
          <w:i/>
          <w:sz w:val="22"/>
          <w:szCs w:val="22"/>
        </w:rPr>
        <w:t xml:space="preserve"> не допускается, ввиду необходимости обеспечения совместимости, взаимодействия и интеграции с существующим у Заказчика программным обеспечением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пункт 1 части 1 статьи 33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нужд»).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</w:r>
      <w:r>
        <w:rPr>
          <w:rFonts w:ascii="Times New Roman" w:hAnsi="Times New Roman" w:cs="Times New Roman"/>
          <w:i/>
          <w:color w:val="000000"/>
          <w:sz w:val="22"/>
          <w:szCs w:val="22"/>
        </w:rPr>
      </w:r>
    </w:p>
    <w:p>
      <w:pPr>
        <w:pStyle w:val="806"/>
        <w:ind w:left="567" w:right="-1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В связи с необходимостью обеспечения совместимости и взаимодействия приобретаемого программного обеспечения с используемыми у Заказчика в ИТ-инфраструктуре программными продуктами, использование аналогичных СКЗИ (эквивалентов) не допускается.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</w:r>
      <w:r>
        <w:rPr>
          <w:rFonts w:ascii="Times New Roman" w:hAnsi="Times New Roman" w:cs="Times New Roman"/>
          <w:i/>
          <w:color w:val="000000"/>
          <w:sz w:val="22"/>
          <w:szCs w:val="22"/>
        </w:rPr>
      </w:r>
    </w:p>
    <w:p>
      <w:pPr>
        <w:pStyle w:val="806"/>
        <w:ind w:left="142" w:right="-169" w:firstLine="425"/>
        <w:jc w:val="both"/>
        <w:rPr>
          <w:i/>
          <w:color w:val="000000"/>
        </w:rPr>
      </w:pPr>
      <w:r>
        <w:rPr>
          <w:i/>
          <w:color w:val="000000"/>
        </w:rPr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«Заказчик»</w:t>
            </w:r>
            <w:r/>
          </w:p>
          <w:p>
            <w:pPr>
              <w:jc w:val="both"/>
            </w:pPr>
            <w:r>
              <w:t xml:space="preserve">Управление Федеральной службы государственной регистрации, кадастра и картографии по Кировской области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___________________Е.В. Ембасинова</w:t>
            </w:r>
            <w:r/>
          </w:p>
          <w:p>
            <w:pPr>
              <w:ind w:firstLine="708"/>
              <w:jc w:val="both"/>
            </w:pPr>
            <w:r>
              <w:t xml:space="preserve">мп</w:t>
            </w:r>
            <w:r/>
          </w:p>
        </w:tc>
        <w:tc>
          <w:tcPr>
            <w:tcW w:w="5386" w:type="dxa"/>
            <w:textDirection w:val="lrTb"/>
            <w:noWrap w:val="false"/>
          </w:tcPr>
          <w:p>
            <w:pPr>
              <w:jc w:val="both"/>
            </w:pPr>
            <w:r>
              <w:t xml:space="preserve">         </w:t>
            </w:r>
            <w:r/>
          </w:p>
          <w:p>
            <w:pPr>
              <w:jc w:val="both"/>
            </w:pPr>
            <w:r>
              <w:t xml:space="preserve">         «Исполнитель»</w:t>
            </w:r>
            <w:r/>
          </w:p>
          <w:p>
            <w:pPr>
              <w:ind w:firstLine="708"/>
              <w:jc w:val="both"/>
            </w:pPr>
            <w:r/>
            <w:r/>
          </w:p>
          <w:p>
            <w:pPr>
              <w:ind w:firstLine="708"/>
              <w:jc w:val="both"/>
            </w:pPr>
            <w:r/>
            <w:r/>
          </w:p>
          <w:p>
            <w:pPr>
              <w:ind w:firstLine="708"/>
              <w:jc w:val="both"/>
            </w:pPr>
            <w:r/>
            <w:r/>
          </w:p>
          <w:p>
            <w:pPr>
              <w:ind w:firstLine="708"/>
              <w:jc w:val="both"/>
            </w:pPr>
            <w:r/>
            <w:r/>
          </w:p>
          <w:p>
            <w:pPr>
              <w:ind w:firstLine="708"/>
              <w:jc w:val="both"/>
            </w:pPr>
            <w:r>
              <w:t xml:space="preserve">____________________</w:t>
            </w:r>
            <w:r/>
          </w:p>
          <w:p>
            <w:pPr>
              <w:ind w:firstLine="708"/>
              <w:jc w:val="both"/>
            </w:pPr>
            <w:r>
              <w:t xml:space="preserve">мп</w:t>
            </w:r>
            <w:r/>
          </w:p>
        </w:tc>
      </w:tr>
    </w:tbl>
    <w:p>
      <w:pPr>
        <w:contextualSpacing/>
        <w:jc w:val="right"/>
        <w:spacing w:after="120" w:line="300" w:lineRule="exac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39" w:orient="portrait"/>
      <w:pgMar w:top="567" w:right="851" w:bottom="567" w:left="130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50102010706020507"/>
  </w:font>
  <w:font w:name="Wingdings">
    <w:panose1 w:val="05000000000000000000"/>
  </w:font>
  <w:font w:name="Franklin Gothic Book">
    <w:panose1 w:val="020B0503020102020204"/>
  </w:font>
  <w:font w:name="Century Gothic">
    <w:panose1 w:val="020B0502020202020204"/>
  </w:font>
  <w:font w:name="Calibri">
    <w:panose1 w:val="020F0502020204030204"/>
  </w:font>
  <w:font w:name="Times New Roman">
    <w:panose1 w:val="02020603050405020304"/>
  </w:font>
  <w:font w:name="SimSun">
    <w:panose1 w:val="02010600030101010101"/>
  </w:font>
  <w:font w:name="Courier New">
    <w:panose1 w:val="02070309020205020404"/>
  </w:font>
  <w:font w:name="Corbel">
    <w:panose1 w:val="020B050302020402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hint="default" w:ascii="Times New Roman" w:hAnsi="Times New Roman" w:cs="Times New Roman"/>
        <w:b w:val="0"/>
        <w:i w:val="0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993"/>
      <w:numFmt w:val="decimal"/>
      <w:isLgl w:val="false"/>
      <w:suff w:val="tab"/>
      <w:lvlText w:val="21.07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9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  <w:tabs>
          <w:tab w:val="num" w:pos="14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  <w:tabs>
          <w:tab w:val="num" w:pos="214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  <w:tabs>
          <w:tab w:val="num" w:pos="286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  <w:tabs>
          <w:tab w:val="num" w:pos="358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  <w:tabs>
          <w:tab w:val="num" w:pos="430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  <w:tabs>
          <w:tab w:val="num" w:pos="502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  <w:tabs>
          <w:tab w:val="num" w:pos="574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  <w:tabs>
          <w:tab w:val="num" w:pos="646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  <w:tabs>
          <w:tab w:val="num" w:pos="7188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multiLevelType w:val="hybridMultilevel"/>
    <w:lvl w:ilvl="0">
      <w:start w:val="16"/>
      <w:numFmt w:val="decimal"/>
      <w:isLgl w:val="false"/>
      <w:suff w:val="tab"/>
      <w:lvlText w:val="5.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7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1">
    <w:multiLevelType w:val="hybridMultilevel"/>
    <w:lvl w:ilvl="0">
      <w:start w:val="1994"/>
      <w:numFmt w:val="decimal"/>
      <w:isLgl w:val="false"/>
      <w:suff w:val="tab"/>
      <w:lvlText w:val="25.11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  <w:tabs>
          <w:tab w:val="num" w:pos="136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  <w:tabs>
          <w:tab w:val="num" w:pos="208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  <w:tabs>
          <w:tab w:val="num" w:pos="280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  <w:tabs>
          <w:tab w:val="num" w:pos="352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  <w:tabs>
          <w:tab w:val="num" w:pos="424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  <w:tabs>
          <w:tab w:val="num" w:pos="496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  <w:tabs>
          <w:tab w:val="num" w:pos="568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  <w:tabs>
          <w:tab w:val="num" w:pos="6404" w:leader="none"/>
        </w:tabs>
      </w:pPr>
    </w:lvl>
  </w:abstractNum>
  <w:abstractNum w:abstractNumId="3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lvl w:ilvl="0">
      <w:start w:val="1995"/>
      <w:numFmt w:val="decimal"/>
      <w:isLgl w:val="false"/>
      <w:suff w:val="tab"/>
      <w:lvlText w:val="14.03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2">
    <w:multiLevelType w:val="hybridMultilevel"/>
    <w:lvl w:ilvl="0">
      <w:start w:val="16"/>
      <w:numFmt w:val="decimal"/>
      <w:isLgl w:val="false"/>
      <w:suff w:val="tab"/>
      <w:lvlText w:val="5.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04" w:hanging="420"/>
        <w:tabs>
          <w:tab w:val="num" w:pos="70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  <w:tabs>
          <w:tab w:val="num" w:pos="136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  <w:tabs>
          <w:tab w:val="num" w:pos="208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  <w:tabs>
          <w:tab w:val="num" w:pos="280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  <w:tabs>
          <w:tab w:val="num" w:pos="352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  <w:tabs>
          <w:tab w:val="num" w:pos="424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  <w:tabs>
          <w:tab w:val="num" w:pos="496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  <w:tabs>
          <w:tab w:val="num" w:pos="568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  <w:tabs>
          <w:tab w:val="num" w:pos="6404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bullet"/>
      <w:pStyle w:val="969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43"/>
  </w:num>
  <w:num w:numId="2">
    <w:abstractNumId w:val="5"/>
  </w:num>
  <w:num w:numId="3">
    <w:abstractNumId w:val="14"/>
  </w:num>
  <w:num w:numId="4">
    <w:abstractNumId w:val="48"/>
  </w:num>
  <w:num w:numId="5">
    <w:abstractNumId w:val="35"/>
  </w:num>
  <w:num w:numId="6">
    <w:abstractNumId w:val="44"/>
  </w:num>
  <w:num w:numId="7">
    <w:abstractNumId w:val="34"/>
  </w:num>
  <w:num w:numId="8">
    <w:abstractNumId w:val="4"/>
  </w:num>
  <w:num w:numId="9">
    <w:abstractNumId w:val="41"/>
  </w:num>
  <w:num w:numId="10">
    <w:abstractNumId w:val="33"/>
  </w:num>
  <w:num w:numId="11">
    <w:abstractNumId w:val="29"/>
  </w:num>
  <w:num w:numId="12">
    <w:abstractNumId w:val="28"/>
  </w:num>
  <w:num w:numId="13">
    <w:abstractNumId w:val="25"/>
  </w:num>
  <w:num w:numId="14">
    <w:abstractNumId w:val="8"/>
  </w:num>
  <w:num w:numId="15">
    <w:abstractNumId w:val="20"/>
  </w:num>
  <w:num w:numId="16">
    <w:abstractNumId w:val="45"/>
  </w:num>
  <w:num w:numId="17">
    <w:abstractNumId w:val="6"/>
  </w:num>
  <w:num w:numId="18">
    <w:abstractNumId w:val="12"/>
  </w:num>
  <w:num w:numId="19">
    <w:abstractNumId w:val="47"/>
  </w:num>
  <w:num w:numId="20">
    <w:abstractNumId w:val="16"/>
  </w:num>
  <w:num w:numId="21">
    <w:abstractNumId w:val="21"/>
  </w:num>
  <w:num w:numId="22">
    <w:abstractNumId w:val="22"/>
  </w:num>
  <w:num w:numId="23">
    <w:abstractNumId w:val="24"/>
  </w:num>
  <w:num w:numId="24">
    <w:abstractNumId w:val="23"/>
  </w:num>
  <w:num w:numId="25">
    <w:abstractNumId w:val="10"/>
  </w:num>
  <w:num w:numId="26">
    <w:abstractNumId w:val="19"/>
  </w:num>
  <w:num w:numId="27">
    <w:abstractNumId w:val="7"/>
  </w:num>
  <w:num w:numId="28">
    <w:abstractNumId w:val="42"/>
  </w:num>
  <w:num w:numId="29">
    <w:abstractNumId w:val="11"/>
  </w:num>
  <w:num w:numId="30">
    <w:abstractNumId w:val="13"/>
  </w:num>
  <w:num w:numId="31">
    <w:abstractNumId w:val="36"/>
  </w:num>
  <w:num w:numId="32">
    <w:abstractNumId w:val="27"/>
  </w:num>
  <w:num w:numId="33">
    <w:abstractNumId w:val="31"/>
  </w:num>
  <w:num w:numId="34">
    <w:abstractNumId w:val="40"/>
  </w:num>
  <w:num w:numId="35">
    <w:abstractNumId w:val="15"/>
  </w:num>
  <w:num w:numId="36">
    <w:abstractNumId w:val="30"/>
  </w:num>
  <w:num w:numId="37">
    <w:abstractNumId w:val="32"/>
  </w:num>
  <w:num w:numId="38">
    <w:abstractNumId w:val="3"/>
  </w:num>
  <w:num w:numId="39">
    <w:abstractNumId w:val="9"/>
  </w:num>
  <w:num w:numId="40">
    <w:abstractNumId w:val="26"/>
  </w:num>
  <w:num w:numId="41">
    <w:abstractNumId w:val="1"/>
  </w:num>
  <w:num w:numId="42">
    <w:abstractNumId w:val="37"/>
  </w:num>
  <w:num w:numId="43">
    <w:abstractNumId w:val="18"/>
  </w:num>
  <w:num w:numId="44">
    <w:abstractNumId w:val="17"/>
  </w:num>
  <w:num w:numId="45">
    <w:abstractNumId w:val="0"/>
  </w:num>
  <w:num w:numId="46">
    <w:abstractNumId w:val="38"/>
  </w:num>
  <w:num w:numId="47">
    <w:abstractNumId w:val="39"/>
  </w:num>
  <w:num w:numId="48">
    <w:abstractNumId w:val="2"/>
  </w:num>
  <w:num w:numId="49">
    <w:abstractNumId w:val="46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1" w:default="1">
    <w:name w:val="Normal"/>
    <w:qFormat/>
    <w:rPr>
      <w:sz w:val="24"/>
      <w:szCs w:val="24"/>
    </w:rPr>
  </w:style>
  <w:style w:type="paragraph" w:styleId="772">
    <w:name w:val="Heading 1"/>
    <w:basedOn w:val="771"/>
    <w:next w:val="771"/>
    <w:link w:val="797"/>
    <w:qFormat/>
    <w:pPr>
      <w:ind w:left="10" w:right="-56"/>
      <w:keepNext/>
      <w:spacing w:line="269" w:lineRule="exact"/>
      <w:shd w:val="clear" w:color="auto" w:fill="ffffff"/>
      <w:widowControl w:val="off"/>
      <w:outlineLvl w:val="0"/>
    </w:pPr>
    <w:rPr>
      <w:color w:val="000000"/>
      <w:spacing w:val="-2"/>
    </w:rPr>
  </w:style>
  <w:style w:type="paragraph" w:styleId="773">
    <w:name w:val="Heading 2"/>
    <w:basedOn w:val="771"/>
    <w:next w:val="771"/>
    <w:link w:val="798"/>
    <w:qFormat/>
    <w:pPr>
      <w:ind w:left="38"/>
      <w:jc w:val="center"/>
      <w:keepNext/>
      <w:shd w:val="clear" w:color="auto" w:fill="ffffff"/>
      <w:widowControl w:val="off"/>
      <w:outlineLvl w:val="1"/>
    </w:pPr>
    <w:rPr>
      <w:b/>
      <w:color w:val="000000"/>
    </w:rPr>
  </w:style>
  <w:style w:type="paragraph" w:styleId="774">
    <w:name w:val="Heading 3"/>
    <w:basedOn w:val="771"/>
    <w:next w:val="771"/>
    <w:link w:val="7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75">
    <w:name w:val="Heading 4"/>
    <w:basedOn w:val="771"/>
    <w:next w:val="771"/>
    <w:link w:val="8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6">
    <w:name w:val="Heading 5"/>
    <w:basedOn w:val="771"/>
    <w:next w:val="771"/>
    <w:link w:val="96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77">
    <w:name w:val="Heading 6"/>
    <w:basedOn w:val="771"/>
    <w:next w:val="771"/>
    <w:link w:val="8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8">
    <w:name w:val="Heading 7"/>
    <w:basedOn w:val="771"/>
    <w:next w:val="771"/>
    <w:link w:val="8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771"/>
    <w:next w:val="771"/>
    <w:link w:val="8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0">
    <w:name w:val="Heading 9"/>
    <w:basedOn w:val="771"/>
    <w:next w:val="771"/>
    <w:link w:val="8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1" w:default="1">
    <w:name w:val="Default Paragraph Font"/>
    <w:uiPriority w:val="1"/>
    <w:semiHidden/>
    <w:unhideWhenUsed/>
  </w:style>
  <w:style w:type="table" w:styleId="7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3" w:default="1">
    <w:name w:val="No List"/>
    <w:uiPriority w:val="99"/>
    <w:semiHidden/>
    <w:unhideWhenUsed/>
  </w:style>
  <w:style w:type="character" w:styleId="784" w:customStyle="1">
    <w:name w:val="Heading 1 Char"/>
    <w:basedOn w:val="781"/>
    <w:uiPriority w:val="9"/>
    <w:rPr>
      <w:rFonts w:ascii="Arial" w:hAnsi="Arial" w:eastAsia="Arial" w:cs="Arial"/>
      <w:sz w:val="40"/>
      <w:szCs w:val="40"/>
    </w:rPr>
  </w:style>
  <w:style w:type="character" w:styleId="785" w:customStyle="1">
    <w:name w:val="Heading 2 Char"/>
    <w:basedOn w:val="781"/>
    <w:uiPriority w:val="9"/>
    <w:rPr>
      <w:rFonts w:ascii="Arial" w:hAnsi="Arial" w:eastAsia="Arial" w:cs="Arial"/>
      <w:sz w:val="34"/>
    </w:rPr>
  </w:style>
  <w:style w:type="character" w:styleId="786" w:customStyle="1">
    <w:name w:val="Heading 3 Char"/>
    <w:basedOn w:val="781"/>
    <w:uiPriority w:val="9"/>
    <w:rPr>
      <w:rFonts w:ascii="Arial" w:hAnsi="Arial" w:eastAsia="Arial" w:cs="Arial"/>
      <w:sz w:val="30"/>
      <w:szCs w:val="30"/>
    </w:rPr>
  </w:style>
  <w:style w:type="character" w:styleId="787" w:customStyle="1">
    <w:name w:val="Heading 4 Char"/>
    <w:basedOn w:val="781"/>
    <w:uiPriority w:val="9"/>
    <w:rPr>
      <w:rFonts w:ascii="Arial" w:hAnsi="Arial" w:eastAsia="Arial" w:cs="Arial"/>
      <w:b/>
      <w:bCs/>
      <w:sz w:val="26"/>
      <w:szCs w:val="26"/>
    </w:rPr>
  </w:style>
  <w:style w:type="character" w:styleId="788" w:customStyle="1">
    <w:name w:val="Heading 6 Char"/>
    <w:basedOn w:val="781"/>
    <w:uiPriority w:val="9"/>
    <w:rPr>
      <w:rFonts w:ascii="Arial" w:hAnsi="Arial" w:eastAsia="Arial" w:cs="Arial"/>
      <w:b/>
      <w:bCs/>
      <w:sz w:val="22"/>
      <w:szCs w:val="22"/>
    </w:rPr>
  </w:style>
  <w:style w:type="character" w:styleId="789" w:customStyle="1">
    <w:name w:val="Heading 7 Char"/>
    <w:basedOn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0" w:customStyle="1">
    <w:name w:val="Heading 8 Char"/>
    <w:basedOn w:val="781"/>
    <w:uiPriority w:val="9"/>
    <w:rPr>
      <w:rFonts w:ascii="Arial" w:hAnsi="Arial" w:eastAsia="Arial" w:cs="Arial"/>
      <w:i/>
      <w:iCs/>
      <w:sz w:val="22"/>
      <w:szCs w:val="22"/>
    </w:rPr>
  </w:style>
  <w:style w:type="character" w:styleId="791" w:customStyle="1">
    <w:name w:val="Heading 9 Char"/>
    <w:basedOn w:val="781"/>
    <w:uiPriority w:val="9"/>
    <w:rPr>
      <w:rFonts w:ascii="Arial" w:hAnsi="Arial" w:eastAsia="Arial" w:cs="Arial"/>
      <w:i/>
      <w:iCs/>
      <w:sz w:val="21"/>
      <w:szCs w:val="21"/>
    </w:rPr>
  </w:style>
  <w:style w:type="character" w:styleId="792" w:customStyle="1">
    <w:name w:val="Subtitle Char"/>
    <w:basedOn w:val="781"/>
    <w:uiPriority w:val="11"/>
    <w:rPr>
      <w:sz w:val="24"/>
      <w:szCs w:val="24"/>
    </w:rPr>
  </w:style>
  <w:style w:type="character" w:styleId="793" w:customStyle="1">
    <w:name w:val="Quote Char"/>
    <w:uiPriority w:val="29"/>
    <w:rPr>
      <w:i/>
    </w:rPr>
  </w:style>
  <w:style w:type="character" w:styleId="794" w:customStyle="1">
    <w:name w:val="Intense Quote Char"/>
    <w:uiPriority w:val="30"/>
    <w:rPr>
      <w:i/>
    </w:rPr>
  </w:style>
  <w:style w:type="character" w:styleId="795" w:customStyle="1">
    <w:name w:val="Footnote Text Char"/>
    <w:uiPriority w:val="99"/>
    <w:rPr>
      <w:sz w:val="18"/>
    </w:rPr>
  </w:style>
  <w:style w:type="character" w:styleId="796" w:customStyle="1">
    <w:name w:val="Endnote Text Char"/>
    <w:uiPriority w:val="99"/>
    <w:rPr>
      <w:sz w:val="20"/>
    </w:rPr>
  </w:style>
  <w:style w:type="character" w:styleId="797" w:customStyle="1">
    <w:name w:val="Заголовок 1 Знак"/>
    <w:basedOn w:val="781"/>
    <w:link w:val="772"/>
    <w:uiPriority w:val="9"/>
    <w:rPr>
      <w:rFonts w:ascii="Arial" w:hAnsi="Arial" w:eastAsia="Arial" w:cs="Arial"/>
      <w:sz w:val="40"/>
      <w:szCs w:val="40"/>
    </w:rPr>
  </w:style>
  <w:style w:type="character" w:styleId="798" w:customStyle="1">
    <w:name w:val="Заголовок 2 Знак"/>
    <w:basedOn w:val="781"/>
    <w:link w:val="773"/>
    <w:uiPriority w:val="9"/>
    <w:rPr>
      <w:rFonts w:ascii="Arial" w:hAnsi="Arial" w:eastAsia="Arial" w:cs="Arial"/>
      <w:sz w:val="34"/>
    </w:rPr>
  </w:style>
  <w:style w:type="character" w:styleId="799" w:customStyle="1">
    <w:name w:val="Заголовок 3 Знак"/>
    <w:basedOn w:val="781"/>
    <w:link w:val="774"/>
    <w:uiPriority w:val="9"/>
    <w:rPr>
      <w:rFonts w:ascii="Arial" w:hAnsi="Arial" w:eastAsia="Arial" w:cs="Arial"/>
      <w:sz w:val="30"/>
      <w:szCs w:val="30"/>
    </w:rPr>
  </w:style>
  <w:style w:type="character" w:styleId="800" w:customStyle="1">
    <w:name w:val="Заголовок 4 Знак"/>
    <w:basedOn w:val="781"/>
    <w:link w:val="775"/>
    <w:uiPriority w:val="9"/>
    <w:rPr>
      <w:rFonts w:ascii="Arial" w:hAnsi="Arial" w:eastAsia="Arial" w:cs="Arial"/>
      <w:b/>
      <w:bCs/>
      <w:sz w:val="26"/>
      <w:szCs w:val="26"/>
    </w:rPr>
  </w:style>
  <w:style w:type="character" w:styleId="801" w:customStyle="1">
    <w:name w:val="Heading 5 Char"/>
    <w:basedOn w:val="781"/>
    <w:uiPriority w:val="9"/>
    <w:rPr>
      <w:rFonts w:ascii="Arial" w:hAnsi="Arial" w:eastAsia="Arial" w:cs="Arial"/>
      <w:b/>
      <w:bCs/>
      <w:sz w:val="24"/>
      <w:szCs w:val="24"/>
    </w:rPr>
  </w:style>
  <w:style w:type="character" w:styleId="802" w:customStyle="1">
    <w:name w:val="Заголовок 6 Знак"/>
    <w:basedOn w:val="781"/>
    <w:link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803" w:customStyle="1">
    <w:name w:val="Заголовок 7 Знак"/>
    <w:basedOn w:val="781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4" w:customStyle="1">
    <w:name w:val="Заголовок 8 Знак"/>
    <w:basedOn w:val="781"/>
    <w:link w:val="779"/>
    <w:uiPriority w:val="9"/>
    <w:rPr>
      <w:rFonts w:ascii="Arial" w:hAnsi="Arial" w:eastAsia="Arial" w:cs="Arial"/>
      <w:i/>
      <w:iCs/>
      <w:sz w:val="22"/>
      <w:szCs w:val="22"/>
    </w:rPr>
  </w:style>
  <w:style w:type="character" w:styleId="805" w:customStyle="1">
    <w:name w:val="Заголовок 9 Знак"/>
    <w:basedOn w:val="781"/>
    <w:link w:val="780"/>
    <w:uiPriority w:val="9"/>
    <w:rPr>
      <w:rFonts w:ascii="Arial" w:hAnsi="Arial" w:eastAsia="Arial" w:cs="Arial"/>
      <w:i/>
      <w:iCs/>
      <w:sz w:val="21"/>
      <w:szCs w:val="21"/>
    </w:rPr>
  </w:style>
  <w:style w:type="paragraph" w:styleId="806">
    <w:name w:val="No Spacing"/>
    <w:uiPriority w:val="1"/>
    <w:qFormat/>
  </w:style>
  <w:style w:type="character" w:styleId="807" w:customStyle="1">
    <w:name w:val="Title Char"/>
    <w:basedOn w:val="781"/>
    <w:uiPriority w:val="10"/>
    <w:rPr>
      <w:sz w:val="48"/>
      <w:szCs w:val="48"/>
    </w:rPr>
  </w:style>
  <w:style w:type="paragraph" w:styleId="808">
    <w:name w:val="Subtitle"/>
    <w:basedOn w:val="771"/>
    <w:next w:val="771"/>
    <w:link w:val="809"/>
    <w:uiPriority w:val="11"/>
    <w:qFormat/>
    <w:pPr>
      <w:spacing w:before="200" w:after="200"/>
    </w:pPr>
  </w:style>
  <w:style w:type="character" w:styleId="809" w:customStyle="1">
    <w:name w:val="Подзаголовок Знак"/>
    <w:basedOn w:val="781"/>
    <w:link w:val="808"/>
    <w:uiPriority w:val="11"/>
    <w:rPr>
      <w:sz w:val="24"/>
      <w:szCs w:val="24"/>
    </w:rPr>
  </w:style>
  <w:style w:type="paragraph" w:styleId="810">
    <w:name w:val="Quote"/>
    <w:basedOn w:val="771"/>
    <w:next w:val="771"/>
    <w:link w:val="811"/>
    <w:uiPriority w:val="29"/>
    <w:qFormat/>
    <w:pPr>
      <w:ind w:left="720" w:right="720"/>
    </w:pPr>
    <w:rPr>
      <w:i/>
    </w:rPr>
  </w:style>
  <w:style w:type="character" w:styleId="811" w:customStyle="1">
    <w:name w:val="Цитата 2 Знак"/>
    <w:link w:val="810"/>
    <w:uiPriority w:val="29"/>
    <w:rPr>
      <w:i/>
    </w:rPr>
  </w:style>
  <w:style w:type="paragraph" w:styleId="812">
    <w:name w:val="Intense Quote"/>
    <w:basedOn w:val="771"/>
    <w:next w:val="771"/>
    <w:link w:val="8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 w:customStyle="1">
    <w:name w:val="Выделенная цитата Знак"/>
    <w:link w:val="812"/>
    <w:uiPriority w:val="30"/>
    <w:rPr>
      <w:i/>
    </w:rPr>
  </w:style>
  <w:style w:type="character" w:styleId="814" w:customStyle="1">
    <w:name w:val="Header Char"/>
    <w:basedOn w:val="781"/>
    <w:uiPriority w:val="99"/>
  </w:style>
  <w:style w:type="character" w:styleId="815" w:customStyle="1">
    <w:name w:val="Footer Char"/>
    <w:basedOn w:val="781"/>
    <w:uiPriority w:val="99"/>
  </w:style>
  <w:style w:type="paragraph" w:styleId="816">
    <w:name w:val="Caption"/>
    <w:basedOn w:val="771"/>
    <w:next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7" w:customStyle="1">
    <w:name w:val="Caption Char"/>
    <w:uiPriority w:val="99"/>
  </w:style>
  <w:style w:type="table" w:styleId="818" w:customStyle="1">
    <w:name w:val="Table Grid Light"/>
    <w:basedOn w:val="7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9">
    <w:name w:val="Plain Table 1"/>
    <w:basedOn w:val="7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2"/>
    <w:basedOn w:val="78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1">
    <w:name w:val="Plain Table 3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>
    <w:name w:val="Plain Table 4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Plain Table 5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>
    <w:name w:val="Grid Table 1 Light"/>
    <w:basedOn w:val="78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1"/>
    <w:basedOn w:val="7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2"/>
    <w:basedOn w:val="7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3"/>
    <w:basedOn w:val="7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4"/>
    <w:basedOn w:val="7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5"/>
    <w:basedOn w:val="7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Grid Table 1 Light - Accent 6"/>
    <w:basedOn w:val="7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2"/>
    <w:basedOn w:val="7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1"/>
    <w:basedOn w:val="7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5"/>
    <w:basedOn w:val="7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2 - Accent 6"/>
    <w:basedOn w:val="7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"/>
    <w:basedOn w:val="7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1"/>
    <w:basedOn w:val="7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5"/>
    <w:basedOn w:val="7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3 - Accent 6"/>
    <w:basedOn w:val="7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4"/>
    <w:basedOn w:val="78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 w:customStyle="1">
    <w:name w:val="Grid Table 4 - Accent 1"/>
    <w:basedOn w:val="78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7" w:customStyle="1">
    <w:name w:val="Grid Table 4 - Accent 2"/>
    <w:basedOn w:val="78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8" w:customStyle="1">
    <w:name w:val="Grid Table 4 - Accent 3"/>
    <w:basedOn w:val="78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9" w:customStyle="1">
    <w:name w:val="Grid Table 4 - Accent 4"/>
    <w:basedOn w:val="78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0" w:customStyle="1">
    <w:name w:val="Grid Table 4 - Accent 5"/>
    <w:basedOn w:val="78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1" w:customStyle="1">
    <w:name w:val="Grid Table 4 - Accent 6"/>
    <w:basedOn w:val="78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2">
    <w:name w:val="Grid Table 5 Dark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- Accent 1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2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3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- Accent 4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5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8" w:customStyle="1">
    <w:name w:val="Grid Table 5 Dark - Accent 6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9">
    <w:name w:val="Grid Table 6 Colorful"/>
    <w:basedOn w:val="78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0" w:customStyle="1">
    <w:name w:val="Grid Table 6 Colorful - Accent 1"/>
    <w:basedOn w:val="78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1" w:customStyle="1">
    <w:name w:val="Grid Table 6 Colorful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62" w:customStyle="1">
    <w:name w:val="Grid Table 6 Colorful - Accent 3"/>
    <w:basedOn w:val="78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63" w:customStyle="1">
    <w:name w:val="Grid Table 6 Colorful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4" w:customStyle="1">
    <w:name w:val="Grid Table 6 Colorful - Accent 5"/>
    <w:basedOn w:val="78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5" w:customStyle="1">
    <w:name w:val="Grid Table 6 Colorful - Accent 6"/>
    <w:basedOn w:val="78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6">
    <w:name w:val="Grid Table 7 Colorful"/>
    <w:basedOn w:val="78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1"/>
    <w:basedOn w:val="78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Grid Table 7 Colorful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Grid Table 7 Colorful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Grid Table 7 Colorful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Grid Table 7 Colorful - Accent 5"/>
    <w:basedOn w:val="78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Grid Table 7 Colorful - Accent 6"/>
    <w:basedOn w:val="78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>
    <w:name w:val="List Table 1 Light"/>
    <w:basedOn w:val="78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1"/>
    <w:basedOn w:val="78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2"/>
    <w:basedOn w:val="78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3"/>
    <w:basedOn w:val="78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4"/>
    <w:basedOn w:val="78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5"/>
    <w:basedOn w:val="78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1 Light - Accent 6"/>
    <w:basedOn w:val="78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2"/>
    <w:basedOn w:val="78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1"/>
    <w:basedOn w:val="78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2"/>
    <w:basedOn w:val="78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3"/>
    <w:basedOn w:val="78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4"/>
    <w:basedOn w:val="78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5"/>
    <w:basedOn w:val="78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6" w:customStyle="1">
    <w:name w:val="List Table 2 - Accent 6"/>
    <w:basedOn w:val="78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7">
    <w:name w:val="List Table 3"/>
    <w:basedOn w:val="7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1"/>
    <w:basedOn w:val="78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3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"/>
    <w:basedOn w:val="7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1"/>
    <w:basedOn w:val="78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2"/>
    <w:basedOn w:val="78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3"/>
    <w:basedOn w:val="78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4"/>
    <w:basedOn w:val="78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5"/>
    <w:basedOn w:val="78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4 - Accent 6"/>
    <w:basedOn w:val="78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5 Dark"/>
    <w:basedOn w:val="78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1"/>
    <w:basedOn w:val="78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 w:customStyle="1">
    <w:name w:val="List Table 5 Dark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8">
    <w:name w:val="List Table 6 Colorful"/>
    <w:basedOn w:val="78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9" w:customStyle="1">
    <w:name w:val="List Table 6 Colorful - Accent 1"/>
    <w:basedOn w:val="78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0" w:customStyle="1">
    <w:name w:val="List Table 6 Colorful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1" w:customStyle="1">
    <w:name w:val="List Table 6 Colorful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12" w:customStyle="1">
    <w:name w:val="List Table 6 Colorful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13" w:customStyle="1">
    <w:name w:val="List Table 6 Colorful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4" w:customStyle="1">
    <w:name w:val="List Table 6 Colorful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5">
    <w:name w:val="List Table 7 Colorful"/>
    <w:basedOn w:val="78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1"/>
    <w:basedOn w:val="78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st Table 7 Colorful - Accent 2"/>
    <w:basedOn w:val="78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8" w:customStyle="1">
    <w:name w:val="List Table 7 Colorful - Accent 3"/>
    <w:basedOn w:val="78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9" w:customStyle="1">
    <w:name w:val="List Table 7 Colorful - Accent 4"/>
    <w:basedOn w:val="78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0" w:customStyle="1">
    <w:name w:val="List Table 7 Colorful - Accent 5"/>
    <w:basedOn w:val="78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1" w:customStyle="1">
    <w:name w:val="List Table 7 Colorful - Accent 6"/>
    <w:basedOn w:val="78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2" w:customStyle="1">
    <w:name w:val="Lined - Accent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3" w:customStyle="1">
    <w:name w:val="Lined - Accent 1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4" w:customStyle="1">
    <w:name w:val="Lined - Accent 2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5" w:customStyle="1">
    <w:name w:val="Lined - Accent 3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6" w:customStyle="1">
    <w:name w:val="Lined - Accent 4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7" w:customStyle="1">
    <w:name w:val="Lined - Accent 5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8" w:customStyle="1">
    <w:name w:val="Lined - Accent 6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9" w:customStyle="1">
    <w:name w:val="Bordered &amp; Lined - Accent"/>
    <w:basedOn w:val="78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0" w:customStyle="1">
    <w:name w:val="Bordered &amp; Lined - Accent 1"/>
    <w:basedOn w:val="78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1" w:customStyle="1">
    <w:name w:val="Bordered &amp; Lined - Accent 2"/>
    <w:basedOn w:val="78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2" w:customStyle="1">
    <w:name w:val="Bordered &amp; Lined - Accent 3"/>
    <w:basedOn w:val="78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3" w:customStyle="1">
    <w:name w:val="Bordered &amp; Lined - Accent 4"/>
    <w:basedOn w:val="78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4" w:customStyle="1">
    <w:name w:val="Bordered &amp; Lined - Accent 5"/>
    <w:basedOn w:val="78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5" w:customStyle="1">
    <w:name w:val="Bordered &amp; Lined - Accent 6"/>
    <w:basedOn w:val="78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6" w:customStyle="1">
    <w:name w:val="Bordered"/>
    <w:basedOn w:val="78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7" w:customStyle="1">
    <w:name w:val="Bordered - Accent 1"/>
    <w:basedOn w:val="7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8" w:customStyle="1">
    <w:name w:val="Bordered - Accent 2"/>
    <w:basedOn w:val="7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9" w:customStyle="1">
    <w:name w:val="Bordered - Accent 3"/>
    <w:basedOn w:val="7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0" w:customStyle="1">
    <w:name w:val="Bordered - Accent 4"/>
    <w:basedOn w:val="7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1" w:customStyle="1">
    <w:name w:val="Bordered - Accent 5"/>
    <w:basedOn w:val="7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2" w:customStyle="1">
    <w:name w:val="Bordered - Accent 6"/>
    <w:basedOn w:val="7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43">
    <w:name w:val="footnote text"/>
    <w:basedOn w:val="771"/>
    <w:link w:val="944"/>
    <w:uiPriority w:val="99"/>
    <w:semiHidden/>
    <w:unhideWhenUsed/>
    <w:pPr>
      <w:spacing w:after="40"/>
    </w:pPr>
    <w:rPr>
      <w:sz w:val="18"/>
    </w:rPr>
  </w:style>
  <w:style w:type="character" w:styleId="944" w:customStyle="1">
    <w:name w:val="Текст сноски Знак"/>
    <w:link w:val="943"/>
    <w:uiPriority w:val="99"/>
    <w:rPr>
      <w:sz w:val="18"/>
    </w:rPr>
  </w:style>
  <w:style w:type="character" w:styleId="945">
    <w:name w:val="footnote reference"/>
    <w:basedOn w:val="781"/>
    <w:uiPriority w:val="99"/>
    <w:unhideWhenUsed/>
    <w:rPr>
      <w:vertAlign w:val="superscript"/>
    </w:rPr>
  </w:style>
  <w:style w:type="paragraph" w:styleId="946">
    <w:name w:val="endnote text"/>
    <w:basedOn w:val="771"/>
    <w:link w:val="947"/>
    <w:uiPriority w:val="99"/>
    <w:semiHidden/>
    <w:unhideWhenUsed/>
    <w:rPr>
      <w:sz w:val="20"/>
    </w:rPr>
  </w:style>
  <w:style w:type="character" w:styleId="947" w:customStyle="1">
    <w:name w:val="Текст концевой сноски Знак"/>
    <w:link w:val="946"/>
    <w:uiPriority w:val="99"/>
    <w:rPr>
      <w:sz w:val="20"/>
    </w:rPr>
  </w:style>
  <w:style w:type="character" w:styleId="948">
    <w:name w:val="endnote reference"/>
    <w:basedOn w:val="781"/>
    <w:uiPriority w:val="99"/>
    <w:semiHidden/>
    <w:unhideWhenUsed/>
    <w:rPr>
      <w:vertAlign w:val="superscript"/>
    </w:rPr>
  </w:style>
  <w:style w:type="paragraph" w:styleId="949">
    <w:name w:val="toc 1"/>
    <w:basedOn w:val="771"/>
    <w:next w:val="771"/>
    <w:uiPriority w:val="39"/>
    <w:unhideWhenUsed/>
    <w:pPr>
      <w:spacing w:after="57"/>
    </w:pPr>
  </w:style>
  <w:style w:type="paragraph" w:styleId="950">
    <w:name w:val="toc 2"/>
    <w:basedOn w:val="771"/>
    <w:next w:val="771"/>
    <w:uiPriority w:val="39"/>
    <w:unhideWhenUsed/>
    <w:pPr>
      <w:ind w:left="283"/>
      <w:spacing w:after="57"/>
    </w:pPr>
  </w:style>
  <w:style w:type="paragraph" w:styleId="951">
    <w:name w:val="toc 3"/>
    <w:basedOn w:val="771"/>
    <w:next w:val="771"/>
    <w:uiPriority w:val="39"/>
    <w:unhideWhenUsed/>
    <w:pPr>
      <w:ind w:left="567"/>
      <w:spacing w:after="57"/>
    </w:pPr>
  </w:style>
  <w:style w:type="paragraph" w:styleId="952">
    <w:name w:val="toc 4"/>
    <w:basedOn w:val="771"/>
    <w:next w:val="771"/>
    <w:uiPriority w:val="39"/>
    <w:unhideWhenUsed/>
    <w:pPr>
      <w:ind w:left="850"/>
      <w:spacing w:after="57"/>
    </w:pPr>
  </w:style>
  <w:style w:type="paragraph" w:styleId="953">
    <w:name w:val="toc 5"/>
    <w:basedOn w:val="771"/>
    <w:next w:val="771"/>
    <w:uiPriority w:val="39"/>
    <w:unhideWhenUsed/>
    <w:pPr>
      <w:ind w:left="1134"/>
      <w:spacing w:after="57"/>
    </w:pPr>
  </w:style>
  <w:style w:type="paragraph" w:styleId="954">
    <w:name w:val="toc 6"/>
    <w:basedOn w:val="771"/>
    <w:next w:val="771"/>
    <w:uiPriority w:val="39"/>
    <w:unhideWhenUsed/>
    <w:pPr>
      <w:ind w:left="1417"/>
      <w:spacing w:after="57"/>
    </w:pPr>
  </w:style>
  <w:style w:type="paragraph" w:styleId="955">
    <w:name w:val="toc 7"/>
    <w:basedOn w:val="771"/>
    <w:next w:val="771"/>
    <w:uiPriority w:val="39"/>
    <w:unhideWhenUsed/>
    <w:pPr>
      <w:ind w:left="1701"/>
      <w:spacing w:after="57"/>
    </w:pPr>
  </w:style>
  <w:style w:type="paragraph" w:styleId="956">
    <w:name w:val="toc 8"/>
    <w:basedOn w:val="771"/>
    <w:next w:val="771"/>
    <w:uiPriority w:val="39"/>
    <w:unhideWhenUsed/>
    <w:pPr>
      <w:ind w:left="1984"/>
      <w:spacing w:after="57"/>
    </w:pPr>
  </w:style>
  <w:style w:type="paragraph" w:styleId="957">
    <w:name w:val="toc 9"/>
    <w:basedOn w:val="771"/>
    <w:next w:val="771"/>
    <w:uiPriority w:val="39"/>
    <w:unhideWhenUsed/>
    <w:pPr>
      <w:ind w:left="2268"/>
      <w:spacing w:after="57"/>
    </w:pPr>
  </w:style>
  <w:style w:type="paragraph" w:styleId="958">
    <w:name w:val="TOC Heading"/>
    <w:uiPriority w:val="39"/>
    <w:unhideWhenUsed/>
  </w:style>
  <w:style w:type="paragraph" w:styleId="959">
    <w:name w:val="table of figures"/>
    <w:basedOn w:val="771"/>
    <w:next w:val="771"/>
    <w:uiPriority w:val="99"/>
    <w:unhideWhenUsed/>
  </w:style>
  <w:style w:type="character" w:styleId="960" w:customStyle="1">
    <w:name w:val="Заголовок 5 Знак"/>
    <w:link w:val="776"/>
    <w:rPr>
      <w:b/>
      <w:bCs/>
      <w:i/>
      <w:iCs/>
      <w:sz w:val="26"/>
      <w:szCs w:val="26"/>
    </w:rPr>
  </w:style>
  <w:style w:type="paragraph" w:styleId="961">
    <w:name w:val="Document Map"/>
    <w:basedOn w:val="771"/>
    <w:semiHidden/>
    <w:pPr>
      <w:shd w:val="clear" w:color="auto" w:fill="000080"/>
    </w:pPr>
    <w:rPr>
      <w:rFonts w:ascii="Tahoma" w:hAnsi="Tahoma"/>
    </w:rPr>
  </w:style>
  <w:style w:type="paragraph" w:styleId="962">
    <w:name w:val="Block Text"/>
    <w:basedOn w:val="771"/>
    <w:pPr>
      <w:ind w:left="10" w:right="5189"/>
      <w:spacing w:line="269" w:lineRule="exact"/>
      <w:shd w:val="clear" w:color="auto" w:fill="ffffff"/>
      <w:widowControl w:val="off"/>
    </w:pPr>
    <w:rPr>
      <w:color w:val="000000"/>
      <w:spacing w:val="-2"/>
    </w:rPr>
  </w:style>
  <w:style w:type="paragraph" w:styleId="963" w:customStyle="1">
    <w:name w:val="ConsNormal"/>
    <w:link w:val="995"/>
    <w:pPr>
      <w:ind w:firstLine="720"/>
    </w:pPr>
    <w:rPr>
      <w:rFonts w:ascii="Arial" w:hAnsi="Arial"/>
    </w:rPr>
  </w:style>
  <w:style w:type="paragraph" w:styleId="964">
    <w:name w:val="Balloon Text"/>
    <w:basedOn w:val="771"/>
    <w:semiHidden/>
    <w:rPr>
      <w:rFonts w:ascii="Tahoma" w:hAnsi="Tahoma" w:cs="Tahoma"/>
      <w:sz w:val="16"/>
      <w:szCs w:val="16"/>
    </w:rPr>
  </w:style>
  <w:style w:type="paragraph" w:styleId="965" w:customStyle="1">
    <w:name w:val="ConsPlusNonformat"/>
    <w:pPr>
      <w:widowControl w:val="off"/>
    </w:pPr>
    <w:rPr>
      <w:rFonts w:ascii="Courier New" w:hAnsi="Courier New"/>
    </w:rPr>
  </w:style>
  <w:style w:type="paragraph" w:styleId="966">
    <w:name w:val="Body Text"/>
    <w:basedOn w:val="771"/>
    <w:pPr>
      <w:jc w:val="both"/>
      <w:widowControl w:val="off"/>
    </w:pPr>
    <w:rPr>
      <w:color w:val="000000"/>
      <w:sz w:val="28"/>
      <w:szCs w:val="20"/>
    </w:rPr>
  </w:style>
  <w:style w:type="paragraph" w:styleId="967">
    <w:name w:val="Body Text 2"/>
    <w:basedOn w:val="771"/>
    <w:pPr>
      <w:ind w:right="2304"/>
      <w:jc w:val="both"/>
      <w:spacing w:before="106" w:line="533" w:lineRule="exact"/>
      <w:shd w:val="clear" w:color="auto" w:fill="ffffff"/>
      <w:widowControl w:val="off"/>
    </w:pPr>
    <w:rPr>
      <w:color w:val="000000"/>
      <w:spacing w:val="-3"/>
      <w:sz w:val="28"/>
      <w:szCs w:val="20"/>
    </w:rPr>
  </w:style>
  <w:style w:type="paragraph" w:styleId="968">
    <w:name w:val="Body Text 3"/>
    <w:basedOn w:val="771"/>
    <w:pPr>
      <w:jc w:val="both"/>
      <w:widowControl w:val="off"/>
    </w:pPr>
    <w:rPr>
      <w:sz w:val="28"/>
      <w:szCs w:val="20"/>
    </w:rPr>
  </w:style>
  <w:style w:type="paragraph" w:styleId="969">
    <w:name w:val="List Bullet 3"/>
    <w:basedOn w:val="771"/>
    <w:pPr>
      <w:numPr>
        <w:ilvl w:val="0"/>
        <w:numId w:val="4"/>
      </w:numPr>
      <w:jc w:val="both"/>
    </w:pPr>
    <w:rPr>
      <w:sz w:val="28"/>
      <w:szCs w:val="20"/>
    </w:rPr>
  </w:style>
  <w:style w:type="paragraph" w:styleId="970" w:customStyle="1">
    <w:name w:val="Знак Знак Char Char"/>
    <w:basedOn w:val="771"/>
    <w:pPr>
      <w:jc w:val="both"/>
      <w:widowControl w:val="off"/>
    </w:pPr>
    <w:rPr>
      <w:rFonts w:ascii="Arial" w:hAnsi="Arial" w:eastAsia="SimSun" w:cs="Arial"/>
      <w:sz w:val="21"/>
      <w:lang w:val="en-US" w:eastAsia="zh-CN"/>
    </w:rPr>
  </w:style>
  <w:style w:type="paragraph" w:styleId="971" w:customStyle="1">
    <w:name w:val="Знак Знак Char Char"/>
    <w:basedOn w:val="771"/>
    <w:pPr>
      <w:jc w:val="both"/>
      <w:widowControl w:val="off"/>
    </w:pPr>
    <w:rPr>
      <w:rFonts w:ascii="Arial" w:hAnsi="Arial" w:eastAsia="SimSun" w:cs="Arial"/>
      <w:sz w:val="21"/>
      <w:lang w:val="en-US" w:eastAsia="zh-CN"/>
    </w:rPr>
  </w:style>
  <w:style w:type="paragraph" w:styleId="972" w:customStyle="1">
    <w:name w:val="ConsPlusTitle"/>
    <w:pPr>
      <w:widowControl w:val="off"/>
    </w:pPr>
    <w:rPr>
      <w:rFonts w:ascii="Arial" w:hAnsi="Arial"/>
      <w:b/>
    </w:rPr>
  </w:style>
  <w:style w:type="paragraph" w:styleId="973" w:customStyle="1">
    <w:name w:val="Знак Знак Char Char Знак Знак Знак"/>
    <w:basedOn w:val="771"/>
    <w:pPr>
      <w:ind w:firstLine="709"/>
      <w:jc w:val="both"/>
      <w:spacing w:before="120"/>
      <w:widowControl w:val="off"/>
    </w:pPr>
    <w:rPr>
      <w:rFonts w:eastAsia="SimSun" w:cs="Arial"/>
      <w:lang w:eastAsia="zh-CN"/>
    </w:rPr>
  </w:style>
  <w:style w:type="paragraph" w:styleId="974">
    <w:name w:val="Body Text Indent"/>
    <w:basedOn w:val="771"/>
    <w:pPr>
      <w:ind w:left="283"/>
      <w:spacing w:after="120"/>
    </w:pPr>
  </w:style>
  <w:style w:type="paragraph" w:styleId="975">
    <w:name w:val="Title"/>
    <w:basedOn w:val="771"/>
    <w:link w:val="976"/>
    <w:qFormat/>
    <w:pPr>
      <w:jc w:val="center"/>
    </w:pPr>
    <w:rPr>
      <w:b/>
      <w:sz w:val="32"/>
      <w:szCs w:val="20"/>
    </w:rPr>
  </w:style>
  <w:style w:type="character" w:styleId="976" w:customStyle="1">
    <w:name w:val="Заголовок Знак"/>
    <w:link w:val="975"/>
    <w:rPr>
      <w:b/>
      <w:sz w:val="32"/>
      <w:lang w:val="ru-RU" w:eastAsia="ru-RU" w:bidi="ar-SA"/>
    </w:rPr>
  </w:style>
  <w:style w:type="paragraph" w:styleId="977">
    <w:name w:val="Plain Text"/>
    <w:basedOn w:val="771"/>
    <w:link w:val="978"/>
    <w:rPr>
      <w:rFonts w:ascii="Courier New" w:hAnsi="Courier New"/>
      <w:sz w:val="20"/>
      <w:szCs w:val="20"/>
    </w:rPr>
  </w:style>
  <w:style w:type="character" w:styleId="978" w:customStyle="1">
    <w:name w:val="Текст Знак"/>
    <w:link w:val="977"/>
    <w:rPr>
      <w:rFonts w:ascii="Courier New" w:hAnsi="Courier New"/>
      <w:lang w:val="ru-RU" w:eastAsia="ru-RU" w:bidi="ar-SA"/>
    </w:rPr>
  </w:style>
  <w:style w:type="character" w:styleId="979">
    <w:name w:val="Hyperlink"/>
    <w:rPr>
      <w:color w:val="0000ff"/>
      <w:u w:val="single"/>
    </w:rPr>
  </w:style>
  <w:style w:type="paragraph" w:styleId="980">
    <w:name w:val="Header"/>
    <w:basedOn w:val="771"/>
    <w:link w:val="981"/>
    <w:pPr>
      <w:tabs>
        <w:tab w:val="center" w:pos="4677" w:leader="none"/>
        <w:tab w:val="right" w:pos="9355" w:leader="none"/>
      </w:tabs>
    </w:pPr>
  </w:style>
  <w:style w:type="character" w:styleId="981" w:customStyle="1">
    <w:name w:val="Верхний колонтитул Знак"/>
    <w:link w:val="980"/>
    <w:rPr>
      <w:sz w:val="24"/>
      <w:szCs w:val="24"/>
    </w:rPr>
  </w:style>
  <w:style w:type="paragraph" w:styleId="982">
    <w:name w:val="Footer"/>
    <w:basedOn w:val="771"/>
    <w:link w:val="983"/>
    <w:pPr>
      <w:tabs>
        <w:tab w:val="center" w:pos="4677" w:leader="none"/>
        <w:tab w:val="right" w:pos="9355" w:leader="none"/>
      </w:tabs>
    </w:pPr>
  </w:style>
  <w:style w:type="character" w:styleId="983" w:customStyle="1">
    <w:name w:val="Нижний колонтитул Знак"/>
    <w:link w:val="982"/>
    <w:rPr>
      <w:sz w:val="24"/>
      <w:szCs w:val="24"/>
    </w:rPr>
  </w:style>
  <w:style w:type="character" w:styleId="984">
    <w:name w:val="page number"/>
    <w:basedOn w:val="781"/>
  </w:style>
  <w:style w:type="paragraph" w:styleId="985">
    <w:name w:val="Body Text Indent 2"/>
    <w:basedOn w:val="771"/>
    <w:link w:val="986"/>
    <w:pPr>
      <w:ind w:firstLine="708"/>
      <w:jc w:val="both"/>
    </w:pPr>
    <w:rPr>
      <w:sz w:val="26"/>
    </w:rPr>
  </w:style>
  <w:style w:type="character" w:styleId="986" w:customStyle="1">
    <w:name w:val="Основной текст с отступом 2 Знак"/>
    <w:link w:val="985"/>
    <w:rPr>
      <w:sz w:val="26"/>
      <w:szCs w:val="24"/>
    </w:rPr>
  </w:style>
  <w:style w:type="paragraph" w:styleId="987" w:customStyle="1">
    <w:name w:val="Обычный1"/>
  </w:style>
  <w:style w:type="paragraph" w:styleId="988" w:customStyle="1">
    <w:name w:val="Обычный1"/>
  </w:style>
  <w:style w:type="paragraph" w:styleId="989" w:customStyle="1">
    <w:name w:val="ConsPlusNormal"/>
    <w:link w:val="1012"/>
    <w:pPr>
      <w:ind w:firstLine="720"/>
      <w:widowControl w:val="off"/>
    </w:pPr>
    <w:rPr>
      <w:rFonts w:ascii="Arial" w:hAnsi="Arial"/>
    </w:rPr>
  </w:style>
  <w:style w:type="paragraph" w:styleId="990" w:customStyle="1">
    <w:name w:val="Знак Знак Char Char Знак Знак Знак Знак Знак Знак Знак Знак Знак"/>
    <w:basedOn w:val="771"/>
    <w:pPr>
      <w:ind w:firstLine="709"/>
      <w:jc w:val="both"/>
      <w:spacing w:before="120"/>
      <w:widowControl w:val="off"/>
    </w:pPr>
    <w:rPr>
      <w:rFonts w:eastAsia="SimSun" w:cs="Arial"/>
      <w:lang w:eastAsia="zh-CN"/>
    </w:rPr>
  </w:style>
  <w:style w:type="character" w:styleId="991" w:customStyle="1">
    <w:name w:val="Font Style52"/>
    <w:rPr>
      <w:rFonts w:ascii="Times New Roman" w:hAnsi="Times New Roman" w:cs="Times New Roman"/>
      <w:sz w:val="22"/>
      <w:szCs w:val="22"/>
    </w:rPr>
  </w:style>
  <w:style w:type="paragraph" w:styleId="992" w:customStyle="1">
    <w:name w:val="ConsNonformat"/>
    <w:pPr>
      <w:ind w:right="19772"/>
    </w:pPr>
    <w:rPr>
      <w:rFonts w:ascii="Courier New" w:hAnsi="Courier New" w:eastAsia="Arial" w:cs="Courier New"/>
      <w:lang w:eastAsia="ar-SA"/>
    </w:rPr>
  </w:style>
  <w:style w:type="paragraph" w:styleId="993">
    <w:name w:val="List Paragraph"/>
    <w:basedOn w:val="771"/>
    <w:uiPriority w:val="34"/>
    <w:qFormat/>
    <w:pPr>
      <w:ind w:left="720"/>
    </w:pPr>
    <w:rPr>
      <w:lang w:eastAsia="zh-CN"/>
    </w:rPr>
  </w:style>
  <w:style w:type="table" w:styleId="994">
    <w:name w:val="Table Grid"/>
    <w:basedOn w:val="78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5" w:customStyle="1">
    <w:name w:val="ConsNormal Знак"/>
    <w:link w:val="963"/>
    <w:rPr>
      <w:rFonts w:ascii="Arial" w:hAnsi="Arial"/>
      <w:lang w:val="ru-RU" w:eastAsia="ru-RU" w:bidi="ar-SA"/>
    </w:rPr>
  </w:style>
  <w:style w:type="paragraph" w:styleId="996" w:customStyle="1">
    <w:name w:val="Абзац списка1"/>
    <w:basedOn w:val="771"/>
    <w:pPr>
      <w:ind w:left="720"/>
    </w:pPr>
    <w:rPr>
      <w:rFonts w:eastAsia="Calibri"/>
      <w:lang w:eastAsia="zh-CN"/>
    </w:rPr>
  </w:style>
  <w:style w:type="character" w:styleId="997" w:customStyle="1">
    <w:name w:val="Основной текст (2)_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998" w:customStyle="1">
    <w:name w:val="Основной текст (2)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styleId="999" w:customStyle="1">
    <w:name w:val="Заголовок №1_"/>
    <w:link w:val="1006"/>
    <w:rPr>
      <w:b/>
      <w:bCs/>
      <w:sz w:val="26"/>
      <w:szCs w:val="26"/>
      <w:shd w:val="clear" w:color="auto" w:fill="ffffff"/>
    </w:rPr>
  </w:style>
  <w:style w:type="character" w:styleId="1000" w:customStyle="1">
    <w:name w:val="Основной текст (3)_"/>
    <w:link w:val="1007"/>
    <w:rPr>
      <w:b/>
      <w:bCs/>
      <w:sz w:val="26"/>
      <w:szCs w:val="26"/>
      <w:shd w:val="clear" w:color="auto" w:fill="ffffff"/>
    </w:rPr>
  </w:style>
  <w:style w:type="character" w:styleId="1001" w:customStyle="1">
    <w:name w:val="Подпись к таблице_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1002" w:customStyle="1">
    <w:name w:val="Подпись к таблице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lang w:val="ru-RU" w:eastAsia="ru-RU" w:bidi="ru-RU"/>
    </w:rPr>
  </w:style>
  <w:style w:type="character" w:styleId="1003" w:customStyle="1">
    <w:name w:val="Основной текст (2)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styleId="1004" w:customStyle="1">
    <w:name w:val="Основной текст (2) + Century Gothic;12 pt"/>
    <w:rPr>
      <w:rFonts w:ascii="Century Gothic" w:hAnsi="Century Gothic" w:eastAsia="Century Gothic" w:cs="Century Gothic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1005" w:customStyle="1">
    <w:name w:val="Основной текст (2) + Franklin Gothic Book;11;5 pt"/>
    <w:rPr>
      <w:rFonts w:ascii="Franklin Gothic Book" w:hAnsi="Franklin Gothic Book" w:eastAsia="Franklin Gothic Book" w:cs="Franklin Gothic Book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paragraph" w:styleId="1006" w:customStyle="1">
    <w:name w:val="Заголовок №1"/>
    <w:basedOn w:val="771"/>
    <w:link w:val="999"/>
    <w:pPr>
      <w:jc w:val="center"/>
      <w:spacing w:line="299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paragraph" w:styleId="1007" w:customStyle="1">
    <w:name w:val="Основной текст (3)"/>
    <w:basedOn w:val="771"/>
    <w:link w:val="1000"/>
    <w:pPr>
      <w:jc w:val="center"/>
      <w:spacing w:after="300" w:line="299" w:lineRule="exact"/>
      <w:shd w:val="clear" w:color="auto" w:fill="ffffff"/>
      <w:widowControl w:val="off"/>
    </w:pPr>
    <w:rPr>
      <w:b/>
      <w:bCs/>
      <w:sz w:val="26"/>
      <w:szCs w:val="26"/>
    </w:rPr>
  </w:style>
  <w:style w:type="character" w:styleId="1008" w:customStyle="1">
    <w:name w:val="Основной текст (2) + Century Gothic;11;5 pt"/>
    <w:rPr>
      <w:rFonts w:ascii="Century Gothic" w:hAnsi="Century Gothic" w:eastAsia="Century Gothic" w:cs="Century Gothic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1009" w:customStyle="1">
    <w:name w:val="Основной текст (2) + Corbel;14 pt"/>
    <w:rPr>
      <w:rFonts w:ascii="Corbel" w:hAnsi="Corbel" w:eastAsia="Corbel" w:cs="Corbel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1010" w:customStyle="1">
    <w:name w:val="Колонтитул_"/>
    <w:link w:val="1011"/>
    <w:rPr>
      <w:b/>
      <w:bCs/>
      <w:sz w:val="26"/>
      <w:szCs w:val="26"/>
      <w:shd w:val="clear" w:color="auto" w:fill="ffffff"/>
    </w:rPr>
  </w:style>
  <w:style w:type="paragraph" w:styleId="1011" w:customStyle="1">
    <w:name w:val="Колонтитул"/>
    <w:basedOn w:val="771"/>
    <w:link w:val="1010"/>
    <w:pPr>
      <w:spacing w:line="0" w:lineRule="atLeast"/>
      <w:shd w:val="clear" w:color="auto" w:fill="ffffff"/>
      <w:widowControl w:val="off"/>
    </w:pPr>
    <w:rPr>
      <w:b/>
      <w:bCs/>
      <w:sz w:val="26"/>
      <w:szCs w:val="26"/>
    </w:rPr>
  </w:style>
  <w:style w:type="character" w:styleId="1012" w:customStyle="1">
    <w:name w:val="ConsPlusNormal Знак"/>
    <w:link w:val="989"/>
    <w:rPr>
      <w:rFonts w:ascii="Arial" w:hAnsi="Arial"/>
    </w:rPr>
  </w:style>
  <w:style w:type="paragraph" w:styleId="1013" w:customStyle="1">
    <w:name w:val="мини_список"/>
    <w:qFormat/>
    <w:pPr>
      <w:ind w:left="720"/>
      <w:jc w:val="both"/>
      <w:spacing w:before="60" w:after="60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HAnsi"/>
      <w:bCs/>
      <w:iCs/>
      <w:color w:val="000000"/>
      <w:sz w:val="24"/>
      <w:szCs w:val="24"/>
      <w:lang w:eastAsia="en-US"/>
    </w:rPr>
  </w:style>
  <w:style w:type="paragraph" w:styleId="1014" w:customStyle="1">
    <w:name w:val="Numbered Level 1"/>
    <w:pPr>
      <w:jc w:val="both"/>
      <w:spacing w:before="120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  <w:sz w:val="24"/>
      <w:szCs w:val="24"/>
    </w:rPr>
  </w:style>
  <w:style w:type="paragraph" w:styleId="1015" w:customStyle="1">
    <w:name w:val="ТЗ0 Марк б/н1"/>
    <w:pPr>
      <w:ind w:left="1713" w:hanging="360"/>
      <w:jc w:val="both"/>
      <w:spacing w:before="60" w:after="60" w:line="36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A504A56ED4A1CDDA8B29EFC200D36F33FDDBD8169DD13F3DEDFE66CFF8AF15271A3DD931D36ABF05mEU8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Microsoft Corporation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</dc:title>
  <dc:creator>Ирина</dc:creator>
  <cp:revision>17</cp:revision>
  <dcterms:created xsi:type="dcterms:W3CDTF">2024-11-20T06:41:00Z</dcterms:created>
  <dcterms:modified xsi:type="dcterms:W3CDTF">2026-07-23T06:32:49Z</dcterms:modified>
</cp:coreProperties>
</file>