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Приложение к электронной версии контракта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8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Описание объекта закупки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8"/>
        <w:ind w:left="-571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</w:r>
      <w:r>
        <w:rPr>
          <w:rFonts w:ascii="Times New Roman" w:hAnsi="Times New Roman"/>
          <w:b/>
          <w:bCs/>
          <w:sz w:val="24"/>
          <w:szCs w:val="28"/>
          <w:lang w:eastAsia="ru-RU"/>
        </w:rPr>
      </w:r>
    </w:p>
    <w:p>
      <w:pPr>
        <w:pStyle w:val="63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О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казание услуг по поверке счетчика воды д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ля нужд Управления Россельхознадзора по Брянской , Смоленской и Калужской областям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8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Код </w:t>
      </w:r>
      <w:r>
        <w:rPr>
          <w:rFonts w:ascii="Times New Roman" w:hAnsi="Times New Roman"/>
          <w:b/>
          <w:bCs/>
          <w:sz w:val="24"/>
          <w:szCs w:val="24"/>
        </w:rPr>
        <w:t xml:space="preserve">ОКПД-2 </w:t>
      </w:r>
      <w:r>
        <w:rPr>
          <w:rFonts w:ascii="Times New Roman" w:hAnsi="Times New Roman"/>
          <w:b/>
          <w:bCs/>
          <w:sz w:val="24"/>
          <w:szCs w:val="24"/>
        </w:rPr>
        <w:t xml:space="preserve">45.20.21.222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3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4"/>
        <w:numPr>
          <w:ilvl w:val="0"/>
          <w:numId w:val="10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объектов</w:t>
      </w:r>
      <w:r>
        <w:rPr>
          <w:rFonts w:ascii="Times New Roman" w:hAnsi="Times New Roman"/>
          <w:b/>
          <w:sz w:val="24"/>
          <w:szCs w:val="24"/>
        </w:rPr>
        <w:t xml:space="preserve">, характеристики и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объем оказываемых услуг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8936" w:type="dxa"/>
        <w:tblInd w:w="10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6"/>
        <w:gridCol w:w="1984"/>
        <w:gridCol w:w="2977"/>
        <w:gridCol w:w="1276"/>
        <w:gridCol w:w="1843"/>
      </w:tblGrid>
      <w:tr>
        <w:tblPrEx/>
        <w:trPr>
          <w:trHeight w:val="8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Расположение узла учета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объекта закупки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Объем оказываемых услуг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Адм. Здание пер. Осовиахима д.3</w:t>
            </w:r>
            <w:r>
              <w:rPr>
                <w:rFonts w:ascii="Times New Roman" w:hAnsi="Times New Roman"/>
                <w:color w:val="000000"/>
              </w:rPr>
              <w:t xml:space="preserve">кор2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Поверка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водосчетчика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холодной воды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8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СКВ-15 №042553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(15мм)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Адм. Здание пер. Осовиахима д.3</w:t>
            </w:r>
            <w:r>
              <w:rPr>
                <w:rFonts w:ascii="Times New Roman" w:hAnsi="Times New Roman"/>
                <w:color w:val="000000"/>
              </w:rPr>
              <w:t xml:space="preserve">кор2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Поверка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водосчетчика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холодной воды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638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СКБ №1012123528100 (15мм)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Брянский район, п. Путёвка, ул. Рославльская, д. 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Поверка </w:t>
            </w:r>
            <w:r>
              <w:t xml:space="preserve">водосчетчика холодной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8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СГВ № 21982083 (15мм)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8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63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8"/>
        <w:numPr>
          <w:ilvl w:val="0"/>
          <w:numId w:val="10"/>
        </w:numPr>
        <w:spacing w:after="0" w:line="240" w:lineRule="auto"/>
        <w:rPr>
          <w:b/>
          <w:szCs w:val="28"/>
          <w:lang w:eastAsia="ru-RU"/>
        </w:rPr>
      </w:pPr>
      <w:r>
        <w:rPr>
          <w:rFonts w:ascii="Times New Roman" w:hAnsi="Times New Roman" w:eastAsia="Calibri"/>
          <w:b/>
          <w:sz w:val="24"/>
          <w:szCs w:val="24"/>
          <w:lang w:val="en-US"/>
        </w:rPr>
        <w:t xml:space="preserve">Срок оказания услуги</w:t>
      </w:r>
      <w:r>
        <w:rPr>
          <w:b/>
          <w:szCs w:val="28"/>
          <w:lang w:eastAsia="ru-RU"/>
        </w:rPr>
        <w:t xml:space="preserve">:</w:t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pStyle w:val="638"/>
        <w:ind w:left="720"/>
        <w:spacing w:after="0" w:line="240" w:lineRule="auto"/>
        <w:rPr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Оказание услуги :</w:t>
      </w:r>
      <w:r>
        <w:rPr>
          <w:rFonts w:ascii="Times New Roman" w:hAnsi="Times New Roman" w:eastAsia="Calibri"/>
          <w:b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в течении 15</w:t>
      </w:r>
      <w:r>
        <w:rPr>
          <w:sz w:val="24"/>
          <w:szCs w:val="24"/>
          <w:lang w:eastAsia="ru-RU"/>
        </w:rPr>
        <w:t xml:space="preserve"> рабочих дней </w:t>
      </w:r>
      <w:r>
        <w:rPr>
          <w:sz w:val="24"/>
          <w:szCs w:val="24"/>
          <w:shd w:val="clear" w:color="auto" w:fill="ffffff"/>
        </w:rPr>
        <w:t xml:space="preserve">с даты заключения </w:t>
      </w:r>
      <w:r>
        <w:rPr>
          <w:sz w:val="24"/>
          <w:szCs w:val="24"/>
          <w:shd w:val="clear" w:color="auto" w:fill="ffffff"/>
        </w:rPr>
        <w:t xml:space="preserve">контракта</w:t>
      </w:r>
      <w:r>
        <w:rPr>
          <w:sz w:val="24"/>
          <w:szCs w:val="24"/>
          <w:shd w:val="clear" w:color="auto" w:fill="ffffff"/>
        </w:rPr>
        <w:t xml:space="preserve">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67"/>
        <w:ind w:left="3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</w:t>
      </w:r>
      <w:r>
        <w:rPr>
          <w:sz w:val="24"/>
          <w:szCs w:val="24"/>
          <w:shd w:val="clear" w:color="auto" w:fill="ffffff"/>
        </w:rPr>
        <w:t xml:space="preserve">Срок действия контракта: с даты заключения по 30 сентября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ind w:left="720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ind w:left="720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ind w:left="720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</w:rPr>
        <w:t xml:space="preserve">      </w:t>
      </w:r>
      <w:r>
        <w:rPr>
          <w:rFonts w:ascii="Times New Roman" w:hAnsi="Times New Roman" w:eastAsia="Calibri"/>
          <w:b/>
          <w:sz w:val="24"/>
          <w:szCs w:val="24"/>
          <w:lang w:val="en-US"/>
        </w:rPr>
        <w:t xml:space="preserve">3</w:t>
      </w:r>
      <w:r>
        <w:rPr>
          <w:rFonts w:ascii="Times New Roman" w:hAnsi="Times New Roman" w:eastAsia="Calibri"/>
          <w:b/>
          <w:sz w:val="24"/>
          <w:szCs w:val="24"/>
          <w:lang w:val="en-US"/>
        </w:rPr>
        <w:t xml:space="preserve">.</w:t>
      </w:r>
      <w:r>
        <w:rPr>
          <w:rFonts w:ascii="Times New Roman" w:hAnsi="Times New Roman" w:eastAsia="Calibri"/>
          <w:b/>
          <w:sz w:val="24"/>
          <w:szCs w:val="24"/>
        </w:rPr>
        <w:t xml:space="preserve"> </w:t>
      </w:r>
      <w:r>
        <w:rPr>
          <w:rFonts w:ascii="Times New Roman" w:hAnsi="Times New Roman" w:eastAsia="Calibri"/>
          <w:b/>
          <w:sz w:val="24"/>
          <w:szCs w:val="24"/>
          <w:lang w:val="en-US"/>
        </w:rPr>
        <w:t xml:space="preserve">Требование к исполнителю:</w:t>
      </w:r>
      <w:r>
        <w:rPr>
          <w:rFonts w:ascii="Times New Roman" w:hAnsi="Times New Roman" w:eastAsia="Calibri"/>
          <w:b/>
          <w:sz w:val="24"/>
          <w:szCs w:val="24"/>
          <w:u w:val="single"/>
        </w:rPr>
      </w:r>
      <w:r>
        <w:rPr>
          <w:rFonts w:ascii="Times New Roman" w:hAnsi="Times New Roman" w:eastAsia="Calibri"/>
          <w:b/>
          <w:sz w:val="24"/>
          <w:szCs w:val="24"/>
          <w:u w:val="single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       </w:t>
      </w:r>
      <w:r>
        <w:rPr>
          <w:rFonts w:ascii="Times New Roman" w:hAnsi="Times New Roman" w:eastAsia="Calibri"/>
          <w:sz w:val="24"/>
          <w:szCs w:val="24"/>
        </w:rPr>
        <w:t xml:space="preserve">Услуги оказываются в соответствии с требованиями действующего законодательством Российской Федерации;</w:t>
      </w:r>
      <w:r>
        <w:rPr>
          <w:rFonts w:ascii="Times New Roman" w:hAnsi="Times New Roman" w:eastAsia="Courier New"/>
          <w:spacing w:val="-4"/>
          <w:sz w:val="28"/>
          <w:szCs w:val="24"/>
          <w:lang w:eastAsia="ru-RU" w:bidi="ru-RU"/>
        </w:rPr>
        <w:t xml:space="preserve"> </w:t>
      </w:r>
      <w:r>
        <w:rPr>
          <w:rFonts w:ascii="Times New Roman" w:hAnsi="Times New Roman" w:eastAsia="Calibri"/>
          <w:sz w:val="24"/>
          <w:szCs w:val="24"/>
          <w:lang w:bidi="ru-RU"/>
        </w:rPr>
        <w:t xml:space="preserve">предъявляемые к участникам закупки в соответствии с пунктом 1 части 1 статьи 31 Федерального закона от 05.04.2013 № 44-ФЗ</w:t>
      </w:r>
      <w:r>
        <w:rPr>
          <w:rFonts w:ascii="Times New Roman" w:hAnsi="Times New Roman" w:eastAsia="Calibri"/>
          <w:sz w:val="24"/>
          <w:szCs w:val="24"/>
          <w:lang w:bidi="ru-RU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Поверку осуществляют аккредитованные, в соответствии с законодательством РФ об аккредитации в национальной системе аккредитации на проведение поверки средств измерений, юридические лица и индивидуальные предприниматели.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Calibri"/>
          <w:sz w:val="24"/>
          <w:szCs w:val="24"/>
        </w:rPr>
        <w:t xml:space="preserve">-</w:t>
      </w:r>
      <w:r>
        <w:rPr>
          <w:rFonts w:ascii="Times New Roman" w:hAnsi="Times New Roman" w:eastAsia="Calibri"/>
          <w:sz w:val="24"/>
          <w:szCs w:val="24"/>
        </w:rPr>
        <w:t xml:space="preserve">Результаты поверки контрольно-измерительных приборов должны подтверждаться сведениями о результатах поверки, включенными в Федеральный информационный фонд по обеспечению единства измерений. На контрольно-измерительные приборы наносится знак поверки,</w:t>
      </w:r>
      <w:r>
        <w:rPr>
          <w:rFonts w:ascii="Times New Roman" w:hAnsi="Times New Roman" w:eastAsia="Calibri"/>
          <w:sz w:val="24"/>
          <w:szCs w:val="24"/>
        </w:rPr>
        <w:t xml:space="preserve"> и (или) выдается свидетельство о поверке, и (или) в паспорт (формуляр) вносится запись о проведенной поверке, заверяемая подписью поверителя и знаком поверки, с указанием даты поверки, или выдается извещение о непригодности к применению средства измерений</w:t>
      </w:r>
      <w:r>
        <w:rPr>
          <w:rFonts w:ascii="Times New Roman" w:hAnsi="Times New Roman" w:eastAsia="Calibri"/>
          <w:sz w:val="24"/>
          <w:szCs w:val="24"/>
        </w:rPr>
        <w:t xml:space="preserve">.</w:t>
      </w:r>
      <w:r/>
    </w:p>
    <w:p>
      <w:pPr>
        <w:pStyle w:val="638"/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</w:t>
      </w:r>
      <w:r>
        <w:rPr>
          <w:rFonts w:ascii="Times New Roman" w:hAnsi="Times New Roman" w:eastAsia="Calibri"/>
          <w:sz w:val="24"/>
          <w:szCs w:val="24"/>
        </w:rPr>
        <w:t xml:space="preserve">Свед</w:t>
      </w:r>
      <w:r>
        <w:rPr>
          <w:rFonts w:ascii="Times New Roman" w:hAnsi="Times New Roman" w:eastAsia="Calibri"/>
          <w:sz w:val="24"/>
          <w:szCs w:val="24"/>
        </w:rPr>
        <w:t xml:space="preserve">ения о результатах поверки передаются Исполнителем в Федеральный информационный фонд по обеспечению единства измерений проводящими поверку средств измерений юридическими лицами и индивидуальными предпринимателями в установленные законодательством РФ сроки.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</w:t>
      </w:r>
      <w:r>
        <w:rPr>
          <w:rFonts w:ascii="Times New Roman" w:hAnsi="Times New Roman" w:eastAsia="Calibri"/>
          <w:sz w:val="24"/>
          <w:szCs w:val="24"/>
        </w:rPr>
        <w:t xml:space="preserve">Цена включает в себя все расходы, связанные с оказан</w:t>
      </w:r>
      <w:r>
        <w:rPr>
          <w:rFonts w:ascii="Times New Roman" w:hAnsi="Times New Roman" w:eastAsia="Calibri"/>
          <w:sz w:val="24"/>
          <w:szCs w:val="24"/>
        </w:rPr>
        <w:t xml:space="preserve">ием услуг, включая расходы на проезд к месту нахождения Заказчика для получения и сдачи счетчика, уплату налогов и других обязательных платежей, которые должны  выплачиваться в связи с оказанием услуг в соответствии с законодательством Российской Федерации</w:t>
      </w:r>
      <w:r>
        <w:rPr>
          <w:rFonts w:ascii="Times New Roman" w:hAnsi="Times New Roman" w:eastAsia="Calibri"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    </w:t>
      </w:r>
      <w:r>
        <w:rPr>
          <w:rFonts w:ascii="Times New Roman" w:hAnsi="Times New Roman" w:eastAsia="Calibri"/>
          <w:b/>
          <w:sz w:val="24"/>
          <w:szCs w:val="24"/>
        </w:rPr>
        <w:t xml:space="preserve">4.</w:t>
      </w:r>
      <w:r>
        <w:rPr>
          <w:rFonts w:ascii="Times New Roman" w:hAnsi="Times New Roman" w:eastAsia="Calibri"/>
          <w:b/>
          <w:sz w:val="24"/>
          <w:szCs w:val="24"/>
        </w:rPr>
        <w:t xml:space="preserve"> </w:t>
      </w:r>
      <w:r>
        <w:rPr>
          <w:rFonts w:ascii="Times New Roman" w:hAnsi="Times New Roman" w:eastAsia="Calibri"/>
          <w:b/>
          <w:sz w:val="24"/>
          <w:szCs w:val="24"/>
        </w:rPr>
        <w:t xml:space="preserve">Место оказания услуги</w:t>
      </w:r>
      <w:r>
        <w:rPr>
          <w:rFonts w:ascii="Times New Roman" w:hAnsi="Times New Roman" w:eastAsia="Calibri"/>
          <w:b/>
          <w:sz w:val="24"/>
          <w:szCs w:val="24"/>
        </w:rPr>
        <w:t xml:space="preserve">: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638"/>
        <w:contextualSpacing/>
        <w:jc w:val="both"/>
        <w:spacing w:after="0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г.Брянск, ул. Осовиахима д.3 кор.2</w:t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Брянский район, п. Путёвка, ул. Рославльская, д. 3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38"/>
        <w:contextualSpacing/>
        <w:jc w:val="both"/>
        <w:spacing w:after="0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</w:t>
      </w:r>
      <w:r>
        <w:rPr>
          <w:rFonts w:ascii="Times New Roman" w:hAnsi="Times New Roman" w:eastAsia="Calibri"/>
          <w:b/>
          <w:sz w:val="24"/>
          <w:szCs w:val="24"/>
        </w:rPr>
        <w:t xml:space="preserve">5.</w:t>
      </w:r>
      <w:r>
        <w:rPr>
          <w:rFonts w:ascii="Times New Roman" w:hAnsi="Times New Roman" w:eastAsia="Calibri"/>
          <w:b/>
          <w:sz w:val="24"/>
          <w:szCs w:val="24"/>
        </w:rPr>
        <w:t xml:space="preserve"> Порядок расчетов:</w:t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Оплата  услуг производится З</w:t>
      </w:r>
      <w:r>
        <w:rPr>
          <w:rFonts w:ascii="Times New Roman" w:hAnsi="Times New Roman" w:eastAsia="Calibri"/>
          <w:sz w:val="24"/>
          <w:szCs w:val="24"/>
        </w:rPr>
        <w:t xml:space="preserve">аказчиком </w:t>
      </w:r>
      <w:r>
        <w:rPr>
          <w:rFonts w:ascii="Times New Roman" w:hAnsi="Times New Roman" w:eastAsia="Calibri"/>
          <w:sz w:val="24"/>
          <w:szCs w:val="24"/>
          <w:u w:val="single"/>
        </w:rPr>
        <w:t xml:space="preserve">из средств федерального бюджета</w:t>
      </w:r>
      <w:r>
        <w:rPr>
          <w:rFonts w:ascii="Times New Roman" w:hAnsi="Times New Roman" w:eastAsia="Calibri"/>
          <w:sz w:val="24"/>
          <w:szCs w:val="24"/>
        </w:rPr>
        <w:t xml:space="preserve">, в форме безналичного расчета путем перечисления денежных средств на расчетный счет Исполнителя, в течение 7 (Семи) рабочих дней после даты приемки оказанных услуг, на основании счета, счет-фактуры (при необходимости), акта об оказании услуг.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</w:t>
      </w:r>
      <w:r>
        <w:rPr>
          <w:rFonts w:ascii="Times New Roman" w:hAnsi="Times New Roman" w:eastAsia="Calibri"/>
          <w:b/>
          <w:sz w:val="24"/>
          <w:szCs w:val="24"/>
        </w:rPr>
        <w:t xml:space="preserve">6.</w:t>
      </w:r>
      <w:r>
        <w:rPr>
          <w:b/>
          <w:szCs w:val="28"/>
          <w:lang w:eastAsia="ru-RU"/>
        </w:rPr>
        <w:t xml:space="preserve"> </w:t>
      </w:r>
      <w:r>
        <w:rPr>
          <w:rFonts w:ascii="Times New Roman" w:hAnsi="Times New Roman" w:eastAsia="Calibri"/>
          <w:b/>
          <w:sz w:val="24"/>
          <w:szCs w:val="24"/>
        </w:rPr>
        <w:t xml:space="preserve">Приёмка оказанных услуг</w:t>
      </w:r>
      <w:r>
        <w:rPr>
          <w:rFonts w:ascii="Times New Roman" w:hAnsi="Times New Roman" w:eastAsia="Calibri"/>
          <w:b/>
          <w:sz w:val="24"/>
          <w:szCs w:val="24"/>
        </w:rPr>
        <w:t xml:space="preserve">: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Исполнитель в течение одного рабочего дня </w:t>
      </w:r>
      <w:r>
        <w:rPr>
          <w:rFonts w:ascii="Times New Roman" w:hAnsi="Times New Roman" w:eastAsia="Calibri"/>
          <w:sz w:val="24"/>
          <w:szCs w:val="24"/>
        </w:rPr>
        <w:t xml:space="preserve">согласовывает</w:t>
      </w:r>
      <w:r>
        <w:rPr>
          <w:rFonts w:ascii="Times New Roman" w:hAnsi="Times New Roman" w:eastAsia="Calibri"/>
          <w:sz w:val="24"/>
          <w:szCs w:val="24"/>
        </w:rPr>
        <w:t xml:space="preserve"> с Заказчиком дату оказания услуги</w:t>
      </w:r>
      <w:r>
        <w:rPr>
          <w:rFonts w:ascii="Times New Roman" w:hAnsi="Times New Roman" w:eastAsia="Calibri"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  </w:t>
      </w:r>
      <w:r>
        <w:rPr>
          <w:rFonts w:ascii="Times New Roman" w:hAnsi="Times New Roman" w:eastAsia="Calibri"/>
          <w:sz w:val="24"/>
          <w:szCs w:val="24"/>
        </w:rPr>
        <w:t xml:space="preserve">П</w:t>
      </w:r>
      <w:r>
        <w:rPr>
          <w:rFonts w:ascii="Times New Roman" w:hAnsi="Times New Roman" w:eastAsia="Calibri"/>
          <w:sz w:val="24"/>
          <w:szCs w:val="24"/>
        </w:rPr>
        <w:t xml:space="preserve">риемка оказанных услуг осуществляется в течение 10 (Десяти) рабочих дней с даты получения Заказчиком подписанного Исполнителем акта об оказании услуг, но не ранее д</w:t>
      </w:r>
      <w:r>
        <w:rPr>
          <w:rFonts w:ascii="Times New Roman" w:hAnsi="Times New Roman" w:eastAsia="Calibri"/>
          <w:sz w:val="24"/>
          <w:szCs w:val="24"/>
        </w:rPr>
        <w:t xml:space="preserve">аты фактически оказанной услуги, путем проведения Заказчиком экспертизы своими силами, по результатам которой, Заказчик подписывает акт об оказании услуг, либо в те же сроки направляет в письменной форме мотивированный отказ от подписания такого документа.</w:t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  <w:lang w:bidi="ru-RU"/>
        </w:rPr>
      </w:pPr>
      <w:r>
        <w:rPr>
          <w:rFonts w:ascii="Times New Roman" w:hAnsi="Times New Roman" w:eastAsia="Calibri"/>
          <w:sz w:val="24"/>
          <w:szCs w:val="24"/>
        </w:rPr>
        <w:t xml:space="preserve">     </w:t>
      </w:r>
      <w:r>
        <w:rPr>
          <w:rFonts w:ascii="Times New Roman" w:hAnsi="Times New Roman" w:eastAsia="Calibri"/>
          <w:sz w:val="24"/>
          <w:szCs w:val="24"/>
          <w:lang w:bidi="ru-RU"/>
        </w:rPr>
      </w:r>
      <w:r>
        <w:rPr>
          <w:rFonts w:ascii="Times New Roman" w:hAnsi="Times New Roman" w:eastAsia="Calibri"/>
          <w:sz w:val="24"/>
          <w:szCs w:val="24"/>
          <w:lang w:bidi="ru-RU"/>
        </w:rPr>
      </w:r>
    </w:p>
    <w:p>
      <w:pPr>
        <w:pStyle w:val="638"/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38"/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66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6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63"/>
        <w:jc w:val="both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</w:r>
      <w:r>
        <w:rPr>
          <w:rFonts w:ascii="Times New Roman" w:hAnsi="Times New Roman"/>
          <w:b w:val="0"/>
          <w:sz w:val="24"/>
          <w:szCs w:val="28"/>
        </w:rPr>
      </w:r>
    </w:p>
    <w:p>
      <w:pPr>
        <w:pStyle w:val="646"/>
        <w:contextualSpacing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63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Старший </w:t>
      </w:r>
      <w:r>
        <w:rPr>
          <w:rFonts w:ascii="Times New Roman" w:hAnsi="Times New Roman"/>
          <w:sz w:val="24"/>
          <w:szCs w:val="24"/>
        </w:rPr>
        <w:t xml:space="preserve">специалист 1 разряда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отдела административно-хозяйственной,</w:t>
      </w:r>
      <w:r>
        <w:rPr>
          <w:rFonts w:ascii="Times New Roman" w:hAnsi="Times New Roman"/>
          <w:sz w:val="24"/>
          <w:szCs w:val="24"/>
        </w:rPr>
      </w:r>
    </w:p>
    <w:p>
      <w:pPr>
        <w:pStyle w:val="63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закупочной деятельности и охраны труда</w:t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И.Г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Гончарова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pStyle w:val="668"/>
      <w:isLgl w:val="false"/>
      <w:suff w:val="tab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880" w:hanging="360"/>
        <w:tabs>
          <w:tab w:val="num" w:pos="28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605" w:hanging="160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85" w:hanging="160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45" w:hanging="160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05" w:hanging="160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765" w:hanging="1605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  <w:tabs>
          <w:tab w:val="num" w:pos="1855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  <w:tabs>
          <w:tab w:val="num" w:pos="142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  <w:tabs>
          <w:tab w:val="num" w:pos="1789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  <w:tabs>
          <w:tab w:val="num" w:pos="1789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  <w:tabs>
          <w:tab w:val="num" w:pos="214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  <w:tabs>
          <w:tab w:val="num" w:pos="2509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  <w:tabs>
          <w:tab w:val="num" w:pos="2509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  <w:tabs>
          <w:tab w:val="num" w:pos="2869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8"/>
    <w:next w:val="6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next w:val="638"/>
    <w:link w:val="638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paragraph" w:styleId="639">
    <w:name w:val="Заголовок 1"/>
    <w:basedOn w:val="638"/>
    <w:next w:val="638"/>
    <w:link w:val="666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40">
    <w:name w:val="Основной шрифт абзаца"/>
    <w:next w:val="640"/>
    <w:link w:val="638"/>
    <w:semiHidden/>
  </w:style>
  <w:style w:type="table" w:styleId="641">
    <w:name w:val="Обычная таблица"/>
    <w:next w:val="641"/>
    <w:link w:val="638"/>
    <w:semiHidden/>
    <w:tblPr/>
  </w:style>
  <w:style w:type="numbering" w:styleId="642">
    <w:name w:val="Нет списка"/>
    <w:next w:val="642"/>
    <w:link w:val="638"/>
    <w:semiHidden/>
  </w:style>
  <w:style w:type="character" w:styleId="643">
    <w:name w:val="Основной текст 3 Знак"/>
    <w:next w:val="643"/>
    <w:link w:val="644"/>
    <w:rPr>
      <w:rFonts w:ascii="Calibri" w:hAnsi="Calibri" w:eastAsia="Calibri"/>
      <w:sz w:val="16"/>
      <w:szCs w:val="16"/>
      <w:lang w:val="ru-RU" w:eastAsia="ru-RU" w:bidi="ar-SA"/>
    </w:rPr>
  </w:style>
  <w:style w:type="paragraph" w:styleId="644">
    <w:name w:val="Основной текст 3"/>
    <w:basedOn w:val="638"/>
    <w:next w:val="644"/>
    <w:link w:val="643"/>
    <w:pPr>
      <w:spacing w:after="120" w:line="240" w:lineRule="auto"/>
    </w:pPr>
    <w:rPr>
      <w:rFonts w:eastAsia="Calibri"/>
      <w:sz w:val="16"/>
      <w:szCs w:val="16"/>
      <w:lang w:eastAsia="ru-RU"/>
    </w:rPr>
  </w:style>
  <w:style w:type="character" w:styleId="645">
    <w:name w:val="ConsPlusNormal Знак"/>
    <w:next w:val="645"/>
    <w:link w:val="646"/>
    <w:rPr>
      <w:rFonts w:ascii="Calibri" w:hAnsi="Calibri" w:eastAsia="Calibri"/>
      <w:sz w:val="22"/>
      <w:szCs w:val="22"/>
      <w:lang w:val="ru-RU" w:eastAsia="ru-RU" w:bidi="ar-SA"/>
    </w:rPr>
  </w:style>
  <w:style w:type="paragraph" w:styleId="646">
    <w:name w:val="ConsPlusNormal"/>
    <w:next w:val="646"/>
    <w:link w:val="645"/>
    <w:pPr>
      <w:widowControl w:val="off"/>
    </w:pPr>
    <w:rPr>
      <w:rFonts w:ascii="Calibri" w:hAnsi="Calibri" w:eastAsia="Calibri"/>
      <w:sz w:val="22"/>
      <w:szCs w:val="22"/>
      <w:lang w:val="ru-RU" w:eastAsia="ru-RU" w:bidi="ar-SA"/>
    </w:rPr>
  </w:style>
  <w:style w:type="paragraph" w:styleId="647">
    <w:name w:val="Îáû÷íûé"/>
    <w:next w:val="647"/>
    <w:link w:val="638"/>
    <w:rPr>
      <w:rFonts w:eastAsia="Calibri"/>
      <w:lang w:val="ru-RU" w:eastAsia="ru-RU" w:bidi="ar-SA"/>
    </w:rPr>
  </w:style>
  <w:style w:type="paragraph" w:styleId="648">
    <w:name w:val="List Paragraph"/>
    <w:basedOn w:val="638"/>
    <w:next w:val="648"/>
    <w:link w:val="638"/>
    <w:pPr>
      <w:contextualSpacing/>
      <w:ind w:left="720"/>
    </w:pPr>
  </w:style>
  <w:style w:type="paragraph" w:styleId="649">
    <w:name w:val="msonormalbullet1.gif"/>
    <w:basedOn w:val="638"/>
    <w:next w:val="649"/>
    <w:link w:val="638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650">
    <w:name w:val="msonormalbullet2.gif"/>
    <w:basedOn w:val="638"/>
    <w:next w:val="650"/>
    <w:link w:val="638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651">
    <w:name w:val="msonormalcxsplast"/>
    <w:basedOn w:val="638"/>
    <w:next w:val="651"/>
    <w:link w:val="6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52">
    <w:name w:val="Текст выноски"/>
    <w:basedOn w:val="638"/>
    <w:next w:val="652"/>
    <w:link w:val="638"/>
    <w:semiHidden/>
    <w:rPr>
      <w:rFonts w:ascii="Tahoma" w:hAnsi="Tahoma" w:cs="Tahoma"/>
      <w:sz w:val="16"/>
      <w:szCs w:val="16"/>
    </w:rPr>
  </w:style>
  <w:style w:type="paragraph" w:styleId="653">
    <w:name w:val="Основной текст с отступом 3"/>
    <w:basedOn w:val="638"/>
    <w:next w:val="653"/>
    <w:link w:val="654"/>
    <w:pPr>
      <w:ind w:left="283"/>
      <w:spacing w:after="120"/>
    </w:pPr>
    <w:rPr>
      <w:sz w:val="16"/>
      <w:szCs w:val="16"/>
      <w:lang w:val="en-US"/>
    </w:rPr>
  </w:style>
  <w:style w:type="character" w:styleId="654">
    <w:name w:val="Основной текст с отступом 3 Знак"/>
    <w:next w:val="654"/>
    <w:link w:val="653"/>
    <w:rPr>
      <w:rFonts w:ascii="Calibri" w:hAnsi="Calibri"/>
      <w:sz w:val="16"/>
      <w:szCs w:val="16"/>
      <w:lang w:eastAsia="en-US"/>
    </w:rPr>
  </w:style>
  <w:style w:type="paragraph" w:styleId="655">
    <w:name w:val="Основной текст 31"/>
    <w:basedOn w:val="638"/>
    <w:next w:val="655"/>
    <w:link w:val="638"/>
    <w:uiPriority w:val="99"/>
    <w:pPr>
      <w:ind w:right="-286"/>
      <w:jc w:val="both"/>
      <w:spacing w:after="0" w:line="240" w:lineRule="auto"/>
      <w:tabs>
        <w:tab w:val="left" w:pos="9356" w:leader="none"/>
      </w:tabs>
    </w:pPr>
    <w:rPr>
      <w:rFonts w:ascii="Times New Roman" w:hAnsi="Times New Roman"/>
      <w:sz w:val="24"/>
      <w:szCs w:val="24"/>
      <w:lang w:eastAsia="ar-SA"/>
    </w:rPr>
  </w:style>
  <w:style w:type="character" w:styleId="656">
    <w:name w:val="Основной текст_"/>
    <w:next w:val="656"/>
    <w:link w:val="657"/>
    <w:rPr>
      <w:sz w:val="27"/>
      <w:szCs w:val="27"/>
      <w:shd w:val="clear" w:color="auto" w:fill="ffffff"/>
    </w:rPr>
  </w:style>
  <w:style w:type="paragraph" w:styleId="657">
    <w:name w:val="Основной текст2"/>
    <w:basedOn w:val="638"/>
    <w:next w:val="657"/>
    <w:link w:val="656"/>
    <w:pPr>
      <w:spacing w:before="600" w:after="420" w:line="240" w:lineRule="atLeast"/>
      <w:shd w:val="clear" w:color="auto" w:fill="ffffff"/>
    </w:pPr>
    <w:rPr>
      <w:rFonts w:ascii="Times New Roman" w:hAnsi="Times New Roman"/>
      <w:sz w:val="27"/>
      <w:szCs w:val="27"/>
      <w:lang w:val="en-US" w:eastAsia="en-US"/>
    </w:rPr>
  </w:style>
  <w:style w:type="paragraph" w:styleId="658">
    <w:name w:val="ConsPlusNonformat"/>
    <w:next w:val="658"/>
    <w:link w:val="63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59">
    <w:name w:val="Основной текст с отступом"/>
    <w:basedOn w:val="638"/>
    <w:next w:val="659"/>
    <w:link w:val="660"/>
    <w:uiPriority w:val="99"/>
    <w:pPr>
      <w:ind w:left="283"/>
      <w:spacing w:after="120"/>
    </w:pPr>
    <w:rPr>
      <w:rFonts w:eastAsia="Calibri"/>
      <w:lang w:val="en-US"/>
    </w:rPr>
  </w:style>
  <w:style w:type="character" w:styleId="660">
    <w:name w:val="Основной текст с отступом Знак"/>
    <w:next w:val="660"/>
    <w:link w:val="659"/>
    <w:uiPriority w:val="99"/>
    <w:rPr>
      <w:rFonts w:ascii="Calibri" w:hAnsi="Calibri" w:eastAsia="Calibri"/>
      <w:sz w:val="22"/>
      <w:szCs w:val="22"/>
      <w:lang w:eastAsia="en-US"/>
    </w:rPr>
  </w:style>
  <w:style w:type="paragraph" w:styleId="661">
    <w:name w:val="Основной текст 2"/>
    <w:basedOn w:val="638"/>
    <w:next w:val="661"/>
    <w:link w:val="662"/>
    <w:uiPriority w:val="99"/>
    <w:pPr>
      <w:spacing w:after="120" w:line="480" w:lineRule="auto"/>
    </w:pPr>
    <w:rPr>
      <w:rFonts w:eastAsia="Calibri"/>
      <w:lang w:val="en-US"/>
    </w:rPr>
  </w:style>
  <w:style w:type="character" w:styleId="662">
    <w:name w:val="Основной текст 2 Знак"/>
    <w:next w:val="662"/>
    <w:link w:val="661"/>
    <w:uiPriority w:val="99"/>
    <w:rPr>
      <w:rFonts w:ascii="Calibri" w:hAnsi="Calibri" w:eastAsia="Calibri"/>
      <w:sz w:val="22"/>
      <w:szCs w:val="22"/>
      <w:lang w:eastAsia="en-US"/>
    </w:rPr>
  </w:style>
  <w:style w:type="paragraph" w:styleId="663">
    <w:name w:val="ConsNormal"/>
    <w:next w:val="663"/>
    <w:link w:val="638"/>
    <w:uiPriority w:val="99"/>
    <w:pPr>
      <w:ind w:firstLine="720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64">
    <w:name w:val="Абзац списка"/>
    <w:basedOn w:val="638"/>
    <w:next w:val="664"/>
    <w:link w:val="665"/>
    <w:uiPriority w:val="34"/>
    <w:qFormat/>
    <w:pPr>
      <w:contextualSpacing/>
      <w:ind w:left="720"/>
    </w:pPr>
    <w:rPr>
      <w:rFonts w:eastAsia="Calibri"/>
      <w:szCs w:val="20"/>
      <w:lang w:val="en-US"/>
    </w:rPr>
  </w:style>
  <w:style w:type="character" w:styleId="665">
    <w:name w:val="Абзац списка Знак"/>
    <w:next w:val="665"/>
    <w:link w:val="664"/>
    <w:uiPriority w:val="34"/>
    <w:rPr>
      <w:rFonts w:ascii="Calibri" w:hAnsi="Calibri" w:eastAsia="Calibri"/>
      <w:sz w:val="22"/>
      <w:lang w:eastAsia="en-US"/>
    </w:rPr>
  </w:style>
  <w:style w:type="character" w:styleId="666">
    <w:name w:val="Заголовок 1 Знак"/>
    <w:next w:val="666"/>
    <w:link w:val="639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paragraph" w:styleId="667">
    <w:name w:val="Standard"/>
    <w:next w:val="667"/>
    <w:link w:val="638"/>
    <w:rPr>
      <w:lang w:val="ru-RU" w:eastAsia="zh-CN" w:bidi="ar-SA"/>
    </w:rPr>
  </w:style>
  <w:style w:type="numbering" w:styleId="668">
    <w:name w:val="WW8Num1"/>
    <w:basedOn w:val="642"/>
    <w:next w:val="668"/>
    <w:link w:val="638"/>
    <w:pPr>
      <w:numPr>
        <w:ilvl w:val="0"/>
        <w:numId w:val="11"/>
      </w:numPr>
    </w:pPr>
  </w:style>
  <w:style w:type="character" w:styleId="1192" w:default="1">
    <w:name w:val="Default Paragraph Font"/>
    <w:uiPriority w:val="1"/>
    <w:semiHidden/>
    <w:unhideWhenUsed/>
  </w:style>
  <w:style w:type="numbering" w:styleId="1193" w:default="1">
    <w:name w:val="No List"/>
    <w:uiPriority w:val="99"/>
    <w:semiHidden/>
    <w:unhideWhenUsed/>
  </w:style>
  <w:style w:type="table" w:styleId="11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Россельхознадзор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</dc:creator>
  <cp:revision>22</cp:revision>
  <dcterms:created xsi:type="dcterms:W3CDTF">2026-04-17T08:52:00Z</dcterms:created>
  <dcterms:modified xsi:type="dcterms:W3CDTF">2026-06-16T14:11:39Z</dcterms:modified>
  <cp:version>917504</cp:version>
</cp:coreProperties>
</file>