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4"/>
          <w:szCs w:val="24"/>
        </w:rPr>
      </w:pPr>
      <w:r>
        <w:rPr>
          <w:b/>
          <w:bCs/>
          <w:color w:val="222222"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color w:val="222222"/>
          <w:sz w:val="24"/>
          <w:szCs w:val="24"/>
          <w:highlight w:val="none"/>
        </w:rPr>
      </w:pPr>
      <w:r>
        <w:rPr>
          <w:b/>
          <w:bCs/>
          <w:color w:val="222222"/>
          <w:sz w:val="24"/>
          <w:szCs w:val="24"/>
          <w:highlight w:val="none"/>
        </w:rPr>
      </w:r>
      <w:r>
        <w:rPr>
          <w:b/>
          <w:bCs/>
          <w:color w:val="222222"/>
          <w:sz w:val="24"/>
          <w:szCs w:val="24"/>
          <w:highlight w:val="none"/>
        </w:rPr>
      </w:r>
      <w:r>
        <w:rPr>
          <w:b/>
          <w:bCs/>
          <w:color w:val="222222"/>
          <w:sz w:val="24"/>
          <w:szCs w:val="24"/>
          <w:highlight w:val="none"/>
        </w:rPr>
      </w:r>
    </w:p>
    <w:p>
      <w:pPr>
        <w:jc w:val="center"/>
        <w:rPr>
          <w:b/>
          <w:bCs/>
          <w:color w:val="222222"/>
          <w:sz w:val="24"/>
          <w:szCs w:val="24"/>
          <w:highlight w:val="none"/>
        </w:rPr>
      </w:pPr>
      <w:r>
        <w:rPr>
          <w:b/>
          <w:bCs/>
          <w:color w:val="222222"/>
          <w:sz w:val="24"/>
          <w:szCs w:val="24"/>
        </w:rPr>
        <w:t xml:space="preserve">Обоснование начальной (максимальной) цены контракта</w:t>
      </w:r>
      <w:r>
        <w:rPr>
          <w:b/>
          <w:bCs/>
          <w:color w:val="222222"/>
          <w:sz w:val="24"/>
          <w:szCs w:val="24"/>
          <w:highlight w:val="none"/>
        </w:rPr>
      </w:r>
      <w:r>
        <w:rPr>
          <w:b/>
          <w:bCs/>
          <w:color w:val="222222"/>
          <w:sz w:val="24"/>
          <w:szCs w:val="24"/>
          <w:highlight w:val="none"/>
        </w:rPr>
      </w:r>
    </w:p>
    <w:p>
      <w:pPr>
        <w:jc w:val="center"/>
        <w:rPr>
          <w:b/>
          <w:bCs/>
          <w:color w:val="222222"/>
          <w:sz w:val="24"/>
          <w:szCs w:val="24"/>
          <w:highlight w:val="none"/>
        </w:rPr>
      </w:pPr>
      <w:r>
        <w:rPr>
          <w:b/>
          <w:bCs/>
          <w:color w:val="222222"/>
          <w:sz w:val="24"/>
          <w:szCs w:val="24"/>
          <w:highlight w:val="none"/>
        </w:rPr>
      </w:r>
      <w:r>
        <w:rPr>
          <w:b/>
          <w:bCs/>
          <w:color w:val="222222"/>
          <w:sz w:val="24"/>
          <w:szCs w:val="24"/>
          <w:highlight w:val="none"/>
        </w:rPr>
      </w:r>
      <w:r>
        <w:rPr>
          <w:b/>
          <w:bCs/>
          <w:color w:val="222222"/>
          <w:sz w:val="24"/>
          <w:szCs w:val="24"/>
          <w:highlight w:val="none"/>
        </w:rPr>
      </w:r>
    </w:p>
    <w:tbl>
      <w:tblPr>
        <w:tblW w:w="15307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307"/>
      </w:tblGrid>
      <w:tr>
        <w:tblPrEx/>
        <w:trPr>
          <w:trHeight w:val="361"/>
        </w:trPr>
        <w:tc>
          <w:tcPr>
            <w:tcW w:w="1530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b/>
                <w:bCs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/>
                <w:bCs/>
                <w:sz w:val="26"/>
                <w:szCs w:val="26"/>
              </w:rPr>
              <w:t xml:space="preserve">Приобретение неисключительного права (лицензии) на использование программного обеспечения 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/>
                <w:bCs/>
                <w:sz w:val="26"/>
                <w:szCs w:val="26"/>
              </w:rPr>
              <w:t xml:space="preserve">ViPNet Client for Linux (КС2) (РРПО 4319)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  <w:p>
            <w:r/>
            <w:r/>
          </w:p>
        </w:tc>
      </w:tr>
    </w:tbl>
    <w:p>
      <w:pPr>
        <w:jc w:val="both"/>
        <w:keepLines w:val="0"/>
        <w:rPr>
          <w:b/>
          <w:bCs/>
          <w:color w:val="222222"/>
          <w:sz w:val="24"/>
          <w:szCs w:val="24"/>
          <w:highlight w:val="none"/>
        </w:rPr>
      </w:pPr>
      <w:r>
        <w:rPr>
          <w:b/>
          <w:bCs/>
          <w:color w:val="222222"/>
          <w:sz w:val="24"/>
          <w:szCs w:val="24"/>
          <w:highlight w:val="none"/>
        </w:rPr>
      </w:r>
      <w:r>
        <w:rPr>
          <w:b/>
          <w:bCs/>
          <w:color w:val="222222"/>
          <w:sz w:val="24"/>
          <w:szCs w:val="24"/>
          <w:highlight w:val="none"/>
        </w:rPr>
      </w:r>
      <w:r>
        <w:rPr>
          <w:b/>
          <w:bCs/>
          <w:color w:val="222222"/>
          <w:sz w:val="24"/>
          <w:szCs w:val="24"/>
          <w:highlight w:val="none"/>
        </w:rPr>
      </w:r>
    </w:p>
    <w:tbl>
      <w:tblPr>
        <w:tblW w:w="15307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1764"/>
      </w:tblGrid>
      <w:tr>
        <w:tblPrEx/>
        <w:trPr>
          <w:trHeight w:val="918"/>
        </w:trPr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Основные характеристики объекта закупки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764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  <w:t xml:space="preserve">Приобретение неисключительного права (лицензии) на использование программного обеспечения ViPNet Client for Linux (КС2) (РРПО 4319)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67"/>
        </w:trPr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Используемый метод определения НМЦК обоснованием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right w:val="single" w:color="auto" w:sz="4" w:space="0"/>
            </w:tcBorders>
            <w:tcW w:w="1176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</w:rPr>
              <w:t xml:space="preserve">Метод сопоставимых рыночных цен (анализ рынка).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  <w:highlight w:val="none"/>
              </w:rPr>
              <w:t xml:space="preserve">Для определения начальной (максимальной) цены Контракта методом сопоставимых рыночных цен Заказчиком направлялись потен</w:t>
            </w:r>
            <w:r>
              <w:rPr>
                <w:bCs/>
                <w:sz w:val="22"/>
                <w:szCs w:val="22"/>
                <w:highlight w:val="none"/>
              </w:rPr>
              <w:t xml:space="preserve">циальным поставщиком (исполнителем, подрядчикам), обладающим опытом поставок соответствующих товаров, о предоставлении ими ценовой информации о товаре. Полученная информация от потенциальных поставщиков (исполнителей, подрядчиков) приведена ниже в Таблице.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</w:tbl>
    <w:tbl>
      <w:tblPr>
        <w:tblStyle w:val="698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3543"/>
        <w:gridCol w:w="11764"/>
      </w:tblGrid>
      <w:tr>
        <w:tblPrEx/>
        <w:trPr>
          <w:trHeight w:val="792"/>
        </w:trPr>
        <w:tc>
          <w:tcPr>
            <w:tcW w:w="3543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  <w:t xml:space="preserve">Расчёт НМЦК 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1176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9400,00 руб. (Девять тысяч четыреста рублей 00 копеек)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98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3543"/>
        <w:gridCol w:w="2268"/>
        <w:gridCol w:w="1559"/>
        <w:gridCol w:w="1559"/>
        <w:gridCol w:w="2126"/>
        <w:gridCol w:w="2126"/>
        <w:gridCol w:w="2126"/>
      </w:tblGrid>
      <w:tr>
        <w:tblPrEx/>
        <w:trPr>
          <w:trHeight w:val="1392"/>
        </w:trPr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 поставляемого товара,оказываемой услуги,выполняемой работы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Категория товара, работ, услуг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Единица измерения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Количество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Цена единицы,указанная в Коммерческом предложении № 1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t xml:space="preserve">Цена единицы,указанная в Коммерческом предложении № 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t xml:space="preserve">Цена единицы,указанная в Коммерческом предложении № 3</w:t>
            </w:r>
            <w:r>
              <w:rPr>
                <w:b/>
                <w:bCs/>
                <w:sz w:val="22"/>
                <w:szCs w:val="22"/>
                <w:highlight w:val="none"/>
              </w:rPr>
            </w:r>
            <w:r>
              <w:rPr>
                <w:b/>
                <w:bCs/>
                <w:sz w:val="22"/>
                <w:szCs w:val="22"/>
                <w:highlight w:val="none"/>
              </w:rPr>
            </w:r>
          </w:p>
        </w:tc>
      </w:tr>
    </w:tbl>
    <w:tbl>
      <w:tblPr>
        <w:tblStyle w:val="698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3543"/>
        <w:gridCol w:w="2268"/>
        <w:gridCol w:w="1559"/>
        <w:gridCol w:w="1559"/>
        <w:gridCol w:w="2126"/>
        <w:gridCol w:w="2126"/>
        <w:gridCol w:w="2126"/>
      </w:tblGrid>
      <w:tr>
        <w:tblPrEx/>
        <w:trPr>
          <w:trHeight w:val="668"/>
        </w:trPr>
        <w:tc>
          <w:tcPr>
            <w:tcW w:w="3543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b w:val="0"/>
                <w:bCs w:val="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Передача права на использование ПО </w:t>
            </w:r>
            <w:r>
              <w:rPr>
                <w:sz w:val="22"/>
                <w:szCs w:val="22"/>
              </w:rPr>
              <w:t xml:space="preserve">ViPNet Client 5</w:t>
            </w:r>
            <w:r>
              <w:rPr>
                <w:sz w:val="22"/>
                <w:szCs w:val="22"/>
              </w:rPr>
              <w:t xml:space="preserve"> for Linux (Update Client 4 Lin)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rPr>
                <w:b w:val="0"/>
                <w:bCs w:val="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cs="Calibri"/>
                <w:sz w:val="22"/>
                <w:szCs w:val="22"/>
              </w:rPr>
              <w:t xml:space="preserve">SC-29-Client-5-Lin-UPD-(</w:t>
            </w:r>
            <w:r>
              <w:rPr>
                <w:sz w:val="22"/>
                <w:szCs w:val="22"/>
              </w:rPr>
              <w:t xml:space="preserve">Client 4 Lin)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58.29.50.00-услуги по предоставлению лицензий на право использовать компьютерное программное обеспечение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штука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2470,00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2470,00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2470,00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68"/>
        </w:trPr>
        <w:tc>
          <w:tcPr>
            <w:tcW w:w="3543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b w:val="0"/>
                <w:bCs w:val="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Сертификат активации сервиса прямой технической поддержки ПО </w:t>
            </w:r>
            <w:r>
              <w:rPr>
                <w:sz w:val="22"/>
                <w:szCs w:val="22"/>
              </w:rPr>
              <w:t xml:space="preserve">ViPNet Client 5</w:t>
            </w:r>
            <w:r>
              <w:rPr>
                <w:sz w:val="22"/>
                <w:szCs w:val="22"/>
              </w:rPr>
              <w:t xml:space="preserve"> for Linux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 на срок 1 год, уровень-расширенный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rPr>
                <w:b w:val="0"/>
                <w:bCs w:val="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cs="Calibri"/>
                <w:sz w:val="22"/>
                <w:szCs w:val="22"/>
              </w:rPr>
              <w:t xml:space="preserve">SC-29-Client-5-Lin-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T-G2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58.29.50.00-</w:t>
            </w:r>
            <w:r>
              <w:rPr>
                <w:sz w:val="22"/>
                <w:szCs w:val="22"/>
              </w:rPr>
              <w:t xml:space="preserve">услуги по предоставлению лицензий на право использовать компьютерное программное обеспечение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штука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2470,00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2470,00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2470,00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68"/>
        </w:trPr>
        <w:tc>
          <w:tcPr>
            <w:tcW w:w="3543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b w:val="0"/>
                <w:bCs w:val="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Дистрибутив ПО </w:t>
            </w:r>
            <w:r>
              <w:rPr>
                <w:sz w:val="22"/>
                <w:szCs w:val="22"/>
              </w:rPr>
              <w:t xml:space="preserve">ViPNet Client 5</w:t>
            </w:r>
            <w:r>
              <w:rPr>
                <w:sz w:val="22"/>
                <w:szCs w:val="22"/>
              </w:rPr>
              <w:t xml:space="preserve"> for Linux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58.29.50.00- </w:t>
            </w:r>
            <w:r>
              <w:rPr>
                <w:sz w:val="22"/>
                <w:szCs w:val="22"/>
              </w:rPr>
              <w:t xml:space="preserve">услуги по предоставлению лицензий на право использовать компьютерное программное обеспечение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штука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4500,00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Style w:val="698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8929"/>
        <w:gridCol w:w="2126"/>
        <w:gridCol w:w="2126"/>
        <w:gridCol w:w="2126"/>
      </w:tblGrid>
      <w:tr>
        <w:tblPrEx/>
        <w:trPr>
          <w:trHeight w:val="395"/>
        </w:trPr>
        <w:tc>
          <w:tcPr>
            <w:tcW w:w="8929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9440,00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9440,00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9440,00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  <w:highlight w:val="none"/>
        </w:rPr>
      </w:pPr>
      <w:r>
        <w:rPr>
          <w:b/>
          <w:bCs/>
          <w:sz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0"/>
        <w:jc w:val="lef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  <w:tab/>
      </w:r>
      <w:r>
        <w:rPr>
          <w:b/>
          <w:bCs/>
          <w:sz w:val="24"/>
        </w:rPr>
        <w:t xml:space="preserve">О</w:t>
      </w:r>
      <w:r>
        <w:rPr>
          <w:b/>
          <w:bCs/>
          <w:sz w:val="24"/>
          <w:szCs w:val="24"/>
        </w:rPr>
        <w:t xml:space="preserve">кругление начал</w:t>
      </w:r>
      <w:r>
        <w:rPr>
          <w:b/>
          <w:bCs/>
          <w:sz w:val="24"/>
          <w:szCs w:val="24"/>
        </w:rPr>
        <w:t xml:space="preserve">ьной (м</w:t>
      </w:r>
      <w:r>
        <w:rPr>
          <w:b/>
          <w:bCs/>
          <w:sz w:val="24"/>
          <w:szCs w:val="24"/>
        </w:rPr>
        <w:t xml:space="preserve">аксимальной) цены контракта произведено до суммы доведенных лимитов бюджетных обязательств на 2026 год на</w:t>
      </w:r>
      <w:r>
        <w:rPr>
          <w:b/>
          <w:bCs/>
          <w:sz w:val="24"/>
          <w:szCs w:val="24"/>
        </w:rPr>
        <w:t xml:space="preserve"> приобретение неисключительного права (лицензии) на использование программного обеспечения ViPNet Client for Linux (КС2) (РРПО 4319) </w:t>
      </w:r>
      <w:r>
        <w:rPr>
          <w:sz w:val="22"/>
          <w:szCs w:val="22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в сумме 9400 рублей. </w:t>
      </w:r>
      <w:r>
        <w:rPr>
          <w:b/>
          <w:bCs/>
          <w:sz w:val="24"/>
          <w:szCs w:val="24"/>
        </w:rPr>
        <w:t xml:space="preserve">Таким образом, начальная (максимальная) цена контракта </w:t>
      </w:r>
      <w:r>
        <w:rPr>
          <w:b/>
          <w:bCs/>
          <w:sz w:val="24"/>
          <w:szCs w:val="24"/>
        </w:rPr>
        <w:t xml:space="preserve">составляет 9400 (Девять тысяч четыреста рублей 00 копеек</w:t>
      </w:r>
      <w:r>
        <w:rPr>
          <w:b/>
          <w:bCs/>
          <w:sz w:val="24"/>
          <w:szCs w:val="24"/>
        </w:rPr>
        <w:t xml:space="preserve">).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sz w:val="22"/>
          <w:szCs w:val="22"/>
        </w:rPr>
      </w:r>
    </w:p>
    <w:sectPr>
      <w:footerReference w:type="default" r:id="rId8"/>
      <w:footnotePr/>
      <w:endnotePr/>
      <w:type w:val="nextPage"/>
      <w:pgSz w:w="16838" w:h="11906" w:orient="landscape"/>
      <w:pgMar w:top="426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2"/>
    <w:next w:val="842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43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2"/>
    <w:next w:val="842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43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2"/>
    <w:next w:val="842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43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43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43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43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43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43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43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42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43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43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basedOn w:val="843"/>
    <w:link w:val="692"/>
    <w:uiPriority w:val="99"/>
  </w:style>
  <w:style w:type="paragraph" w:styleId="694">
    <w:name w:val="Footer"/>
    <w:basedOn w:val="842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basedOn w:val="843"/>
    <w:link w:val="694"/>
    <w:uiPriority w:val="99"/>
  </w:style>
  <w:style w:type="paragraph" w:styleId="69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 w:customStyle="1">
    <w:name w:val="Style3"/>
    <w:basedOn w:val="842"/>
    <w:uiPriority w:val="99"/>
    <w:pPr>
      <w:jc w:val="both"/>
      <w:spacing w:line="274" w:lineRule="exact"/>
      <w:widowControl w:val="off"/>
    </w:pPr>
    <w:rPr>
      <w:sz w:val="24"/>
      <w:szCs w:val="24"/>
    </w:rPr>
  </w:style>
  <w:style w:type="paragraph" w:styleId="847">
    <w:name w:val="Balloon Text"/>
    <w:basedOn w:val="842"/>
    <w:link w:val="848"/>
    <w:uiPriority w:val="99"/>
    <w:semiHidden/>
    <w:unhideWhenUsed/>
    <w:rPr>
      <w:rFonts w:ascii="Tahoma" w:hAnsi="Tahoma" w:cs="Tahoma"/>
      <w:sz w:val="16"/>
      <w:szCs w:val="16"/>
    </w:rPr>
  </w:style>
  <w:style w:type="character" w:styleId="848" w:customStyle="1">
    <w:name w:val="Текст выноски Знак"/>
    <w:basedOn w:val="843"/>
    <w:link w:val="847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A7157-1173-47D1-A675-E18BBFD9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revision>38</cp:revision>
  <dcterms:created xsi:type="dcterms:W3CDTF">2025-03-14T09:57:00Z</dcterms:created>
  <dcterms:modified xsi:type="dcterms:W3CDTF">2026-07-02T07:04:50Z</dcterms:modified>
</cp:coreProperties>
</file>