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940B5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147476548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договор №</w:t>
      </w:r>
      <w:sdt>
        <w:sdtPr>
          <w:alias w:val="{%&lt;Документ.Номер&gt;%}"/>
          <w:tag w:val="tensor_te_exp:7b253cd094d0bed0bad183d0bcd0b5d0bdd1822ed09dd0bed0bcd0b5d1803e257d"/>
          <w:id w:val="147455057"/>
          <w:showingPlcHdr/>
        </w:sdtPr>
        <w:sdtContent>
          <w:r>
            <w:rPr>
              <w:lang w:val="ru-RU"/>
            </w:rPr>
            <w:t xml:space="preserve">     </w:t>
          </w:r>
        </w:sdtContent>
      </w:sdt>
    </w:p>
    <w:tbl>
      <w:tblPr>
        <w:tblStyle w:val="4"/>
        <w:tblW w:w="10520" w:type="dxa"/>
        <w:tblCellSpacing w:w="1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55"/>
        <w:gridCol w:w="7265"/>
      </w:tblGrid>
      <w:tr w14:paraId="44C04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  <w:tblCellSpacing w:w="15" w:type="dxa"/>
        </w:trPr>
        <w:tc>
          <w:tcPr>
            <w:tcW w:w="0" w:type="auto"/>
            <w:vAlign w:val="center"/>
          </w:tcPr>
          <w:p w14:paraId="21444FC6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47475197"/>
              </w:sdtPr>
              <w:sdtContent>
                <w:r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г. Ярославль</w:t>
                </w:r>
              </w:sdtContent>
            </w:sdt>
            <w:r>
              <w:rPr>
                <w:rFonts w:eastAsia="Tahoma"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7220" w:type="dxa"/>
            <w:vAlign w:val="center"/>
          </w:tcPr>
          <w:p w14:paraId="54B527AF">
            <w:pPr>
              <w:spacing w:before="0" w:after="0"/>
              <w:jc w:val="righ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147481296"/>
              </w:sdtPr>
              <w:sdtContent>
                <w:r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.04.2026</w:t>
                </w:r>
              </w:sdtContent>
            </w:sdt>
            <w:r>
              <w:rPr>
                <w:rFonts w:eastAsia="Tahoma" w:cs="Tahoma"/>
                <w:color w:val="auto"/>
                <w:sz w:val="14"/>
                <w:szCs w:val="14"/>
                <w:lang w:val="en-US"/>
              </w:rPr>
              <w:t> </w:t>
            </w:r>
            <w:r>
              <w:rPr>
                <w:rFonts w:eastAsia="Tahoma" w:cs="Tahoma"/>
                <w:b/>
                <w:bCs/>
                <w:color w:val="auto"/>
                <w:sz w:val="14"/>
                <w:szCs w:val="14"/>
              </w:rPr>
              <w:t>г.</w:t>
            </w:r>
          </w:p>
        </w:tc>
      </w:tr>
    </w:tbl>
    <w:p w14:paraId="204C417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147479266"/>
          <w:showingPlcHdr/>
        </w:sdtPr>
        <w:sdtContent>
          <w:r>
            <w:rPr>
              <w:lang w:val="ru-RU"/>
            </w:rPr>
            <w:t xml:space="preserve">     </w:t>
          </w:r>
        </w:sdtContent>
      </w:sdt>
      <w:r>
        <w:rPr>
          <w:rFonts w:cs="Tahoma"/>
          <w:color w:val="auto"/>
          <w:sz w:val="14"/>
          <w:szCs w:val="14"/>
        </w:rPr>
        <w:t xml:space="preserve">, именуемое в дальнейшем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7460830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color w:val="auto"/>
          <w:sz w:val="14"/>
          <w:szCs w:val="14"/>
        </w:rPr>
        <w:t xml:space="preserve">, с одной стороны, и Пользователь программного обеспечения </w:t>
      </w:r>
      <w:r>
        <w:rPr>
          <w:rFonts w:cs="Tahoma"/>
          <w:color w:val="auto"/>
          <w:sz w:val="14"/>
          <w:szCs w:val="14"/>
          <w:lang w:val="en-US"/>
        </w:rPr>
        <w:t>Saby</w:t>
      </w:r>
      <w:r>
        <w:rPr>
          <w:rFonts w:cs="Tahoma"/>
          <w:color w:val="auto"/>
          <w:sz w:val="14"/>
          <w:szCs w:val="14"/>
        </w:rPr>
        <w:t xml:space="preserve"> (далее - Программа)  </w:t>
      </w:r>
      <w:sdt>
        <w:sdt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147467743"/>
        </w:sdtPr>
        <w:sdtContent>
          <w:r>
            <w:rPr>
              <w:rFonts w:cs="Tahoma"/>
              <w:color w:val="auto"/>
              <w:sz w:val="14"/>
              <w:szCs w:val="14"/>
            </w:rPr>
            <w:t>ТЕРРИТОРИАЛЬНЫЙ ОРГАН ФЕДЕРАЛЬНОЙ СЛУЖБЫ ПО НАДЗОРУ В СФЕРЕ ЗДРАВООХРАНЕНИЯ ПО ТАМБОВСКОЙ ОБЛАСТИ</w:t>
          </w:r>
        </w:sdtContent>
      </w:sdt>
      <w:r>
        <w:rPr>
          <w:rFonts w:cs="Tahoma"/>
          <w:color w:val="auto"/>
          <w:sz w:val="14"/>
          <w:szCs w:val="14"/>
        </w:rPr>
        <w:t xml:space="preserve">, именуемый в дальнейшем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7482956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2878D138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Предмет договора</w:t>
      </w:r>
      <w:r>
        <w:rPr>
          <w:rFonts w:cs="Tahoma"/>
          <w:color w:val="auto"/>
          <w:sz w:val="14"/>
          <w:szCs w:val="14"/>
        </w:rPr>
        <w:t> </w:t>
      </w:r>
    </w:p>
    <w:p w14:paraId="3DFF1A66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По настоящему договору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7476931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7474422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19"/>
        <w:tblW w:w="0" w:type="auto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10206"/>
      </w:tblGrid>
      <w:tr w14:paraId="4EDC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284" w:type="dxa"/>
            <w:tcBorders>
              <w:bottom w:val="nil"/>
            </w:tcBorders>
            <w:vAlign w:val="center"/>
          </w:tcPr>
          <w:p w14:paraId="7EA498B6">
            <w:pPr>
              <w:pStyle w:val="11"/>
              <w:numPr>
                <w:ilvl w:val="0"/>
                <w:numId w:val="2"/>
              </w:numPr>
              <w:spacing w:before="0" w:after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0206" w:type="dxa"/>
            <w:tcBorders>
              <w:bottom w:val="nil"/>
            </w:tcBorders>
            <w:vAlign w:val="center"/>
          </w:tcPr>
          <w:p w14:paraId="0B838045">
            <w:pPr>
              <w:spacing w:before="0" w:after="0"/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147461928"/>
              </w:sdtPr>
              <w:sdtContent>
                <w:r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Права использования Saby Report, Базовый Бюджет</w:t>
                </w:r>
              </w:sdtContent>
            </w:sdt>
            <w:r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- </w:t>
            </w:r>
            <w:sdt>
              <w:sdt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147460737"/>
              </w:sdtPr>
              <w:sdtContent>
                <w:r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1</w:t>
                </w:r>
              </w:sdtContent>
            </w:sdt>
            <w:r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шт. </w:t>
            </w:r>
            <w:sdt>
              <w:sdt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'Лицензии Сбис' || &lt;Документ.Номенклатура с комплектами.Тип&gt; == 'Лицензии дополнительные' || &lt;Документ.Номенклатура с комплектами.Тип&gt; == 'Лицензии СБИС с нарядом' || &lt;Документ.Номенклатура с комплектами.Тип&gt; == 'Лицензии Saby с нарядом'|| &lt;Документ.Номенклатура с комплектами.Тип&gt; == 'Лицензии Saby')  || &lt;Документ.Номенклатура с комплектами. Тип&gt; == 'Комплект лицензий' || &lt;Документ.Номенклатура с комплектами.Номер&gt;== 'X7669935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a1d0b1d0b8d18127207c7c20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147466940"/>
              </w:sdtPr>
              <w:sdtContent/>
            </w:sdt>
          </w:p>
        </w:tc>
      </w:tr>
    </w:tbl>
    <w:p w14:paraId="00ACE64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</w:t>
      </w:r>
      <w:sdt>
        <w:sdt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147469320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Лицензиара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Программы </w:t>
      </w:r>
      <w:r>
        <w:fldChar w:fldCharType="begin"/>
      </w:r>
      <w:r>
        <w:instrText xml:space="preserve"> HYPERLINK "https://saby.ru/tariffs" \h </w:instrText>
      </w:r>
      <w:r>
        <w:fldChar w:fldCharType="separate"/>
      </w:r>
      <w:r>
        <w:rPr>
          <w:rStyle w:val="7"/>
          <w:rFonts w:cs="Tahoma"/>
          <w:sz w:val="14"/>
          <w:szCs w:val="14"/>
          <w:lang w:val="en-US"/>
        </w:rPr>
        <w:t>https</w:t>
      </w:r>
      <w:r>
        <w:rPr>
          <w:rStyle w:val="7"/>
          <w:rFonts w:cs="Tahoma"/>
          <w:sz w:val="14"/>
          <w:szCs w:val="14"/>
        </w:rPr>
        <w:t>://</w:t>
      </w:r>
      <w:r>
        <w:rPr>
          <w:rStyle w:val="7"/>
          <w:rFonts w:cs="Tahoma"/>
          <w:sz w:val="14"/>
          <w:szCs w:val="14"/>
          <w:lang w:val="en-US"/>
        </w:rPr>
        <w:t>saby</w:t>
      </w:r>
      <w:r>
        <w:rPr>
          <w:rStyle w:val="7"/>
          <w:rFonts w:cs="Tahoma"/>
          <w:sz w:val="14"/>
          <w:szCs w:val="14"/>
        </w:rPr>
        <w:t>.</w:t>
      </w:r>
      <w:r>
        <w:rPr>
          <w:rStyle w:val="7"/>
          <w:rFonts w:cs="Tahoma"/>
          <w:sz w:val="14"/>
          <w:szCs w:val="14"/>
          <w:lang w:val="en-US"/>
        </w:rPr>
        <w:t>ru</w:t>
      </w:r>
      <w:r>
        <w:rPr>
          <w:rStyle w:val="7"/>
          <w:rFonts w:cs="Tahoma"/>
          <w:sz w:val="14"/>
          <w:szCs w:val="14"/>
        </w:rPr>
        <w:t>/</w:t>
      </w:r>
      <w:r>
        <w:rPr>
          <w:rStyle w:val="7"/>
          <w:rFonts w:cs="Tahoma"/>
          <w:sz w:val="14"/>
          <w:szCs w:val="14"/>
          <w:lang w:val="en-US"/>
        </w:rPr>
        <w:t>tariffs</w:t>
      </w:r>
      <w:r>
        <w:rPr>
          <w:rStyle w:val="7"/>
          <w:rFonts w:cs="Tahoma"/>
          <w:sz w:val="14"/>
          <w:szCs w:val="14"/>
          <w:lang w:val="en-US"/>
        </w:rPr>
        <w:fldChar w:fldCharType="end"/>
      </w:r>
      <w:r>
        <w:fldChar w:fldCharType="begin"/>
      </w:r>
      <w:r>
        <w:instrText xml:space="preserve"> HYPERLINK "http://buh2.sbis.ru" \h </w:instrText>
      </w:r>
      <w:r>
        <w:fldChar w:fldCharType="separate"/>
      </w:r>
      <w:r>
        <w:fldChar w:fldCharType="end"/>
      </w:r>
      <w:r>
        <w:rPr>
          <w:rFonts w:cs="Tahoma"/>
          <w:color w:val="auto"/>
          <w:sz w:val="14"/>
          <w:szCs w:val="14"/>
        </w:rPr>
        <w:t>.</w:t>
      </w:r>
    </w:p>
    <w:p w14:paraId="040B525E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147460027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выделяется аккаунт (личный кабинет) № </w:t>
      </w:r>
      <w:sdt>
        <w:sdtPr>
          <w:alias w:val="{%&lt;Документ.Аккаунт.Номер&gt;%}"/>
          <w:tag w:val="tensor_te_exp:7b253cd094d0bed0bad183d0bcd0b5d0bdd1822ed090d0bad0bad0b0d183d0bdd1822ed09dd0bed0bcd0b5d1803e257d"/>
          <w:id w:val="147459378"/>
          <w:showingPlcHdr/>
        </w:sdtPr>
        <w:sdtContent>
          <w:r>
            <w:rPr>
              <w:lang w:val="ru-RU"/>
            </w:rPr>
            <w:t xml:space="preserve">     </w:t>
          </w:r>
        </w:sdtContent>
      </w:sdt>
      <w:r>
        <w:rPr>
          <w:rFonts w:cs="Tahoma"/>
          <w:color w:val="auto"/>
          <w:sz w:val="14"/>
          <w:szCs w:val="14"/>
        </w:rPr>
        <w:t>. </w:t>
      </w:r>
    </w:p>
    <w:p w14:paraId="41639D71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7471662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Регламенту, опубликованному по адресу </w:t>
      </w:r>
      <w:r>
        <w:fldChar w:fldCharType="begin"/>
      </w:r>
      <w:r>
        <w:instrText xml:space="preserve"> HYPERLINK "https://sbis.ru/reglament%20" \h </w:instrText>
      </w:r>
      <w:r>
        <w:fldChar w:fldCharType="separate"/>
      </w:r>
      <w:r>
        <w:rPr>
          <w:rStyle w:val="7"/>
          <w:rFonts w:cs="Tahoma"/>
          <w:sz w:val="14"/>
          <w:szCs w:val="14"/>
        </w:rPr>
        <w:t>http</w:t>
      </w:r>
      <w:r>
        <w:rPr>
          <w:rStyle w:val="7"/>
          <w:rFonts w:cs="Tahoma"/>
          <w:sz w:val="14"/>
          <w:szCs w:val="14"/>
          <w:lang w:val="en-US"/>
        </w:rPr>
        <w:t>s</w:t>
      </w:r>
      <w:r>
        <w:rPr>
          <w:rStyle w:val="7"/>
          <w:rFonts w:cs="Tahoma"/>
          <w:sz w:val="14"/>
          <w:szCs w:val="14"/>
        </w:rPr>
        <w:t>://saby.ru/reglament</w:t>
      </w:r>
      <w:r>
        <w:rPr>
          <w:rStyle w:val="7"/>
          <w:rFonts w:cs="Tahoma"/>
          <w:sz w:val="14"/>
          <w:szCs w:val="14"/>
        </w:rPr>
        <w:fldChar w:fldCharType="end"/>
      </w:r>
      <w:r>
        <w:rPr>
          <w:rFonts w:cs="Tahoma"/>
          <w:color w:val="auto"/>
          <w:sz w:val="14"/>
          <w:szCs w:val="14"/>
        </w:rPr>
        <w:t xml:space="preserve"> (далее - Регламент). </w:t>
      </w:r>
    </w:p>
    <w:p w14:paraId="1F86EEEC">
      <w:pPr>
        <w:pStyle w:val="11"/>
        <w:numPr>
          <w:ilvl w:val="1"/>
          <w:numId w:val="1"/>
        </w:numPr>
        <w:rPr>
          <w:rFonts w:cs="Tahoma"/>
          <w:color w:val="auto"/>
          <w:sz w:val="14"/>
          <w:szCs w:val="14"/>
        </w:rPr>
      </w:pPr>
      <w:sdt>
        <w:sdt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147482082"/>
        </w:sdtPr>
        <w:sdtContent>
          <w:r>
            <w:rPr>
              <w:rFonts w:cs="Tahoma"/>
              <w:color w:val="auto"/>
              <w:sz w:val="14"/>
              <w:szCs w:val="14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>
        <w:rPr>
          <w:rFonts w:cs="Tahoma"/>
          <w:color w:val="auto"/>
          <w:sz w:val="14"/>
          <w:szCs w:val="14"/>
        </w:rPr>
        <w:t> </w:t>
      </w:r>
    </w:p>
    <w:p w14:paraId="6521D35B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>
        <w:rPr>
          <w:rFonts w:cs="Tahoma"/>
          <w:color w:val="auto"/>
          <w:sz w:val="14"/>
          <w:szCs w:val="14"/>
        </w:rPr>
        <w:t> </w:t>
      </w:r>
    </w:p>
    <w:p w14:paraId="5DB625D8">
      <w:pPr>
        <w:pStyle w:val="11"/>
        <w:numPr>
          <w:ilvl w:val="1"/>
          <w:numId w:val="1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7450972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в течение срока действия настоящего договора обеспечивает работу Программы в соответствии с документацией, опубликованной на </w:t>
      </w:r>
      <w:r>
        <w:fldChar w:fldCharType="begin"/>
      </w:r>
      <w:r>
        <w:instrText xml:space="preserve"> HYPERLINK "https://sbis.ru/tariffs%22" \h </w:instrText>
      </w:r>
      <w:r>
        <w:fldChar w:fldCharType="separate"/>
      </w:r>
      <w:r>
        <w:rPr>
          <w:rStyle w:val="7"/>
          <w:sz w:val="14"/>
          <w:szCs w:val="14"/>
        </w:rPr>
        <w:t>https://saby.ru/tariffs</w:t>
      </w:r>
      <w:r>
        <w:rPr>
          <w:rStyle w:val="7"/>
          <w:sz w:val="14"/>
          <w:szCs w:val="14"/>
        </w:rPr>
        <w:fldChar w:fldCharType="end"/>
      </w:r>
      <w:r>
        <w:rPr>
          <w:rFonts w:cs="Tahoma"/>
          <w:color w:val="auto"/>
          <w:sz w:val="14"/>
          <w:szCs w:val="14"/>
        </w:rPr>
        <w:t xml:space="preserve">, и в рамках прав, указанных в п.1.1 настоящего договора, а также при условии выполнения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47462018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2FD6BCDE">
      <w:pPr>
        <w:pStyle w:val="11"/>
        <w:numPr>
          <w:ilvl w:val="1"/>
          <w:numId w:val="1"/>
        </w:numPr>
        <w:rPr>
          <w:rFonts w:cs="Tahoma"/>
          <w:b/>
          <w:bCs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7478881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color w:val="auto"/>
          <w:sz w:val="14"/>
          <w:szCs w:val="1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147459230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>
        <w:rPr>
          <w:rFonts w:cs="Tahoma"/>
          <w:color w:val="auto"/>
          <w:sz w:val="14"/>
          <w:szCs w:val="14"/>
        </w:rPr>
        <w:t>.</w:t>
      </w:r>
    </w:p>
    <w:p w14:paraId="5C184B9E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7455980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имеет право: </w:t>
      </w:r>
    </w:p>
    <w:p w14:paraId="2B19C45E">
      <w:pPr>
        <w:pStyle w:val="11"/>
        <w:numPr>
          <w:ilvl w:val="2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>
      <w:pPr>
        <w:pStyle w:val="11"/>
        <w:numPr>
          <w:ilvl w:val="2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7478591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обязан: </w:t>
      </w:r>
    </w:p>
    <w:p w14:paraId="3E60EDB9">
      <w:pPr>
        <w:pStyle w:val="11"/>
        <w:numPr>
          <w:ilvl w:val="2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>Оплачивать лицензионные вознаграждения в порядке и в сроки, установленные настоящим договором.</w:t>
      </w:r>
    </w:p>
    <w:p w14:paraId="278CA947">
      <w:pPr>
        <w:pStyle w:val="11"/>
        <w:numPr>
          <w:ilvl w:val="2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eastAsia="Tahoma" w:cs="Tahoma"/>
          <w:color w:val="auto"/>
          <w:sz w:val="14"/>
          <w:szCs w:val="1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r>
        <w:fldChar w:fldCharType="begin"/>
      </w:r>
      <w:r>
        <w:instrText xml:space="preserve"> HYPERLINK "https://saby.ru/tariffs" \h </w:instrText>
      </w:r>
      <w:r>
        <w:fldChar w:fldCharType="separate"/>
      </w:r>
      <w:r>
        <w:rPr>
          <w:rStyle w:val="7"/>
          <w:rFonts w:eastAsia="Tahoma" w:cs="Tahoma"/>
          <w:sz w:val="14"/>
          <w:szCs w:val="14"/>
        </w:rPr>
        <w:t>https://saby.ru/tariffs</w:t>
      </w:r>
      <w:r>
        <w:rPr>
          <w:rStyle w:val="7"/>
          <w:rFonts w:eastAsia="Tahoma" w:cs="Tahoma"/>
          <w:sz w:val="14"/>
          <w:szCs w:val="14"/>
        </w:rPr>
        <w:fldChar w:fldCharType="end"/>
      </w:r>
      <w:r>
        <w:rPr>
          <w:rFonts w:eastAsia="Tahoma" w:cs="Tahoma"/>
          <w:color w:val="auto"/>
          <w:sz w:val="14"/>
          <w:szCs w:val="14"/>
        </w:rPr>
        <w:t xml:space="preserve">, </w:t>
      </w:r>
      <w:r>
        <w:rPr>
          <w:rFonts w:cs="Tahoma"/>
          <w:color w:val="auto"/>
          <w:sz w:val="14"/>
          <w:szCs w:val="14"/>
        </w:rPr>
        <w:t>в  течение  30 (тридцати) календарных дней с даты начала такого использования.</w:t>
      </w:r>
      <w:r>
        <w:rPr>
          <w:rFonts w:eastAsia="Tahoma" w:cs="Tahoma"/>
          <w:color w:val="auto"/>
          <w:sz w:val="14"/>
          <w:szCs w:val="14"/>
        </w:rPr>
        <w:t xml:space="preserve"> </w:t>
      </w:r>
    </w:p>
    <w:p w14:paraId="57E41C4D">
      <w:pPr>
        <w:pStyle w:val="11"/>
        <w:numPr>
          <w:ilvl w:val="2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eastAsia="Tahoma" w:cs="Tahoma"/>
          <w:color w:val="auto"/>
          <w:sz w:val="14"/>
          <w:szCs w:val="1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r>
        <w:fldChar w:fldCharType="begin"/>
      </w:r>
      <w:r>
        <w:instrText xml:space="preserve"> HYPERLINK "https://help.sbis.ru" \h </w:instrText>
      </w:r>
      <w:r>
        <w:fldChar w:fldCharType="separate"/>
      </w:r>
      <w:r>
        <w:rPr>
          <w:rStyle w:val="7"/>
          <w:rFonts w:eastAsia="Tahoma" w:cs="Tahoma"/>
          <w:sz w:val="14"/>
          <w:szCs w:val="14"/>
          <w:lang w:val="en-US"/>
        </w:rPr>
        <w:t>https</w:t>
      </w:r>
      <w:r>
        <w:rPr>
          <w:rStyle w:val="7"/>
          <w:rFonts w:eastAsia="Tahoma" w:cs="Tahoma"/>
          <w:sz w:val="14"/>
          <w:szCs w:val="14"/>
        </w:rPr>
        <w:t>://</w:t>
      </w:r>
      <w:r>
        <w:rPr>
          <w:rStyle w:val="7"/>
          <w:rFonts w:eastAsia="Tahoma" w:cs="Tahoma"/>
          <w:sz w:val="14"/>
          <w:szCs w:val="14"/>
          <w:lang w:val="en-US"/>
        </w:rPr>
        <w:t>help</w:t>
      </w:r>
      <w:r>
        <w:rPr>
          <w:rStyle w:val="7"/>
          <w:rFonts w:eastAsia="Tahoma" w:cs="Tahoma"/>
          <w:sz w:val="14"/>
          <w:szCs w:val="14"/>
        </w:rPr>
        <w:t>.</w:t>
      </w:r>
      <w:r>
        <w:rPr>
          <w:rStyle w:val="7"/>
          <w:rFonts w:eastAsia="Tahoma" w:cs="Tahoma"/>
          <w:sz w:val="14"/>
          <w:szCs w:val="14"/>
          <w:lang w:val="en-US"/>
        </w:rPr>
        <w:t>saby</w:t>
      </w:r>
      <w:r>
        <w:rPr>
          <w:rStyle w:val="7"/>
          <w:rFonts w:eastAsia="Tahoma" w:cs="Tahoma"/>
          <w:sz w:val="14"/>
          <w:szCs w:val="14"/>
        </w:rPr>
        <w:t>.</w:t>
      </w:r>
      <w:r>
        <w:rPr>
          <w:rStyle w:val="7"/>
          <w:rFonts w:eastAsia="Tahoma" w:cs="Tahoma"/>
          <w:sz w:val="14"/>
          <w:szCs w:val="14"/>
          <w:lang w:val="en-US"/>
        </w:rPr>
        <w:t>ru</w:t>
      </w:r>
      <w:r>
        <w:rPr>
          <w:rStyle w:val="7"/>
          <w:rFonts w:eastAsia="Tahoma" w:cs="Tahoma"/>
          <w:sz w:val="14"/>
          <w:szCs w:val="14"/>
          <w:lang w:val="en-US"/>
        </w:rPr>
        <w:fldChar w:fldCharType="end"/>
      </w:r>
      <w:r>
        <w:rPr>
          <w:rFonts w:eastAsia="Tahoma" w:cs="Tahoma"/>
          <w:color w:val="auto"/>
          <w:sz w:val="14"/>
          <w:szCs w:val="14"/>
        </w:rPr>
        <w:t>.</w:t>
      </w:r>
    </w:p>
    <w:p w14:paraId="4C2BDF56">
      <w:pPr>
        <w:pStyle w:val="11"/>
        <w:spacing w:before="0" w:after="0"/>
        <w:ind w:left="0"/>
        <w:textAlignment w:val="baseline"/>
        <w:rPr>
          <w:rFonts w:eastAsia="Tahoma" w:cs="Tahoma"/>
          <w:color w:val="auto"/>
          <w:sz w:val="14"/>
          <w:szCs w:val="14"/>
        </w:rPr>
      </w:pPr>
      <w:r>
        <w:rPr>
          <w:rFonts w:eastAsia="Tahoma" w:cs="Tahoma"/>
          <w:color w:val="auto"/>
          <w:sz w:val="14"/>
          <w:szCs w:val="14"/>
        </w:rPr>
        <w:t xml:space="preserve"> </w:t>
      </w:r>
    </w:p>
    <w:p w14:paraId="4E506093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>
        <w:rPr>
          <w:rFonts w:cs="Tahoma"/>
          <w:color w:val="auto"/>
          <w:sz w:val="14"/>
          <w:szCs w:val="14"/>
        </w:rPr>
        <w:t> </w:t>
      </w:r>
    </w:p>
    <w:p w14:paraId="7C95CFB3">
      <w:pPr>
        <w:pStyle w:val="11"/>
        <w:numPr>
          <w:ilvl w:val="1"/>
          <w:numId w:val="1"/>
        </w:numPr>
        <w:spacing w:before="0" w:after="0"/>
        <w:textAlignment w:val="baseline"/>
        <w:rPr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Стоимость неисключительных прав, передаваемых по настоящему договору, составляет </w:t>
      </w:r>
      <w:sdt>
        <w:sdtPr>
          <w:alias w:val="{%getSumDogovor()%}"/>
          <w:tag w:val="tensor_te_exp:7b2567657453756d446f676f766f722829257d"/>
          <w:id w:val="147451037"/>
          <w:showingPlcHdr/>
        </w:sdtPr>
        <w:sdtContent>
          <w:bookmarkStart w:id="0" w:name="_GoBack"/>
          <w:bookmarkEnd w:id="0"/>
          <w:r>
            <w:rPr>
              <w:lang w:val="ru-RU"/>
            </w:rPr>
            <w:t xml:space="preserve">     </w:t>
          </w:r>
        </w:sdtContent>
      </w:sdt>
      <w:r>
        <w:rPr>
          <w:rFonts w:cs="Tahoma"/>
          <w:color w:val="auto"/>
          <w:sz w:val="14"/>
          <w:szCs w:val="14"/>
        </w:rPr>
        <w:t>рублей</w:t>
      </w:r>
      <w:sdt>
        <w:sdt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147454799"/>
        </w:sdtPr>
        <w:sdtContent>
          <w:r>
            <w:rPr>
              <w:color w:val="auto"/>
              <w:sz w:val="14"/>
              <w:szCs w:val="14"/>
            </w:rPr>
            <w:t xml:space="preserve"> (НДС не облагается, в соответствии пп. 26 п.2 ст. 149 НК РФ)</w:t>
          </w:r>
        </w:sdtContent>
      </w:sdt>
      <w:r>
        <w:rPr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 </w:t>
      </w:r>
    </w:p>
    <w:p w14:paraId="1A4E003D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Оплата по настоящему Договору осуществляется </w:t>
      </w:r>
      <w:sdt>
        <w:sdtPr>
          <w:alias w:val="{%&lt;Наша организация.Дополнительно.ИНН&gt; == '7605016030' ? &quot;Лицензиатом&quot; : &quot;Сублицензиатом&quot;%}"/>
          <w:tag w:val="tensor_te_exp:7b253cd09dd0b0d188d0b020d0bed180d0b3d0b0d0bdd0b8d0b7d0b0d186d0b8d18f2ed094d0bed0bfd0bed0bbd0bdd0b8d182d0b5d0bbd18cd0bdd0be2ed098d09dd09d3e203d3d20273736303530313630333027203f2022d09bd0b8d186d0b5d0bdd0b7d0b8d0b0d182d0bed0bc22203a2022d0a1d183d0b1d0bbd0b8d186d0b5d0bdd0b7d0b8d0b0d182d0bed0bc22257d"/>
          <w:id w:val="147472487"/>
        </w:sdtPr>
        <w:sdtContent>
          <w:r>
            <w:rPr>
              <w:rFonts w:cs="Tahoma"/>
              <w:color w:val="auto"/>
              <w:sz w:val="14"/>
              <w:szCs w:val="14"/>
            </w:rPr>
            <w:t>Лицензиатом</w:t>
          </w:r>
        </w:sdtContent>
      </w:sdt>
      <w:r>
        <w:rPr>
          <w:rFonts w:cs="Tahoma"/>
          <w:color w:val="auto"/>
          <w:sz w:val="14"/>
          <w:szCs w:val="14"/>
        </w:rPr>
        <w:t xml:space="preserve"> на основании счета в срок до </w:t>
      </w:r>
      <w:sdt>
        <w:sdtPr>
          <w:alias w:val="{%ФорматДата(&lt;Документ.Срок оплаты&gt;)%}"/>
          <w:tag w:val="tensor_te_exp:7b25d0a4d0bed180d0bcd0b0d182d094d0b0d182d0b0283cd094d0bed0bad183d0bcd0b5d0bdd1822ed0a1d180d0bed0ba20d0bed0bfd0bbd0b0d182d18b3e29257d"/>
          <w:id w:val="147480555"/>
        </w:sdtPr>
        <w:sdtContent>
          <w:r>
            <w:rPr>
              <w:rFonts w:cs="Tahoma"/>
              <w:color w:val="auto"/>
              <w:sz w:val="14"/>
              <w:szCs w:val="14"/>
            </w:rPr>
            <w:t>28.05.2026</w:t>
          </w:r>
        </w:sdtContent>
      </w:sdt>
      <w:r>
        <w:rPr>
          <w:rFonts w:cs="Tahoma"/>
          <w:color w:val="auto"/>
          <w:sz w:val="14"/>
          <w:szCs w:val="14"/>
        </w:rPr>
        <w:t>.</w:t>
      </w:r>
    </w:p>
    <w:p w14:paraId="57EAFC3E">
      <w:pPr>
        <w:pStyle w:val="11"/>
        <w:numPr>
          <w:ilvl w:val="1"/>
          <w:numId w:val="1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>Стороны договорились, что к их отношениям по настоящему договору нормы ст.317.1. ГК РФ не применяются.</w:t>
      </w:r>
    </w:p>
    <w:p w14:paraId="3D6BE187">
      <w:pPr>
        <w:pStyle w:val="11"/>
        <w:numPr>
          <w:ilvl w:val="1"/>
          <w:numId w:val="1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>
        <w:rPr>
          <w:rFonts w:eastAsia="Tahoma" w:cs="Tahoma"/>
          <w:color w:val="auto"/>
          <w:sz w:val="14"/>
          <w:szCs w:val="14"/>
        </w:rPr>
        <w:t>На момент заключения Договора лицензионное вознаграждение, выплачиваемое Лицензиатом, НДС не облагается, в соответствии пп. 26 п.2 ст. 149 НК РФ. С момента, когда совершаемые между Сторонами операции по настоящему Договору становятся облагаемыми НДС, вследствие изменения законодательства, лицензионное вознаграждение, указанное в Договоре, должно быть увеличено на сумму НДС, установленную законодательством.</w:t>
      </w:r>
    </w:p>
    <w:p w14:paraId="5C72249F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21F3DC5A">
      <w:pPr>
        <w:pStyle w:val="11"/>
        <w:numPr>
          <w:ilvl w:val="1"/>
          <w:numId w:val="1"/>
        </w:numPr>
        <w:spacing w:before="0" w:after="0"/>
        <w:textAlignment w:val="baseline"/>
        <w:rPr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Настоящий договор вступает в силу с момента подписания и действует до полного исполнения его Сторонами. Срок действия неисключительных прав с </w:t>
      </w:r>
      <w:sdt>
        <w:sdtPr>
          <w:alias w:val="{%var arr = &lt;Документ.Номенклатура&gt;, flag_sms = 0, date=new Date(&lt;Документ.Аккаунт.Дата начала&gt;),result; for (var i=0;i&lt;arr.length; 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result=ФорматДата(date,'%d.%m.%Y'); if (flag_sms == arr.length) result = ''; if (result == '01.01.1970' || result =='') return ФорматДата(&lt;Документ.Дата создания&gt;); else return result;%}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147467789"/>
        </w:sdtPr>
        <w:sdtContent>
          <w:r>
            <w:rPr>
              <w:rFonts w:cs="Tahoma"/>
              <w:color w:val="auto"/>
              <w:sz w:val="14"/>
              <w:szCs w:val="14"/>
            </w:rPr>
            <w:t>28.04.2026</w:t>
          </w:r>
        </w:sdtContent>
      </w:sdt>
      <w:r>
        <w:rPr>
          <w:rFonts w:cs="Tahoma"/>
          <w:color w:val="auto"/>
          <w:sz w:val="14"/>
          <w:szCs w:val="14"/>
        </w:rPr>
        <w:t xml:space="preserve"> по </w:t>
      </w:r>
      <w:sdt>
        <w:sdtPr>
          <w:alias w:val="{%var arr_discount = &lt;Документ.Скидки&gt;, discount = 0, date=new Date(&lt;Документ.Аккаунт.Дата окончания&gt;),result, T = new Date(&lt;Документ.Дата создания&gt;), arr = &lt;Документ.Номенклатура&gt;, flag_sms=0; for (var i=0;i&lt;arr.length;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T.setFullYear(T.getFullYear()+1); T.setDate(T.getDate()-1); result=ФорматДата(date,'%d.%m.%Y'); if (flag_sms == arr.length) result = ''; if (result == '01.01.1970' || result =='') return ФорматДата(T); else return result;%}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147460714"/>
        </w:sdtPr>
        <w:sdtContent>
          <w:r>
            <w:rPr>
              <w:rFonts w:cs="Tahoma"/>
              <w:color w:val="auto"/>
              <w:sz w:val="14"/>
              <w:szCs w:val="14"/>
            </w:rPr>
            <w:t>27.04.2027</w:t>
          </w:r>
        </w:sdtContent>
      </w:sdt>
      <w:r>
        <w:rPr>
          <w:rFonts w:cs="Tahoma"/>
          <w:color w:val="auto"/>
          <w:sz w:val="14"/>
          <w:szCs w:val="14"/>
        </w:rPr>
        <w:t xml:space="preserve">. 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способом указанным в п.3.1 настоящего договора. </w:t>
      </w:r>
    </w:p>
    <w:p w14:paraId="19C6AA29">
      <w:pPr>
        <w:pStyle w:val="11"/>
        <w:numPr>
          <w:ilvl w:val="1"/>
          <w:numId w:val="1"/>
        </w:numPr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147471001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color w:val="auto"/>
          <w:sz w:val="14"/>
          <w:szCs w:val="14"/>
        </w:rPr>
        <w:t xml:space="preserve"> в течение 5 (пяти) рабочих дней после передачи неисключительных прав, перечисленных в п. 1.1, представляет </w:t>
      </w:r>
      <w:sdt>
        <w:sdtPr>
          <w:alias w:val="{%&lt;Наша организация.Дополнительно.ИНН&gt; == '7605016030' ? &quot;Лицензиату&quot; : &quot;Суб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2d18322203a2022d0a1d183d0b1d0bbd0b8d186d0b5d0bdd0b7d0b8d0b0d182d18322257d"/>
          <w:id w:val="147471753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>
        <w:rPr>
          <w:rFonts w:cs="Tahoma"/>
          <w:color w:val="auto"/>
          <w:sz w:val="14"/>
          <w:szCs w:val="14"/>
        </w:rPr>
        <w:t xml:space="preserve"> Акт приема-передачи неисключительных прав  или УПД в двух экземплярах. </w:t>
      </w:r>
      <w:sdt>
        <w:sdtPr>
          <w:alias w:val="{%&lt;Наша организация.Дополнительно.ИНН&gt; == '7605016030' ? &quot;Лицензиат&quot; : &quot;Суб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222203a2022d0a1d183d0b1d0bbd0b8d186d0b5d0bdd0b7d0b8d0b0d18222257d"/>
          <w:id w:val="147460179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>
        <w:rPr>
          <w:rFonts w:cs="Tahoma"/>
          <w:color w:val="auto"/>
          <w:sz w:val="14"/>
          <w:szCs w:val="14"/>
        </w:rPr>
        <w:t xml:space="preserve"> обязан рассмотреть и подписать Акт приема-передачи неисключительных прав или УПД в течение 5 (пяти) рабочих дней с момента его выставления, либо предоставить </w:t>
      </w:r>
      <w:sdt>
        <w:sdtPr>
          <w:alias w:val="{%&lt;Наша организация.Дополнительно.ИНН&gt; == '7605016030' ? &quot;Лицензиару&quot; : &quot;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0d18322203a2022d09bd0b8d186d0b5d0bdd0b7d0b8d0b0d182d18322257d"/>
          <w:id w:val="147479285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Лицензиару</w:t>
          </w:r>
        </w:sdtContent>
      </w:sdt>
      <w:r>
        <w:rPr>
          <w:rFonts w:cs="Tahoma"/>
          <w:color w:val="auto"/>
          <w:sz w:val="14"/>
          <w:szCs w:val="14"/>
        </w:rPr>
        <w:t xml:space="preserve"> мотивированный отказ. В противном случае, Акт приема-передачи неисключительных прав или УПД считается утвержденным, а права принятыми. </w:t>
      </w:r>
    </w:p>
    <w:p w14:paraId="7AE0076C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Ответственность сторон</w:t>
      </w:r>
    </w:p>
    <w:p w14:paraId="7F89BABC">
      <w:pPr>
        <w:pStyle w:val="11"/>
        <w:numPr>
          <w:ilvl w:val="1"/>
          <w:numId w:val="1"/>
        </w:numPr>
        <w:rPr>
          <w:rFonts w:cs="Tahoma"/>
          <w:b/>
          <w:bCs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За нарушение срока оплаты (п. 3.2 Договора) </w:t>
      </w:r>
      <w:sdt>
        <w:sdt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147452066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вправе требовать с </w:t>
      </w:r>
      <w:sdt>
        <w:sdtPr>
          <w:alias w:val="{%&lt;Наша организация.Дополнительно.ИНН&gt; == '7605016030' ? &quot;Лицензиата&quot; : &quot;Сублицензиата&quot;%}"/>
          <w:tag w:val="tensor_te_exp:7b253cd09dd0b0d188d0b020d0bed180d0b3d0b0d0bdd0b8d0b7d0b0d186d0b8d18f2ed094d0bed0bfd0bed0bbd0bdd0b8d182d0b5d0bbd18cd0bdd0be2ed098d09dd09d3e203d3d20273736303530313630333027203f2022d09bd0b8d186d0b5d0bdd0b7d0b8d0b0d182d0b022203a2022d0a1d183d0b1d0bbd0b8d186d0b5d0bdd0b7d0b8d0b0d182d0b022257d"/>
          <w:id w:val="147477293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уплаты неустойки (пеней) в размере 0,1 (одной десятой) процента от неуплаченной суммы за каждый день просрочки.</w:t>
      </w:r>
    </w:p>
    <w:p w14:paraId="03BC8929">
      <w:pPr>
        <w:pStyle w:val="11"/>
        <w:numPr>
          <w:ilvl w:val="1"/>
          <w:numId w:val="1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В случае нарушения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47452905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п.3, п.2.4 настоящего договора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7480433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 xml:space="preserve">вправе досрочно расторгнуть настоящий Договор и заблокировать использование Программы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47455791"/>
        </w:sdtPr>
        <w:sdtContent>
          <w:r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>
        <w:rPr>
          <w:rFonts w:cs="Tahoma"/>
          <w:b/>
          <w:bCs/>
          <w:color w:val="auto"/>
          <w:sz w:val="14"/>
          <w:szCs w:val="14"/>
        </w:rPr>
        <w:t xml:space="preserve"> </w:t>
      </w:r>
      <w:r>
        <w:rPr>
          <w:rFonts w:cs="Tahoma"/>
          <w:color w:val="auto"/>
          <w:sz w:val="14"/>
          <w:szCs w:val="14"/>
        </w:rPr>
        <w:t>без предварительного уведомления.</w:t>
      </w:r>
    </w:p>
    <w:p w14:paraId="2A492652">
      <w:pPr>
        <w:pStyle w:val="11"/>
        <w:numPr>
          <w:ilvl w:val="0"/>
          <w:numId w:val="1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b/>
          <w:bCs/>
          <w:color w:val="auto"/>
          <w:sz w:val="14"/>
          <w:szCs w:val="14"/>
        </w:rPr>
        <w:t>Реквизиты сторон</w:t>
      </w:r>
    </w:p>
    <w:tbl>
      <w:tblPr>
        <w:tblStyle w:val="4"/>
        <w:tblW w:w="0" w:type="auto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1"/>
        <w:gridCol w:w="4955"/>
      </w:tblGrid>
      <w:tr w14:paraId="686E0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526" w:type="dxa"/>
            <w:vAlign w:val="center"/>
          </w:tcPr>
          <w:p w14:paraId="534FEA5C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Головная организация.Дополнительно.ИНН&gt; == &quot;7605016030&quot; ? &quot;ЛИЦЕНЗИАР&quot; : &quot;ЛИЦЕНЗИАТ&quot;%}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147478080"/>
              </w:sdtPr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147478077"/>
                <w:showingPlcHdr/>
              </w:sdtPr>
              <w:sdtContent>
                <w:r>
                  <w:rPr>
                    <w:lang w:val="ru-RU"/>
                  </w:rPr>
                  <w:t xml:space="preserve">     </w:t>
                </w:r>
              </w:sdtContent>
            </w:sdt>
          </w:p>
        </w:tc>
        <w:tc>
          <w:tcPr>
            <w:tcW w:w="4910" w:type="dxa"/>
            <w:vAlign w:val="center"/>
          </w:tcPr>
          <w:p w14:paraId="3BDEABB5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14:paraId="3033A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  <w:tblCellSpacing w:w="15" w:type="dxa"/>
        </w:trPr>
        <w:tc>
          <w:tcPr>
            <w:tcW w:w="5526" w:type="dxa"/>
            <w:vAlign w:val="center"/>
          </w:tcPr>
          <w:tbl>
            <w:tblPr>
              <w:tblStyle w:val="4"/>
              <w:tblW w:w="5529" w:type="dxa"/>
              <w:tblCellSpacing w:w="15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55"/>
              <w:gridCol w:w="4674"/>
            </w:tblGrid>
            <w:tr w14:paraId="617F89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5F4B5813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687EBF58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Головная организация.Дополнительно.ИНН&gt;%}"/>
                      <w:tag w:val="tensor_te_exp:7b253cd093d0bed0bbd0bed0b2d0bdd0b0d18f20d0bed180d0b3d0b0d0bdd0b8d0b7d0b0d186d0b8d18f2ed094d0bed0bfd0bed0bbd0bdd0b8d182d0b5d0bbd18cd0bdd0be2ed098d09dd09d3e257d"/>
                      <w:id w:val="147459720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  <w:sdt>
                    <w:sdtPr>
                      <w:alias w:val="{%&lt;Наша организация.Дополнительно.КПП&gt;%}"/>
                      <w:tag w:val="tensor_te_exp:7b253cd09dd0b0d188d0b020d0bed180d0b3d0b0d0bdd0b8d0b7d0b0d186d0b8d18f2ed094d0bed0bfd0bed0bbd0bdd0b8d182d0b5d0bbd18cd0bdd0be2ed09ad09fd09f3e257d"/>
                      <w:id w:val="147465589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</w:p>
              </w:tc>
            </w:tr>
            <w:tr w14:paraId="0BF780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7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4BCA1FC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Адрес: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039F2913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147466134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</w:p>
              </w:tc>
            </w:tr>
            <w:tr w14:paraId="7527E3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9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1044E0C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Р/С: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0D32E92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147454346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</w:p>
              </w:tc>
            </w:tr>
            <w:tr w14:paraId="3EB9E9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7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163E27B1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69856D2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Банк.Название&gt;%}"/>
                      <w:tag w:val="tensor_te_exp:7b253cd094d0bed0bad183d0bcd0b5d0bdd1822ed0a0d0b0d181d187d0b5d182d0bdd18bd0b920d181d187d0b5d1822ed091d0b0d0bdd0ba2ed09dd0b0d0b7d0b2d0b0d0bdd0b8d0b53e257d"/>
                      <w:id w:val="147469173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  <w:sdt>
                    <w:sdtPr>
                      <w:alias w:val="{%&lt;Документ.Расчетный счет.Банк.Город&gt;%}"/>
                      <w:tag w:val="tensor_te_exp:7b253cd094d0bed0bad183d0bcd0b5d0bdd1822ed0a0d0b0d181d187d0b5d182d0bdd18bd0b920d181d187d0b5d1822ed091d0b0d0bdd0ba2ed093d0bed180d0bed0b43e257d"/>
                      <w:id w:val="147459052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</w:p>
              </w:tc>
            </w:tr>
            <w:tr w14:paraId="7C85DF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7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D3EEBD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71EBC232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147451697"/>
                      <w:showingPlcHdr/>
                    </w:sdtPr>
                    <w:sdtContent>
                      <w:r>
                        <w:rPr>
                          <w:lang w:val="ru-RU"/>
                        </w:rPr>
                        <w:t xml:space="preserve">     </w:t>
                      </w:r>
                    </w:sdtContent>
                  </w:sdt>
                </w:p>
              </w:tc>
            </w:tr>
            <w:tr w14:paraId="339FCB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9" w:hRule="atLeast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6DBAAD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К/C:</w:t>
                  </w:r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243580E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45D5108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</w:tcPr>
          <w:p w14:paraId="5AFA4EA9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</w:t>
            </w:r>
            <w:r>
              <w:br w:type="textWrapping"/>
            </w:r>
            <w:sdt>
              <w:sdt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147476534"/>
              </w:sdtPr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>
              <w:br w:type="textWrapping"/>
            </w:r>
          </w:p>
          <w:p w14:paraId="4FA8906C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____________________ /______________ </w:t>
            </w:r>
            <w:r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10B94FB6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14:paraId="11D38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526" w:type="dxa"/>
            <w:vAlign w:val="center"/>
          </w:tcPr>
          <w:p w14:paraId="49E9CF75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147482064"/>
              </w:sdtPr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147466193"/>
              </w:sdtPr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 xml:space="preserve">ТЕРРИТОРИАЛЬНЫЙ ОРГАН ФЕДЕРАЛЬНОЙ СЛУЖБЫ ПО НАДЗОРУ В СФЕРЕ </w:t>
                </w:r>
              </w:sdtContent>
            </w:sdt>
            <w:r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</w:tcPr>
          <w:p w14:paraId="29C8A7A1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14:paraId="3776A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526" w:type="dxa"/>
            <w:vAlign w:val="center"/>
          </w:tcPr>
          <w:tbl>
            <w:tblPr>
              <w:tblStyle w:val="4"/>
              <w:tblW w:w="5529" w:type="dxa"/>
              <w:tblCellSpacing w:w="15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82"/>
              <w:gridCol w:w="4647"/>
            </w:tblGrid>
            <w:tr w14:paraId="5979E9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" w:hRule="atLeast"/>
                <w:tblCellSpacing w:w="15" w:type="dxa"/>
              </w:trPr>
              <w:tc>
                <w:tcPr>
                  <w:tcW w:w="806" w:type="dxa"/>
                  <w:vAlign w:val="center"/>
                </w:tcPr>
                <w:p w14:paraId="7A58B449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</w:tcPr>
                <w:p w14:paraId="380957C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147472498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6829018057</w:t>
                      </w:r>
                    </w:sdtContent>
                  </w:sdt>
                  <w:r>
                    <w:rPr>
                      <w:rFonts w:cs="Tahoma"/>
                      <w:color w:val="auto"/>
                      <w:sz w:val="14"/>
                      <w:szCs w:val="14"/>
                    </w:rPr>
                    <w:t>/</w:t>
                  </w:r>
                  <w:sdt>
                    <w:sdt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147481971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682901001</w:t>
                      </w:r>
                    </w:sdtContent>
                  </w:sdt>
                </w:p>
              </w:tc>
            </w:tr>
            <w:tr w14:paraId="7C6B66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7" w:hRule="atLeast"/>
                <w:tblCellSpacing w:w="15" w:type="dxa"/>
              </w:trPr>
              <w:tc>
                <w:tcPr>
                  <w:tcW w:w="806" w:type="dxa"/>
                </w:tcPr>
                <w:p w14:paraId="35029CA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147474775"/>
                    </w:sdtPr>
                    <w:sdtContent>
                      <w:r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40404387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/*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*/ return &lt;Контрагент.Адрес.Юридический.Исходный&gt;%}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147457603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Тамбовская обл., г.о. город Тамбов, г. Тамбов, ул. Советская, д. 182, 392000</w:t>
                      </w:r>
                    </w:sdtContent>
                  </w:sdt>
                </w:p>
              </w:tc>
            </w:tr>
            <w:tr w14:paraId="56DEC9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" w:hRule="atLeast"/>
                <w:tblCellSpacing w:w="15" w:type="dxa"/>
              </w:trPr>
              <w:tc>
                <w:tcPr>
                  <w:tcW w:w="806" w:type="dxa"/>
                </w:tcPr>
                <w:p w14:paraId="3F55F770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147468745"/>
                    </w:sdtPr>
                    <w:sdtContent>
                      <w:r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600264B8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03234643977010001500'; else if (&lt;Контрагент.Основной расчетный счет.Номер&gt;) return &lt;Контрагент.Основной расчетный счет.Номер&gt;;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147452972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40105810000000010001</w:t>
                      </w:r>
                    </w:sdtContent>
                  </w:sdt>
                </w:p>
              </w:tc>
            </w:tr>
            <w:tr w14:paraId="0E94BE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1" w:hRule="atLeast"/>
                <w:tblCellSpacing w:w="15" w:type="dxa"/>
              </w:trPr>
              <w:tc>
                <w:tcPr>
                  <w:tcW w:w="806" w:type="dxa"/>
                </w:tcPr>
                <w:p w14:paraId="3BDD5C60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147479218"/>
                    </w:sdtPr>
                    <w:sdtContent>
                      <w:r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362D9AB4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ОТДЕЛЕНИЕ-НБ ЧУВАШСКАЯ РЕСПУБЛИКА БАНКА РОССИИ//УФК по Чувашской Республике'; else if (&lt;Контрагент.Основной расчетный счет.Банк.Название&gt;) return &lt;Контрагент.Основной расчетный счет.Банк.Название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"/>
                      <w:id w:val="147482725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ОТДЕЛЕНИЕ ТАМБОВ</w:t>
                      </w:r>
                    </w:sdtContent>
                  </w:sdt>
                  <w:sdt>
                    <w:sdtPr>
                      <w:alias w:val="{% if (&lt;Документ.Аккаунт.Номер&gt; == '2056099' || &lt;Документ.Аккаунт.Номер&gt; == '2052405') return ' г. Чебоксары'; else if (&lt;Контрагент.Основной расчетный счет.Банк.Город&gt;) return ', '+&lt;Контрагент.Основной расчетный счет.Банк.Город&gt;; else return '';%}"/>
                      <w:tag w:val="tensor_te_exp: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"/>
                      <w:id w:val="147479692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, ТАМБОВ</w:t>
                      </w:r>
                    </w:sdtContent>
                  </w:sdt>
                </w:p>
              </w:tc>
            </w:tr>
            <w:tr w14:paraId="7D5F5B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8" w:hRule="atLeast"/>
                <w:tblCellSpacing w:w="15" w:type="dxa"/>
              </w:trPr>
              <w:tc>
                <w:tcPr>
                  <w:tcW w:w="806" w:type="dxa"/>
                </w:tcPr>
                <w:p w14:paraId="7B56C600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147473700"/>
                    </w:sdtPr>
                    <w:sdtContent>
                      <w:r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4AF6E942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019706900'; else if (&lt;Контрагент.Основной расчетный счет.Банк.БИК&gt;) return &lt;Контрагент.Основной расчетный счет.Банк.БИК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147465668"/>
                    </w:sdtPr>
                    <w:sdtContent>
                      <w:r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046850001</w:t>
                      </w:r>
                    </w:sdtContent>
                  </w:sdt>
                </w:p>
              </w:tc>
            </w:tr>
            <w:tr w14:paraId="3C187D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9" w:hRule="atLeast"/>
                <w:tblCellSpacing w:w="15" w:type="dxa"/>
              </w:trPr>
              <w:tc>
                <w:tcPr>
                  <w:tcW w:w="806" w:type="dxa"/>
                </w:tcPr>
                <w:p w14:paraId="4E398ACA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147470331"/>
                    </w:sdtPr>
                    <w:sdtContent/>
                  </w:sdt>
                </w:p>
              </w:tc>
              <w:tc>
                <w:tcPr>
                  <w:tcW w:w="4633" w:type="dxa"/>
                </w:tcPr>
                <w:p w14:paraId="108E3F21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147462948"/>
                    </w:sdtPr>
                    <w:sdtContent/>
                  </w:sdt>
                </w:p>
              </w:tc>
            </w:tr>
            <w:tr w14:paraId="42BDEE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9" w:hRule="atLeast"/>
                <w:tblCellSpacing w:w="15" w:type="dxa"/>
              </w:trPr>
              <w:tc>
                <w:tcPr>
                  <w:tcW w:w="851" w:type="dxa"/>
                </w:tcPr>
                <w:p w14:paraId="128042B1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147472912"/>
                    </w:sdtPr>
                    <w:sdtContent/>
                  </w:sdt>
                </w:p>
              </w:tc>
              <w:tc>
                <w:tcPr>
                  <w:tcW w:w="4678" w:type="dxa"/>
                </w:tcPr>
                <w:p w14:paraId="5D8B4409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147473060"/>
                    </w:sdtPr>
                    <w:sdtContent/>
                  </w:sdt>
                </w:p>
              </w:tc>
            </w:tr>
          </w:tbl>
          <w:p w14:paraId="0B82E166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</w:tcPr>
          <w:p w14:paraId="370DB27D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</w:t>
            </w:r>
            <w:r>
              <w:br w:type="textWrapping"/>
            </w: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147451187"/>
              </w:sdtPr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>
              <w:br w:type="textWrapping"/>
            </w:r>
          </w:p>
          <w:p w14:paraId="2385343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4831BEE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5E1F6A0B"/>
    <w:p w14:paraId="6019C6BC"/>
    <w:sectPr>
      <w:pgSz w:w="11906" w:h="16838"/>
      <w:pgMar w:top="567" w:right="680" w:bottom="568" w:left="68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6A2FAA"/>
    <w:multiLevelType w:val="multilevel"/>
    <w:tmpl w:val="206A2FAA"/>
    <w:lvl w:ilvl="0" w:tentative="0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D7B5396"/>
    <w:multiLevelType w:val="multilevel"/>
    <w:tmpl w:val="6D7B5396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C4B05"/>
    <w:rsid w:val="001E1AD0"/>
    <w:rsid w:val="001E336B"/>
    <w:rsid w:val="001F46B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B29AF"/>
    <w:rsid w:val="002E02E7"/>
    <w:rsid w:val="002E1AE9"/>
    <w:rsid w:val="002F2407"/>
    <w:rsid w:val="003031F4"/>
    <w:rsid w:val="00355F9B"/>
    <w:rsid w:val="00365B8E"/>
    <w:rsid w:val="00367BB2"/>
    <w:rsid w:val="00377FC8"/>
    <w:rsid w:val="003925C1"/>
    <w:rsid w:val="003927B8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14685"/>
    <w:rsid w:val="00522782"/>
    <w:rsid w:val="00523A43"/>
    <w:rsid w:val="00526555"/>
    <w:rsid w:val="00547841"/>
    <w:rsid w:val="00576565"/>
    <w:rsid w:val="00576F61"/>
    <w:rsid w:val="00584516"/>
    <w:rsid w:val="00585047"/>
    <w:rsid w:val="00591F2C"/>
    <w:rsid w:val="005A2B1E"/>
    <w:rsid w:val="005A469D"/>
    <w:rsid w:val="005B63D7"/>
    <w:rsid w:val="005D3B10"/>
    <w:rsid w:val="005E0E86"/>
    <w:rsid w:val="005E2B1F"/>
    <w:rsid w:val="005E480D"/>
    <w:rsid w:val="005E4A0C"/>
    <w:rsid w:val="005F21E9"/>
    <w:rsid w:val="006134F9"/>
    <w:rsid w:val="00622696"/>
    <w:rsid w:val="0069570D"/>
    <w:rsid w:val="006A5C45"/>
    <w:rsid w:val="006A5DA8"/>
    <w:rsid w:val="006A7C3A"/>
    <w:rsid w:val="006B6EAB"/>
    <w:rsid w:val="006D5C1C"/>
    <w:rsid w:val="0071310D"/>
    <w:rsid w:val="0073262A"/>
    <w:rsid w:val="00735108"/>
    <w:rsid w:val="00742198"/>
    <w:rsid w:val="007424F4"/>
    <w:rsid w:val="0078588A"/>
    <w:rsid w:val="007860A6"/>
    <w:rsid w:val="00787A8E"/>
    <w:rsid w:val="00793345"/>
    <w:rsid w:val="007A4E13"/>
    <w:rsid w:val="007A5AAA"/>
    <w:rsid w:val="007B6550"/>
    <w:rsid w:val="007C0D2A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3209"/>
    <w:rsid w:val="00AF55AF"/>
    <w:rsid w:val="00B04466"/>
    <w:rsid w:val="00B133C9"/>
    <w:rsid w:val="00B32FAA"/>
    <w:rsid w:val="00B33B6E"/>
    <w:rsid w:val="00B3669B"/>
    <w:rsid w:val="00B61CEC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11FB"/>
    <w:rsid w:val="00CD34A2"/>
    <w:rsid w:val="00CE0D97"/>
    <w:rsid w:val="00CE196B"/>
    <w:rsid w:val="00D04F89"/>
    <w:rsid w:val="00D11EC1"/>
    <w:rsid w:val="00D35562"/>
    <w:rsid w:val="00D47890"/>
    <w:rsid w:val="00D50656"/>
    <w:rsid w:val="00D778C1"/>
    <w:rsid w:val="00D87ADC"/>
    <w:rsid w:val="00D922B6"/>
    <w:rsid w:val="00D96D86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956C4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5626D"/>
    <w:rsid w:val="00F626FB"/>
    <w:rsid w:val="00F822D5"/>
    <w:rsid w:val="00FB3605"/>
    <w:rsid w:val="00FC042F"/>
    <w:rsid w:val="00FC4F07"/>
    <w:rsid w:val="00FD1507"/>
    <w:rsid w:val="00FD61E8"/>
    <w:rsid w:val="00FE1C0E"/>
    <w:rsid w:val="00FE45DF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1C279D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819896"/>
    <w:rsid w:val="62ED1555"/>
    <w:rsid w:val="662769F6"/>
    <w:rsid w:val="6790A7AE"/>
    <w:rsid w:val="680F9587"/>
    <w:rsid w:val="688B0154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4" w:semiHidden="0" w:name="Normal"/>
    <w:lsdException w:qFormat="1" w:unhideWhenUsed="0" w:uiPriority="9" w:semiHidden="0" w:name="heading 1"/>
    <w:lsdException w:qFormat="1" w:unhideWhenUsed="0" w:uiPriority="2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4"/>
    <w:pPr>
      <w:spacing w:before="120" w:after="120" w:line="240" w:lineRule="auto"/>
      <w:jc w:val="both"/>
    </w:pPr>
    <w:rPr>
      <w:rFonts w:ascii="Tahoma" w:hAnsi="Tahoma" w:eastAsia="Times New Roman" w:cs="Times New Roman"/>
      <w:color w:val="16394F"/>
      <w:sz w:val="20"/>
      <w:szCs w:val="20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2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ndnote reference"/>
    <w:basedOn w:val="3"/>
    <w:semiHidden/>
    <w:unhideWhenUsed/>
    <w:uiPriority w:val="99"/>
    <w:rPr>
      <w:vertAlign w:val="superscript"/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endnote text"/>
    <w:basedOn w:val="1"/>
    <w:link w:val="18"/>
    <w:semiHidden/>
    <w:unhideWhenUsed/>
    <w:uiPriority w:val="99"/>
    <w:pPr>
      <w:spacing w:before="0" w:after="0"/>
    </w:p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2 Знак"/>
    <w:basedOn w:val="3"/>
    <w:link w:val="2"/>
    <w:uiPriority w:val="2"/>
    <w:rPr>
      <w:rFonts w:ascii="Tahoma" w:hAnsi="Tahoma" w:eastAsia="Times New Roman" w:cs="Times New Roman"/>
      <w:color w:val="003366"/>
      <w:sz w:val="32"/>
      <w:szCs w:val="44"/>
      <w:lang w:eastAsia="ru-RU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paragraph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13">
    <w:name w:val="normaltextrun"/>
    <w:basedOn w:val="3"/>
    <w:uiPriority w:val="0"/>
  </w:style>
  <w:style w:type="character" w:customStyle="1" w:styleId="14">
    <w:name w:val="apple-converted-space"/>
    <w:basedOn w:val="3"/>
    <w:qFormat/>
    <w:uiPriority w:val="0"/>
  </w:style>
  <w:style w:type="character" w:customStyle="1" w:styleId="15">
    <w:name w:val="spellingerror"/>
    <w:basedOn w:val="3"/>
    <w:uiPriority w:val="0"/>
  </w:style>
  <w:style w:type="character" w:customStyle="1" w:styleId="16">
    <w:name w:val="eop"/>
    <w:basedOn w:val="3"/>
    <w:uiPriority w:val="0"/>
  </w:style>
  <w:style w:type="character" w:customStyle="1" w:styleId="17">
    <w:name w:val="scx7026291"/>
    <w:basedOn w:val="3"/>
    <w:qFormat/>
    <w:uiPriority w:val="0"/>
  </w:style>
  <w:style w:type="character" w:customStyle="1" w:styleId="18">
    <w:name w:val="Текст концевой сноски Знак"/>
    <w:basedOn w:val="3"/>
    <w:link w:val="8"/>
    <w:semiHidden/>
    <w:uiPriority w:val="99"/>
    <w:rPr>
      <w:rFonts w:ascii="Tahoma" w:hAnsi="Tahoma" w:eastAsia="Times New Roman" w:cs="Times New Roman"/>
      <w:color w:val="16394F"/>
      <w:sz w:val="20"/>
      <w:szCs w:val="20"/>
      <w:lang w:eastAsia="ru-RU"/>
    </w:rPr>
  </w:style>
  <w:style w:type="table" w:customStyle="1" w:styleId="19">
    <w:name w:val="Таблица-сетка 1 светлая — акцент 11"/>
    <w:basedOn w:val="4"/>
    <w:qFormat/>
    <w:uiPriority w:val="46"/>
    <w:pPr>
      <w:spacing w:after="0" w:line="240" w:lineRule="auto"/>
    </w:pPr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0CEF-56D8-48A2-A266-2572DE5F9B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9</TotalTime>
  <ScaleCrop>false</ScaleCrop>
  <LinksUpToDate>false</LinksUpToDate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2016-08-10T06:01:00Z</dcterms:created>
  <dc:creator>Русаков И.Е.</dc:creator>
  <cp:lastModifiedBy>User</cp:lastModifiedBy>
  <dcterms:modified xsi:type="dcterms:W3CDTF">2026-04-22T09:06:32Z</dcterms:modified>
  <cp:revision>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5FA3D63253554B9CA2DA0CFC9FA15AEC_12</vt:lpwstr>
  </property>
</Properties>
</file>