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9"/>
        <w:ind w:firstLine="709"/>
        <w:jc w:val="center"/>
        <w:spacing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Государственный контракт № ___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98"/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 проведению технической экспертизы и выдаче заключений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698"/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для списания компьютерной техники</w:t>
      </w:r>
      <w:r>
        <w:rPr>
          <w:rFonts w:ascii="Times New Roman" w:hAnsi="Times New Roman" w:eastAsia="Times New Roman" w:cs="Times New Roman"/>
          <w:b/>
          <w:bCs/>
          <w14:ligatures w14:val="none"/>
        </w:rPr>
      </w:r>
      <w:r>
        <w:rPr>
          <w:rFonts w:ascii="Times New Roman" w:hAnsi="Times New Roman" w:eastAsia="Times New Roman" w:cs="Times New Roman"/>
          <w:b/>
          <w:bCs/>
          <w14:ligatures w14:val="none"/>
        </w:rPr>
      </w:r>
    </w:p>
    <w:p>
      <w:pPr>
        <w:pStyle w:val="698"/>
        <w:numPr>
          <w:ilvl w:val="0"/>
          <w:numId w:val="0"/>
        </w:numPr>
        <w:ind w:left="0" w:right="0" w:firstLine="709"/>
        <w:jc w:val="center"/>
        <w:spacing w:before="0" w:after="0" w:line="240" w:lineRule="auto"/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 № 261290112783129010100100060000000244</w:t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</w:p>
    <w:p>
      <w:pPr>
        <w:pStyle w:val="698"/>
        <w:ind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Архангельск</w:t>
        <w:tab/>
        <w:tab/>
        <w:tab/>
        <w:tab/>
        <w:tab/>
        <w:tab/>
        <w:tab/>
        <w:t xml:space="preserve">            «___» _________ 2026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именуемое в дальнейшем «Заказчик», в лице________________, с одной 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______________, в лице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действующая на основании ________________, именуемый в дальнейшем «Исполнитель»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другой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ы, вместе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государственный контракт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проведению технической экспертизы и выдаче заключений для списания компьютерной техники (далее – Контракт) 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 Предмет контракта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761"/>
        <w:ind w:left="0" w:firstLine="709"/>
        <w:jc w:val="both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1.1. Исполнитель обязуется оказать услуги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проведению технической экспертизы и выдаче заключений для списания компьютерной техники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Заказчика, именуемые в дальнейшем Услуги в соответствии с техническим заданием приложение № 1 к контракту, а Заказчик обязуется создать Исполнителю все необходимые условия для оказания Услуг, принять и оплатить эти Услуги, </w:t>
      </w:r>
      <w:r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настоящим Контрактом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761"/>
        <w:ind w:left="0" w:firstLine="709"/>
        <w:jc w:val="both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1.2. Оказание Услуг производится по месту нахождения Исполнителя. До места оказания Услуг оргтехника доставляется силами и средствами Исполнителя.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761"/>
        <w:ind w:left="0" w:firstLine="709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eastAsia="Arial" w:cs="Times New Roman"/>
          <w:sz w:val="24"/>
          <w:szCs w:val="24"/>
        </w:rPr>
        <w:t xml:space="preserve">Оказание услуг осуществляется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срок: </w:t>
      </w:r>
      <w:r>
        <w:rPr>
          <w:rFonts w:ascii="Times New Roman" w:hAnsi="Times New Roman" w:cs="Times New Roman"/>
          <w:sz w:val="24"/>
          <w:szCs w:val="24"/>
        </w:rPr>
        <w:t xml:space="preserve">в течении 10 рабочих дней с даты заключения контракта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761"/>
        <w:ind w:left="0" w:firstLine="709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761"/>
        <w:ind w:left="0" w:firstLine="70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 Обязанности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65"/>
        <w:numPr>
          <w:ilvl w:val="1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Запрашивать у Исполнителя информацию о ходе оказываемых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любое время осуществлять контроль за ходом оказания услуг и их качеством, соблюдением сроков оказания услуг, не вмешиваясь при этом в деятельность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1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Предоставить всю необходимую информацию для оказания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 оплатить оказанные услуги в соответствии с условиями, установленными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Представить Исполнителю оборудование, сведения, документы, необходимые для выполнения им своих обязател</w:t>
      </w:r>
      <w:r>
        <w:rPr>
          <w:rFonts w:ascii="Times New Roman" w:hAnsi="Times New Roman"/>
          <w:color w:val="000000"/>
          <w:sz w:val="24"/>
          <w:szCs w:val="24"/>
        </w:rPr>
        <w:t xml:space="preserve">ьств по контракту, в соответствии с письменными запросами уполномоченных представителей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Предоставлять по запросам Исполнителя разъяснения и уточнения в части оказания услуг в соответствии с условиями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 обнаружении в ходе осуществления контроля за оказанием услуг отступлений от условий контракта, которые могут ухудшить качество услуг, немедленно заявить об этом Исполнителю.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5"/>
        <w:numPr>
          <w:ilvl w:val="1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Требовать оплаты оказанных услуг на условиях, установленных настоящим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Получать от Заказчика содействие в оказании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3"/>
        <w:numPr>
          <w:ilvl w:val="2"/>
          <w:numId w:val="1"/>
        </w:numPr>
        <w:contextualSpacing/>
        <w:ind w:left="0" w:firstLine="70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Направлять Заказчику письменные запросы и получать от него сведения, документы, необходимые для выполнения обязательств по контракту, а также разъяснения и уточнения по вопросам оказания услуг в рамках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1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Оказать услуги на условиях,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Обеспечить соответствие результатов услуг требованиям качества, установленным законодательством Российской Федерации к услугам такого рода. </w:t>
      </w:r>
      <w:r>
        <w:rPr>
          <w:rFonts w:ascii="Times New Roman" w:hAnsi="Times New Roman" w:cs="Times New Roman"/>
          <w:sz w:val="24"/>
          <w:szCs w:val="24"/>
        </w:rPr>
        <w:t xml:space="preserve">Представить по результатам проведенного технического обследования (диагностике) имущества Заказчика письменное техническое заключение (акт технического заключения) в печатном виде на бумажном носителе.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действующего законодательства Российской Федерации обеспечить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соответствующих разрешений (лицензий), иных документов, необходимых для исполнения обязательств по настоящему контракту (в случаях, предусмотренных законодательством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5"/>
        <w:numPr>
          <w:ilvl w:val="2"/>
          <w:numId w:val="1"/>
        </w:numPr>
        <w:ind w:left="0" w:firstLine="700"/>
        <w:jc w:val="both"/>
        <w:spacing w:before="0" w:after="0" w:line="240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Своевременно предоставлять достоверну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ю информацию о ходе исполнения своих обязательств, в том числе о сложностях, возникающих при исполнении настоящего контракта. При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этом под своевременностью предоставления информации понимается ее предоставление в срок не более 2 рабочих дней со дня получения запроса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Заказчика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, 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также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иных случаях – по собственной инициативе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 Стоимость услуг и порядок расчетов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3.1. Цена настоящего Контракта составляет__________(__________________) рублей ___ копеек, в том числе НДС__________(__________________) рублей ___ копеек,  НДС не облагается.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3.2. Цена Контракта включает все расходы Исполнителя, произ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водимые им в процессе оказания Услуг, в том числе: стоимость расходных материалов, расходы на доставку, хранение, погрузочно-разгрузочные работы, а также расходы на страхование, уплату всех налогов, сборов, таможенных пошлин и других обязательных платежей.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3.3. Цена настоящего Контракта является твердой и определяет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ся на весь срок исполнения Контракта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3.4. Источник финансирования настоящего Контракта – Федеральный бюджет.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3.5.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Услуги оплачиваются Заказчиком на основании подписанного Сторонами акта оказанных услуг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и получения от Исполнителя надлежаще оформленного счета, счета-ф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актуры (при наличии)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(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далее – документы о приемке)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в срок 7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рабочих дней с даты подписания документов о приемке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3.6. Оплата осуществляется в российских рублях по безналичному расчету путем перечисления Заказчиком денежных средств на расчетный счет Исполнителя, указанный в настоящем Контракте.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  <w:t xml:space="preserve">4. Порядок сдачи приемки оказанных услуг</w:t>
      </w:r>
      <w:r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</w:r>
    </w:p>
    <w:p>
      <w:pPr>
        <w:pStyle w:val="89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Заказчиком в соответствии с требованиями, указанными в Законе № 44-ФЗ и настоящем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по факту оказанных услуг и оформляется документом о приемке, который подписывается Заказчиком.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4.3. 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контрактов, заключенных в соответствии с Законом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 Для проведения экспертизы оказанной услуги эксперты,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 (в случае, если Контрактом предусмотрены отдельные этапы его исполнения)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В случае, если по результатам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в течение 5 рабочих дней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4.6. 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претензий к результатам оказанных Услуг Заказчик в срок, указанный в пункте 4.5 Контракта, подписывает документ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4.7. 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у Заказчика замечаний к оказанным Исполнителем Услугам Заказчик в срок, указанный в пункте 4.5 Контракта, направляет Исполнителю мотивированный отказ от подписания документа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4.8. В случае получ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ения мотивированного отказа Заказчика от подписания документа о приемке Исполнитель обязан рассмотреть мотивированный отказ и устранить замечания в срок, указанный Заказчиком в мотивированном отказе, после чего стороны возобновляют приемку оказанных Услуг.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4.9. 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Заказчиком будут обнаружены некачественно оказанные Услуги, то Исполнитель своими силами и без увеличения стоимости обязан устранить выявленные недостатки. Некачественно оказанные и непринятые Заказчиком Услуги оплате не подлежат.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4.10. Датой приемки оказанных услуг считается дата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В случае просрочки исполнения Заказчиком обязательств, предусмотренных настоящим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За каждый факт неисполнения Заказчиком обязательств, предусмотренных Контрактом, за исключением просрочки исполне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ния обязательств, предусмотренных Контрактом, Исполнитель вправе потребовать уплату штрафа.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еисполнения или ненадлежащего поставщиком (подрядчиком, исполнителем) 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 (далее – Правила) и равен 1 000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 В случае просрочки исполнения Исполнителем обязательств, предусмотренных настоящим Контрактом, Заказчик направляет Исполнителю требование об уплате пеня.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Контрактом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5.5. За каждый факт неисполнения Исполнителем обязательств, предусмотренных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Контрактом, за исключением просрочки исполнения обязательств, предусмотренных Контрактом, Заказчик направляет Исполнителю требование об уплате штрафа. Размер штрафа устанавливается Контрактом в порядке, установленном Правилами и равен 10% цены Контракта 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размер штрафа составляет 1 000,00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5.6. Применение неустойки (штрафов, пени) не освобождает Стороны от исполнения обязательств по настоящему Контракту.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5.9. Стороны освобождаются от уплаты неустойки, если докажут, что просрочка исполнения указанных обязательств произошла вследствие непреодолимой силы.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6. Срок действия, продление, изменение, расторжение  контракта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Контракт вступает в силу с момента его подписания обеими Сторонами и действует до полного исполнения Сторонами принятых на себя обязательств </w:t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 настоящему Контракту либо до его расторжения.</w:t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6.3. Изменение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условий Контракта при его исполнении не допускается за исключением случаев,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Расторжение настоящего Контракта допускается по соглашению Сторон, по решению суда, в случае одностороннего отказа Стороны Контракта от исполнения Контр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акта в соответствии с гражданским законодательством РФ, в порядке, предусмотренном ч. 9 – 23 ст. 95 Федерального закона от 05.04.2013№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7. Заключительные условия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7.1. Стороны не несут ответственности, предусмотренной п.5 настоящего Контракта, если невозможность выполнения ими своих обязательств наступила в силу форс-мажорных обстоятельств.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7.2. Настоящий Контракт составлен в двух экземплярах, каждый из которых имеет одинаковую юридическую силу.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left="70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8. Юридические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98"/>
        <w:ind w:left="70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9781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102"/>
        <w:gridCol w:w="4678"/>
      </w:tblGrid>
      <w:tr>
        <w:tblPrEx/>
        <w:trPr>
          <w:trHeight w:val="2336"/>
        </w:trPr>
        <w:tc>
          <w:tcPr>
            <w:tcW w:w="5102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Северное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163069, Россия, Архангельская обл., г. Архангельск, пр-кт. Троицкий, д.14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Юридический адрес: 163000, Архангельская обл., г. Архангельск, пр-кт Троицкий, д. 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ИНН: 2901127831; КПП: 290101001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 03211643000000013244 в ОКЦ № 1 ВВГУ Банка России//УФК по Нижегородской области, г. Нижний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банковского счета, входящего в состав ЕКС: 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Лицевой счет 03241780320 в УФК по Архангельской области и Ненецкому автономному округу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Электронный адрес: rpn29@rpn.gov.ru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Контактный телефон: 8182288851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1509"/>
        </w:trPr>
        <w:tc>
          <w:tcPr>
            <w:tcW w:w="5102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spacing w:before="0"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br w:type="page" w:clear="all"/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Контракту № 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_______2026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jc w:val="center"/>
        <w:spacing w:before="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698"/>
        <w:numPr>
          <w:ilvl w:val="0"/>
          <w:numId w:val="0"/>
        </w:numPr>
        <w:jc w:val="center"/>
        <w:spacing w:before="0"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t xml:space="preserve">ТЕХНИЧЕСКОЕ ЗАДАНИЕ </w:t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pStyle w:val="698"/>
        <w:numPr>
          <w:ilvl w:val="0"/>
          <w:numId w:val="0"/>
        </w:numPr>
        <w:jc w:val="center"/>
        <w:spacing w:before="0"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pStyle w:val="698"/>
        <w:numPr>
          <w:ilvl w:val="0"/>
          <w:numId w:val="0"/>
        </w:numPr>
        <w:jc w:val="center"/>
        <w:spacing w:before="0"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Наименование услуг: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оказание услуг по проведению технической экспертизы и выдаче заключений для списания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компьютерной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техники.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Место оказания услуг: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город Вологда, ул. Зосимовская, д. 65, г. Архангельск, пр. Троицкий, д. 14.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pStyle w:val="69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Сроки оказания услуг: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в течении 10 рабочих дней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даты заключения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Цель технической экспертиз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ы: оценка технического состояния и выдача Технического заключения (Акта технической экспертизы), необходимого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br w:type="textWrapping" w:clear="all"/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для составления Акта списания компьютерной и копировально-множительной техники.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Техническая экспертиза по каждому объекту включает в себя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1. Внешний осмотр.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2. Проверка работоспособности.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3. Выявление причин неисправности или неэффективной работы.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4. Оформление Акта технической экспертизы.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Оценку технического состояния оборудования </w:t>
      </w:r>
      <w:r>
        <w:rPr>
          <w:rFonts w:eastAsia="Times New Roman" w:cs="Times New Roman"/>
          <w:sz w:val="24"/>
          <w:szCs w:val="24"/>
          <w:lang w:eastAsia="zh-CN" w:bidi="ru-RU"/>
        </w:rPr>
        <w:t xml:space="preserve">в соответствии с </w:t>
      </w:r>
      <w:r>
        <w:rPr>
          <w:rFonts w:eastAsia="Times New Roman" w:cs="Times New Roman"/>
          <w:sz w:val="24"/>
          <w:szCs w:val="24"/>
        </w:rPr>
        <w:t xml:space="preserve">ГОСТ</w:t>
        <w:br/>
        <w:t xml:space="preserve">Р 56397-2015 «Техническая экспертиза работоспособности радиоэлектронной аппаратуры, оборудования информационных технологий, электрических машин</w:t>
        <w:br/>
        <w:t xml:space="preserve">и приборов».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4"/>
          <w:szCs w:val="24"/>
          <w:lang w:eastAsia="zh-CN" w:bidi="ru-RU"/>
        </w:rPr>
        <w:t xml:space="preserve">Результат оказания услуг.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0"/>
        <w:ind w:left="0" w:right="0" w:firstLine="709"/>
        <w:spacing w:before="0" w:after="0" w:afterAutospacing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Результаты технической экспертизы Исполнитель обязан оформить актом технической экспертизы работоспособности оборудования, в котором приводятся решения и рекомендации специалистов Исполнителя.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В акте технической экспертизы </w:t>
      </w:r>
      <w:r>
        <w:rPr>
          <w:rFonts w:eastAsia="Times New Roman" w:cs="Times New Roman"/>
          <w:sz w:val="24"/>
          <w:szCs w:val="24"/>
        </w:rPr>
        <w:t xml:space="preserve">работоспособности оборудования, оформленном на каждую единицу оборудования, </w:t>
      </w:r>
      <w:r>
        <w:rPr>
          <w:rFonts w:eastAsia="Times New Roman" w:cs="Times New Roman"/>
          <w:sz w:val="24"/>
          <w:szCs w:val="24"/>
          <w:lang w:eastAsia="ar-SA"/>
        </w:rPr>
        <w:t xml:space="preserve">должно быть отражено: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 наличие, характер и перечень неисправностей оборудования;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 причины возникновения неисправностей (К причинам неисправностей относят: дефекты оборудования; отказы в работе; сбои в работе; технические повреждения; разрушения и т.п.)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 степень износа оборудования;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</w:t>
      </w:r>
      <w:r>
        <w:rPr>
          <w:rFonts w:eastAsia="Times New Roman" w:cs="Times New Roman"/>
          <w:sz w:val="24"/>
          <w:szCs w:val="24"/>
        </w:rPr>
        <w:t xml:space="preserve"> заключение о целесообразности ремонта и возможности дальнейшей эксплуатации;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 объем и трудоемкость ремонта (устранения) повреждений и неисправностей оборудования (в случае установления целесообразности ремонта оборудования);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- стоимость ремонта (устранения) повреждений и неисправностей оборудования, включая стоимость необходимых запасных частей, работ</w:t>
        <w:br/>
        <w:t xml:space="preserve">и накладных расходов (в случае установления целесообразности ремонта оборудования).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Акт технической экспертизы работоспособности оборудования, подписанный специалистом и руководителем Исполнителя, Исполнитель обязан передать Заказчику одновременно с Актом об оказанных услугах.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Требования к Исполнителю.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Исполнитель должен иметь действующий сертификат соответствия</w:t>
        <w:br/>
        <w:t xml:space="preserve">на услуги, по оценке технического состо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яния оборудования. Ответственный сотрудник должен являться компетентным и соответствовать требованиям системы добровольной сертификации «Экспертиза, оценка» по направлению «Исследование радиоэлектронных, электротехнических, электромеханических устройств».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firstLine="709"/>
        <w:jc w:val="both"/>
        <w:spacing w:before="0" w:after="0" w:afterAutospacing="0" w:line="240" w:lineRule="auto"/>
        <w:widowControl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  <w:t xml:space="preserve">Исполнитель оказывает услуги с использованием собственных средств</w:t>
        <w:br/>
        <w:t xml:space="preserve">и ресурсов.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698"/>
        <w:ind w:firstLine="709"/>
        <w:jc w:val="both"/>
        <w:spacing w:before="0"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9606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8"/>
        <w:gridCol w:w="3512"/>
        <w:gridCol w:w="2753"/>
        <w:gridCol w:w="2782"/>
      </w:tblGrid>
      <w:tr>
        <w:tblPrEx/>
        <w:trPr>
          <w:trHeight w:val="6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Инвентарный номер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textDirection w:val="lrTb"/>
            <w:noWrap w:val="false"/>
          </w:tcPr>
          <w:p>
            <w:pPr>
              <w:pStyle w:val="698"/>
              <w:jc w:val="center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расположения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3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Персональный компьютер SkyPC в сборе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0001308646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Системный блок  Intel Ctleron+ монитор  22"LG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0001308567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сборе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0001308606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персональный в сборе (Norbel)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0001308682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сборе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0001308698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сборе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0001308618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Монитор Samsung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0001308537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Notebook  НР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04814302459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комплекте с программным обеспечением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04814302575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комплекте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04834302030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1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в комплекте Altair-Master C4-2667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04824302379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 w:val="false"/>
          </w:tcPr>
          <w:p>
            <w:pPr>
              <w:pStyle w:val="698"/>
              <w:jc w:val="left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Компьютер INTEL G4400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3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04814302579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2" w:type="dxa"/>
            <w:vAlign w:val="bottom"/>
            <w:textDirection w:val="lrTb"/>
            <w:noWrap w:val="false"/>
          </w:tcPr>
          <w:p>
            <w:pPr>
              <w:pStyle w:val="698"/>
              <w:jc w:val="center"/>
              <w:spacing w:before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8"/>
        <w:jc w:val="both"/>
        <w:spacing w:before="0"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98"/>
      </w:pPr>
      <w:r/>
      <w:r/>
    </w:p>
    <w:p>
      <w:pPr>
        <w:pStyle w:val="69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9720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60"/>
        <w:gridCol w:w="4859"/>
      </w:tblGrid>
      <w:tr>
        <w:tblPrEx/>
        <w:trPr>
          <w:cantSplit/>
          <w:trHeight w:val="1542"/>
        </w:trPr>
        <w:tc>
          <w:tcPr>
            <w:tcW w:w="4860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2" w:name="_GoBack"/>
            <w:r/>
            <w:bookmarkEnd w:id="2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А.Ф. Горних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98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8"/>
        <w:ind w:left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2 к контракту № 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 __________ 2026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851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Расчет стоимости услуг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pStyle w:val="698"/>
        <w:ind w:firstLine="851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tbl>
      <w:tblPr>
        <w:tblW w:w="9863" w:type="dxa"/>
        <w:tblInd w:w="25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3"/>
        <w:gridCol w:w="4391"/>
        <w:gridCol w:w="1151"/>
        <w:gridCol w:w="1051"/>
        <w:gridCol w:w="1401"/>
        <w:gridCol w:w="1315"/>
      </w:tblGrid>
      <w:tr>
        <w:tblPrEx/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" w:type="dxa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1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textDirection w:val="lrTb"/>
            <w:noWrap w:val="false"/>
          </w:tcPr>
          <w:p>
            <w:pPr>
              <w:pStyle w:val="698"/>
              <w:ind w:left="-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pStyle w:val="698"/>
              <w:ind w:left="-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698"/>
              <w:ind w:left="-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Цена, руб. (с НДС/без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5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Сумма, руб. (с НДС/без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1" w:type="dxa"/>
            <w:vAlign w:val="center"/>
            <w:textDirection w:val="lrTb"/>
            <w:noWrap w:val="false"/>
          </w:tcPr>
          <w:p>
            <w:pPr>
              <w:pStyle w:val="698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Услуги по проведению технической экспертизы и выдаче заключений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698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для списания компьютерной техники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before="0" w:beforeAutospacing="0" w:after="200" w:afterAutospacing="0" w:line="276" w:lineRule="auto"/>
              <w:widowControl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5" w:type="dxa"/>
            <w:vAlign w:val="center"/>
            <w:textDirection w:val="lrTb"/>
            <w:noWrap w:val="false"/>
          </w:tcPr>
          <w:p>
            <w:pPr>
              <w:pStyle w:val="698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98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Итого: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9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9720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60"/>
        <w:gridCol w:w="4859"/>
      </w:tblGrid>
      <w:tr>
        <w:tblPrEx/>
        <w:trPr>
          <w:trHeight w:val="2336"/>
        </w:trPr>
        <w:tc>
          <w:tcPr>
            <w:tcW w:w="4860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98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98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851" w:right="851" w:bottom="851" w:left="1418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Lucida Sans Unicode">
    <w:panose1 w:val="020B0604030504040204"/>
  </w:font>
  <w:font w:name="PT Serif">
    <w:panose1 w:val="020A0603040505020204"/>
  </w:font>
  <w:font w:name="Courier New">
    <w:panose1 w:val="02070309020205020404"/>
  </w:font>
  <w:font w:name="Mangal">
    <w:panose1 w:val="02040503050406030204"/>
  </w:font>
  <w:font w:name="Droid Sans Fallback">
    <w:panose1 w:val="020B0502000000000001"/>
  </w:font>
  <w:font w:name="Droid Sans">
    <w:panose1 w:val="020B0606030804020204"/>
  </w:font>
  <w:font w:name="SimSun">
    <w:panose1 w:val="02000603000000000000"/>
  </w:font>
  <w:font w:name="Open Sans">
    <w:panose1 w:val="020B0606030504020204"/>
  </w:font>
  <w:font w:name="Times New Roman">
    <w:panose1 w:val="02020603050405020304"/>
  </w:font>
  <w:font w:name="Andale Sans UI">
    <w:panose1 w:val="02000603000000000000"/>
  </w:font>
  <w:font w:name="Tahoma">
    <w:panose1 w:val="020B060403050404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8</w:t>
    </w:r>
    <w:r>
      <w:fldChar w:fldCharType="end"/>
    </w:r>
    <w:r/>
  </w:p>
  <w:p>
    <w:pPr>
      <w:pStyle w:val="7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/>
      <w:suff w:val="tab"/>
      <w:lvlText w:val="%1."/>
      <w:lvlJc w:val="left"/>
      <w:pPr>
        <w:ind w:left="502" w:hanging="360"/>
        <w:tabs>
          <w:tab w:val="num" w:pos="502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b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ind w:left="740" w:hanging="720"/>
        <w:tabs>
          <w:tab w:val="num" w:pos="74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750" w:hanging="720"/>
        <w:tabs>
          <w:tab w:val="num" w:pos="75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120" w:hanging="1080"/>
        <w:tabs>
          <w:tab w:val="num" w:pos="112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130" w:hanging="1080"/>
        <w:tabs>
          <w:tab w:val="num" w:pos="113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1500" w:hanging="1440"/>
        <w:tabs>
          <w:tab w:val="num" w:pos="150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1510" w:hanging="1440"/>
        <w:tabs>
          <w:tab w:val="num" w:pos="151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80" w:hanging="1800"/>
        <w:tabs>
          <w:tab w:val="num" w:pos="188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97">
    <w:name w:val="No List"/>
    <w:uiPriority w:val="99"/>
    <w:semiHidden/>
    <w:unhideWhenUsed/>
  </w:style>
  <w:style w:type="paragraph" w:styleId="698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Liberation Sans" w:cs="Liberation Sans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699">
    <w:name w:val="Heading 1"/>
    <w:basedOn w:val="698"/>
    <w:next w:val="698"/>
    <w:link w:val="70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00">
    <w:name w:val="Heading 2"/>
    <w:basedOn w:val="698"/>
    <w:next w:val="698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01">
    <w:name w:val="Heading 3"/>
    <w:basedOn w:val="698"/>
    <w:next w:val="698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02">
    <w:name w:val="Heading 4"/>
    <w:basedOn w:val="698"/>
    <w:next w:val="698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698"/>
    <w:next w:val="698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4">
    <w:name w:val="Heading 6"/>
    <w:basedOn w:val="698"/>
    <w:next w:val="698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698"/>
    <w:next w:val="698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6">
    <w:name w:val="Heading 8"/>
    <w:basedOn w:val="698"/>
    <w:next w:val="69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7">
    <w:name w:val="Heading 9"/>
    <w:basedOn w:val="698"/>
    <w:next w:val="698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>
    <w:name w:val="Heading 1 Char"/>
    <w:basedOn w:val="729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709">
    <w:name w:val="Heading 2 Char"/>
    <w:basedOn w:val="729"/>
    <w:uiPriority w:val="9"/>
    <w:qFormat/>
    <w:rPr>
      <w:rFonts w:ascii="Liberation Sans" w:hAnsi="Liberation Sans" w:eastAsia="Liberation Sans" w:cs="Liberation Sans"/>
      <w:sz w:val="34"/>
    </w:rPr>
  </w:style>
  <w:style w:type="character" w:styleId="710">
    <w:name w:val="Heading 3 Char"/>
    <w:basedOn w:val="729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711">
    <w:name w:val="Heading 4 Char"/>
    <w:basedOn w:val="729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2">
    <w:name w:val="Heading 5 Char"/>
    <w:basedOn w:val="729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3">
    <w:name w:val="Heading 6 Char"/>
    <w:basedOn w:val="729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4">
    <w:name w:val="Heading 7 Char"/>
    <w:basedOn w:val="729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5">
    <w:name w:val="Heading 8 Char"/>
    <w:basedOn w:val="729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6">
    <w:name w:val="Heading 9 Char"/>
    <w:basedOn w:val="729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7">
    <w:name w:val="Title Char"/>
    <w:basedOn w:val="729"/>
    <w:uiPriority w:val="10"/>
    <w:qFormat/>
    <w:rPr>
      <w:sz w:val="48"/>
      <w:szCs w:val="48"/>
    </w:rPr>
  </w:style>
  <w:style w:type="character" w:styleId="718">
    <w:name w:val="Subtitle Char"/>
    <w:basedOn w:val="729"/>
    <w:uiPriority w:val="11"/>
    <w:qFormat/>
    <w:rPr>
      <w:sz w:val="24"/>
      <w:szCs w:val="24"/>
    </w:rPr>
  </w:style>
  <w:style w:type="character" w:styleId="719">
    <w:name w:val="Quote Char"/>
    <w:link w:val="744"/>
    <w:uiPriority w:val="29"/>
    <w:qFormat/>
    <w:rPr>
      <w:i/>
    </w:rPr>
  </w:style>
  <w:style w:type="character" w:styleId="720">
    <w:name w:val="Intense Quote Char"/>
    <w:link w:val="745"/>
    <w:uiPriority w:val="30"/>
    <w:qFormat/>
    <w:rPr>
      <w:i/>
    </w:rPr>
  </w:style>
  <w:style w:type="character" w:styleId="721">
    <w:name w:val="Header Char"/>
    <w:basedOn w:val="729"/>
    <w:uiPriority w:val="99"/>
    <w:qFormat/>
  </w:style>
  <w:style w:type="character" w:styleId="722">
    <w:name w:val="Footer Char"/>
    <w:basedOn w:val="729"/>
    <w:uiPriority w:val="99"/>
    <w:qFormat/>
  </w:style>
  <w:style w:type="character" w:styleId="723">
    <w:name w:val="Caption Char"/>
    <w:basedOn w:val="729"/>
    <w:uiPriority w:val="35"/>
    <w:qFormat/>
    <w:rPr>
      <w:b/>
      <w:bCs/>
      <w:color w:val="4f81bd" w:themeColor="accent1"/>
      <w:sz w:val="18"/>
      <w:szCs w:val="18"/>
    </w:rPr>
  </w:style>
  <w:style w:type="character" w:styleId="724">
    <w:name w:val="Hyperlink"/>
    <w:uiPriority w:val="99"/>
    <w:unhideWhenUsed/>
    <w:rPr>
      <w:color w:val="0000ff" w:themeColor="hyperlink"/>
      <w:u w:val="single"/>
    </w:rPr>
  </w:style>
  <w:style w:type="character" w:styleId="725">
    <w:name w:val="Footnote Text Char"/>
    <w:uiPriority w:val="99"/>
    <w:qFormat/>
    <w:rPr>
      <w:sz w:val="18"/>
    </w:rPr>
  </w:style>
  <w:style w:type="character" w:styleId="726">
    <w:name w:val="Endnote Text Char"/>
    <w:uiPriority w:val="99"/>
    <w:qFormat/>
    <w:rPr>
      <w:sz w:val="20"/>
    </w:rPr>
  </w:style>
  <w:style w:type="character" w:styleId="727">
    <w:name w:val="Символ концевой сноски"/>
    <w:basedOn w:val="729"/>
    <w:uiPriority w:val="99"/>
    <w:semiHidden/>
    <w:unhideWhenUsed/>
    <w:qFormat/>
    <w:rPr>
      <w:vertAlign w:val="superscript"/>
    </w:rPr>
  </w:style>
  <w:style w:type="character" w:styleId="728">
    <w:name w:val="endnote reference"/>
    <w:rPr>
      <w:vertAlign w:val="superscript"/>
    </w:rPr>
  </w:style>
  <w:style w:type="character" w:styleId="729" w:default="1">
    <w:name w:val="Default Paragraph Font"/>
    <w:uiPriority w:val="1"/>
    <w:semiHidden/>
    <w:unhideWhenUsed/>
    <w:qFormat/>
  </w:style>
  <w:style w:type="character" w:styleId="730" w:customStyle="1">
    <w:name w:val="Название Знак"/>
    <w:basedOn w:val="729"/>
    <w:qFormat/>
    <w:rPr>
      <w:rFonts w:ascii="Arial" w:hAnsi="Arial" w:eastAsia="Andale Sans UI" w:cs="Tahoma"/>
      <w:sz w:val="28"/>
      <w:szCs w:val="28"/>
      <w:lang w:eastAsia="hi-IN" w:bidi="hi-IN"/>
    </w:rPr>
  </w:style>
  <w:style w:type="character" w:styleId="731" w:customStyle="1">
    <w:name w:val="Абзац списка Знак"/>
    <w:link w:val="763"/>
    <w:uiPriority w:val="34"/>
    <w:qFormat/>
    <w:rPr>
      <w:rFonts w:ascii="Calibri" w:hAnsi="Calibri" w:eastAsia="Calibri" w:cs="Times New Roman"/>
      <w:lang w:eastAsia="en-US"/>
    </w:rPr>
  </w:style>
  <w:style w:type="character" w:styleId="732" w:customStyle="1">
    <w:name w:val="Текст сноски Знак"/>
    <w:basedOn w:val="729"/>
    <w:uiPriority w:val="99"/>
    <w:semiHidden/>
    <w:qFormat/>
    <w:rPr>
      <w:sz w:val="20"/>
      <w:szCs w:val="20"/>
    </w:rPr>
  </w:style>
  <w:style w:type="character" w:styleId="733">
    <w:name w:val="Символ сноски"/>
    <w:basedOn w:val="729"/>
    <w:uiPriority w:val="99"/>
    <w:semiHidden/>
    <w:unhideWhenUsed/>
    <w:qFormat/>
    <w:rPr>
      <w:vertAlign w:val="superscript"/>
    </w:rPr>
  </w:style>
  <w:style w:type="character" w:styleId="734">
    <w:name w:val="footnote reference"/>
    <w:rPr>
      <w:vertAlign w:val="superscript"/>
    </w:rPr>
  </w:style>
  <w:style w:type="character" w:styleId="735" w:customStyle="1">
    <w:name w:val="Верхний колонтитул Знак"/>
    <w:basedOn w:val="729"/>
    <w:uiPriority w:val="99"/>
    <w:qFormat/>
  </w:style>
  <w:style w:type="character" w:styleId="736" w:customStyle="1">
    <w:name w:val="Нижний колонтитул Знак"/>
    <w:basedOn w:val="729"/>
    <w:uiPriority w:val="99"/>
    <w:semiHidden/>
    <w:qFormat/>
  </w:style>
  <w:style w:type="paragraph" w:styleId="737">
    <w:name w:val="Заголовок"/>
    <w:basedOn w:val="698"/>
    <w:next w:val="738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738">
    <w:name w:val="Body Text"/>
    <w:basedOn w:val="698"/>
    <w:pPr>
      <w:spacing w:before="0" w:after="140" w:line="276" w:lineRule="auto"/>
    </w:pPr>
  </w:style>
  <w:style w:type="paragraph" w:styleId="739">
    <w:name w:val="List"/>
    <w:basedOn w:val="738"/>
    <w:rPr>
      <w:rFonts w:cs="Droid Sans"/>
    </w:rPr>
  </w:style>
  <w:style w:type="paragraph" w:styleId="740">
    <w:name w:val="Caption"/>
    <w:basedOn w:val="698"/>
    <w:next w:val="69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41">
    <w:name w:val="Указатель"/>
    <w:basedOn w:val="698"/>
    <w:qFormat/>
    <w:pPr>
      <w:suppressLineNumbers/>
    </w:pPr>
    <w:rPr>
      <w:rFonts w:cs="Droid Sans"/>
    </w:rPr>
  </w:style>
  <w:style w:type="paragraph" w:styleId="742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Liberation Sans" w:cs="Liberation Sans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743">
    <w:name w:val="Subtitle"/>
    <w:basedOn w:val="698"/>
    <w:next w:val="698"/>
    <w:link w:val="718"/>
    <w:uiPriority w:val="11"/>
    <w:qFormat/>
    <w:pPr>
      <w:spacing w:before="200" w:after="200"/>
    </w:pPr>
    <w:rPr>
      <w:sz w:val="24"/>
      <w:szCs w:val="24"/>
    </w:rPr>
  </w:style>
  <w:style w:type="paragraph" w:styleId="744">
    <w:name w:val="Quote"/>
    <w:basedOn w:val="698"/>
    <w:next w:val="698"/>
    <w:link w:val="719"/>
    <w:uiPriority w:val="29"/>
    <w:qFormat/>
    <w:pPr>
      <w:ind w:left="720" w:right="720"/>
    </w:pPr>
    <w:rPr>
      <w:i/>
    </w:rPr>
  </w:style>
  <w:style w:type="paragraph" w:styleId="745">
    <w:name w:val="Intense Quote"/>
    <w:basedOn w:val="698"/>
    <w:next w:val="698"/>
    <w:link w:val="720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6">
    <w:name w:val="endnote text"/>
    <w:basedOn w:val="698"/>
    <w:link w:val="72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47">
    <w:name w:val="toc 1"/>
    <w:basedOn w:val="698"/>
    <w:next w:val="698"/>
    <w:uiPriority w:val="39"/>
    <w:unhideWhenUsed/>
    <w:pPr>
      <w:ind w:left="0" w:right="0" w:firstLine="0"/>
      <w:spacing w:before="0" w:after="57"/>
    </w:pPr>
  </w:style>
  <w:style w:type="paragraph" w:styleId="748">
    <w:name w:val="toc 2"/>
    <w:basedOn w:val="698"/>
    <w:next w:val="698"/>
    <w:uiPriority w:val="39"/>
    <w:unhideWhenUsed/>
    <w:pPr>
      <w:ind w:left="283" w:right="0" w:firstLine="0"/>
      <w:spacing w:before="0" w:after="57"/>
    </w:pPr>
  </w:style>
  <w:style w:type="paragraph" w:styleId="749">
    <w:name w:val="toc 3"/>
    <w:basedOn w:val="698"/>
    <w:next w:val="698"/>
    <w:uiPriority w:val="39"/>
    <w:unhideWhenUsed/>
    <w:pPr>
      <w:ind w:left="567" w:right="0" w:firstLine="0"/>
      <w:spacing w:before="0" w:after="57"/>
    </w:pPr>
  </w:style>
  <w:style w:type="paragraph" w:styleId="750">
    <w:name w:val="toc 4"/>
    <w:basedOn w:val="698"/>
    <w:next w:val="698"/>
    <w:uiPriority w:val="39"/>
    <w:unhideWhenUsed/>
    <w:pPr>
      <w:ind w:left="850" w:right="0" w:firstLine="0"/>
      <w:spacing w:before="0" w:after="57"/>
    </w:pPr>
  </w:style>
  <w:style w:type="paragraph" w:styleId="751">
    <w:name w:val="toc 5"/>
    <w:basedOn w:val="698"/>
    <w:next w:val="698"/>
    <w:uiPriority w:val="39"/>
    <w:unhideWhenUsed/>
    <w:pPr>
      <w:ind w:left="1134" w:right="0" w:firstLine="0"/>
      <w:spacing w:before="0" w:after="57"/>
    </w:pPr>
  </w:style>
  <w:style w:type="paragraph" w:styleId="752">
    <w:name w:val="toc 6"/>
    <w:basedOn w:val="698"/>
    <w:next w:val="698"/>
    <w:uiPriority w:val="39"/>
    <w:unhideWhenUsed/>
    <w:pPr>
      <w:ind w:left="1417" w:right="0" w:firstLine="0"/>
      <w:spacing w:before="0" w:after="57"/>
    </w:pPr>
  </w:style>
  <w:style w:type="paragraph" w:styleId="753">
    <w:name w:val="toc 7"/>
    <w:basedOn w:val="698"/>
    <w:next w:val="698"/>
    <w:uiPriority w:val="39"/>
    <w:unhideWhenUsed/>
    <w:pPr>
      <w:ind w:left="1701" w:right="0" w:firstLine="0"/>
      <w:spacing w:before="0" w:after="57"/>
    </w:pPr>
  </w:style>
  <w:style w:type="paragraph" w:styleId="754">
    <w:name w:val="toc 8"/>
    <w:basedOn w:val="698"/>
    <w:next w:val="698"/>
    <w:uiPriority w:val="39"/>
    <w:unhideWhenUsed/>
    <w:pPr>
      <w:ind w:left="1984" w:right="0" w:firstLine="0"/>
      <w:spacing w:before="0" w:after="57"/>
    </w:pPr>
  </w:style>
  <w:style w:type="paragraph" w:styleId="755">
    <w:name w:val="toc 9"/>
    <w:basedOn w:val="698"/>
    <w:next w:val="698"/>
    <w:uiPriority w:val="39"/>
    <w:unhideWhenUsed/>
    <w:pPr>
      <w:ind w:left="2268" w:right="0" w:firstLine="0"/>
      <w:spacing w:before="0" w:after="57"/>
    </w:pPr>
  </w:style>
  <w:style w:type="paragraph" w:styleId="756">
    <w:name w:val="index heading"/>
    <w:basedOn w:val="737"/>
  </w:style>
  <w:style w:type="paragraph" w:styleId="757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Liberation Sans" w:cs="Liberation Sans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758">
    <w:name w:val="table of figures"/>
    <w:basedOn w:val="698"/>
    <w:next w:val="698"/>
    <w:uiPriority w:val="99"/>
    <w:unhideWhenUsed/>
    <w:pPr>
      <w:spacing w:before="0" w:after="0" w:afterAutospacing="0"/>
    </w:pPr>
  </w:style>
  <w:style w:type="paragraph" w:styleId="759">
    <w:name w:val="Title"/>
    <w:basedOn w:val="698"/>
    <w:next w:val="698"/>
    <w:link w:val="730"/>
    <w:qFormat/>
    <w:pPr>
      <w:keepNext/>
      <w:spacing w:before="240" w:after="120" w:line="240" w:lineRule="auto"/>
      <w:widowControl w:val="off"/>
    </w:pPr>
    <w:rPr>
      <w:rFonts w:ascii="Arial" w:hAnsi="Arial" w:eastAsia="Andale Sans UI" w:cs="Tahoma"/>
      <w:sz w:val="28"/>
      <w:szCs w:val="28"/>
      <w:lang w:eastAsia="hi-IN" w:bidi="hi-IN"/>
    </w:rPr>
  </w:style>
  <w:style w:type="paragraph" w:styleId="760" w:customStyle="1">
    <w:name w:val="Название объекта1"/>
    <w:basedOn w:val="698"/>
    <w:next w:val="698"/>
    <w:qFormat/>
    <w:pPr>
      <w:ind w:left="426"/>
      <w:jc w:val="both"/>
      <w:spacing w:before="0" w:after="0" w:line="240" w:lineRule="auto"/>
      <w:widowControl w:val="off"/>
    </w:pPr>
    <w:rPr>
      <w:rFonts w:ascii="Arial" w:hAnsi="Arial" w:eastAsia="Lucida Sans Unicode" w:cs="Mangal"/>
      <w:b/>
      <w:sz w:val="24"/>
      <w:szCs w:val="24"/>
      <w:lang w:eastAsia="hi-IN" w:bidi="hi-IN"/>
    </w:rPr>
  </w:style>
  <w:style w:type="paragraph" w:styleId="761" w:customStyle="1">
    <w:name w:val="Абзац списка1"/>
    <w:uiPriority w:val="99"/>
    <w:qFormat/>
    <w:pPr>
      <w:ind w:left="720"/>
      <w:jc w:val="left"/>
      <w:spacing w:before="0" w:beforeAutospacing="0" w:after="0" w:afterAutospacing="0" w:line="240" w:lineRule="auto"/>
      <w:widowControl/>
    </w:pPr>
    <w:rPr>
      <w:rFonts w:ascii="Liberation Serif" w:hAnsi="Liberation Serif" w:eastAsia="Droid Sans Fallback" w:cs="Liberation Serif"/>
      <w:color w:val="auto"/>
      <w:sz w:val="20"/>
      <w:szCs w:val="20"/>
      <w:lang w:val="ru-RU" w:eastAsia="ar-SA" w:bidi="ar-SA"/>
    </w:rPr>
  </w:style>
  <w:style w:type="paragraph" w:styleId="762" w:customStyle="1">
    <w:name w:val="ConsPlusNonformat"/>
    <w:qFormat/>
    <w:pPr>
      <w:jc w:val="left"/>
      <w:spacing w:before="0" w:beforeAutospacing="0" w:after="0" w:afterAutospacing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763">
    <w:name w:val="List Paragraph"/>
    <w:basedOn w:val="698"/>
    <w:link w:val="731"/>
    <w:uiPriority w:val="34"/>
    <w:qFormat/>
    <w:pPr>
      <w:contextualSpacing/>
      <w:ind w:left="720"/>
      <w:spacing w:before="0" w:after="200"/>
    </w:pPr>
    <w:rPr>
      <w:rFonts w:ascii="Calibri" w:hAnsi="Calibri" w:eastAsia="Calibri" w:cs="Times New Roman"/>
      <w:lang w:eastAsia="en-US"/>
    </w:rPr>
  </w:style>
  <w:style w:type="paragraph" w:styleId="764">
    <w:name w:val="footnote text"/>
    <w:basedOn w:val="698"/>
    <w:link w:val="732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765" w:customStyle="1">
    <w:name w:val="Text body"/>
    <w:basedOn w:val="698"/>
    <w:qFormat/>
    <w:pPr>
      <w:jc w:val="center"/>
      <w:spacing w:before="0" w:after="120" w:line="100" w:lineRule="atLeast"/>
    </w:pPr>
    <w:rPr>
      <w:rFonts w:ascii="Calibri" w:hAnsi="Calibri" w:eastAsia="SimSun" w:cs="Calibri"/>
      <w:lang w:eastAsia="en-US"/>
    </w:rPr>
  </w:style>
  <w:style w:type="paragraph" w:styleId="766">
    <w:name w:val="Header and Footer"/>
    <w:basedOn w:val="698"/>
    <w:qFormat/>
  </w:style>
  <w:style w:type="paragraph" w:styleId="767">
    <w:name w:val="Header"/>
    <w:basedOn w:val="698"/>
    <w:link w:val="735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8">
    <w:name w:val="Footer"/>
    <w:basedOn w:val="698"/>
    <w:link w:val="736"/>
    <w:uiPriority w:val="99"/>
    <w:semiHidden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9" w:customStyle="1">
    <w:name w:val="formattext"/>
    <w:qFormat/>
    <w:pPr>
      <w:ind w:left="0" w:right="0" w:firstLine="0"/>
      <w:jc w:val="left"/>
      <w:keepLines w:val="0"/>
      <w:keepNext w:val="0"/>
      <w:pageBreakBefore w:val="0"/>
      <w:spacing w:beforeAutospacing="1" w:afterAutospacing="1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paragraph" w:styleId="770" w:customStyle="1">
    <w:name w:val="Обычный отступ2"/>
    <w:qFormat/>
    <w:pPr>
      <w:ind w:left="0" w:right="0" w:firstLine="624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u w:val="none"/>
      <w:vertAlign w:val="baseline"/>
      <w:lang w:val="ru-RU" w:eastAsia="ar-SA" w:bidi="ar-SA"/>
      <w14:ligatures w14:val="none"/>
    </w:rPr>
  </w:style>
  <w:style w:type="numbering" w:styleId="771" w:default="1">
    <w:name w:val="Без списка"/>
    <w:uiPriority w:val="99"/>
    <w:semiHidden/>
    <w:unhideWhenUsed/>
    <w:qFormat/>
  </w:style>
  <w:style w:type="table" w:styleId="772">
    <w:name w:val="Table Grid Light"/>
    <w:basedOn w:val="89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Plain Table 1"/>
    <w:basedOn w:val="89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4">
    <w:name w:val="Plain Table 2"/>
    <w:basedOn w:val="89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5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6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7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2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3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4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5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00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02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03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04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05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06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13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14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15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16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17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18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19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20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5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36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37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38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9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0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1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4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5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6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7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8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9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0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1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2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63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4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65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66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67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68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69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0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1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2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73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74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75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76">
    <w:name w:val="Lined - Accent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7">
    <w:name w:val="Lined - Accent 1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78">
    <w:name w:val="Lined - Accent 2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79">
    <w:name w:val="Lined - Accent 3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80">
    <w:name w:val="Lined - Accent 4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1">
    <w:name w:val="Lined - Accent 5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2">
    <w:name w:val="Lined - Accent 6"/>
    <w:basedOn w:val="8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3">
    <w:name w:val="Bordered &amp; Lined - Accent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4">
    <w:name w:val="Bordered &amp; Lined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85">
    <w:name w:val="Bordered &amp; Lined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86">
    <w:name w:val="Bordered &amp; Lined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87">
    <w:name w:val="Bordered &amp; Lined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8">
    <w:name w:val="Bordered &amp; Lined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9">
    <w:name w:val="Bordered &amp; Lined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90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1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2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93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94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95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96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9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Table Grid"/>
    <w:basedOn w:val="89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9" w:customStyle="1">
    <w:name w:val="Без интервала1"/>
    <w:link w:val="87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BC51-AC2B-426E-94B9-52D3197B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valkova.uv</cp:lastModifiedBy>
  <cp:revision>12</cp:revision>
  <dcterms:created xsi:type="dcterms:W3CDTF">2026-09-03T08:53:34Z</dcterms:created>
  <dcterms:modified xsi:type="dcterms:W3CDTF">2026-09-03T06:14:27Z</dcterms:modified>
</cp:coreProperties>
</file>