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contextualSpacing w:val="true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contextualSpacing w:val="true"/>
        <w:jc w:val="center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Протокол определения и (или) обоснования НМЦК, НМЦД, ЦК, ЦД, НЦЕ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1"/>
        <w:pBdr/>
        <w:spacing w:after="0" w:line="240" w:lineRule="auto"/>
        <w:ind w:left="0"/>
        <w:jc w:val="center"/>
        <w:rPr>
          <w:rFonts w:ascii="Times New Roman" w:hAnsi="Times New Roman"/>
          <w:highlight w:val="white"/>
          <w:u w:val="single"/>
        </w:rPr>
      </w:pPr>
      <w:r>
        <w:rPr>
          <w:rFonts w:ascii="Times New Roman" w:hAnsi="Times New Roman"/>
          <w:highlight w:val="white"/>
        </w:rPr>
        <w:t xml:space="preserve">Расчет НМЦК, НМЦД, </w:t>
      </w:r>
      <w:r>
        <w:rPr>
          <w:rFonts w:ascii="Times New Roman" w:hAnsi="Times New Roman"/>
          <w:highlight w:val="white"/>
          <w:u w:val="single"/>
        </w:rPr>
        <w:t xml:space="preserve">ЦК</w:t>
      </w:r>
      <w:r>
        <w:rPr>
          <w:rFonts w:ascii="Times New Roman" w:hAnsi="Times New Roman"/>
          <w:highlight w:val="white"/>
        </w:rPr>
        <w:t xml:space="preserve">, ЦД, НЦЕ (нужное подчеркнуть) иным </w:t>
      </w:r>
      <w:r>
        <w:rPr>
          <w:rFonts w:ascii="Times New Roman" w:hAnsi="Times New Roman"/>
          <w:highlight w:val="white"/>
        </w:rPr>
        <w:t xml:space="preserve">методом для</w:t>
      </w:r>
      <w:r>
        <w:rPr>
          <w:rFonts w:ascii="Times New Roman" w:hAnsi="Times New Roman"/>
          <w:highlight w:val="white"/>
        </w:rPr>
        <w:t xml:space="preserve"> определения и обоснования НМЦК, НМЦД, </w:t>
      </w:r>
      <w:r>
        <w:rPr>
          <w:rFonts w:ascii="Times New Roman" w:hAnsi="Times New Roman"/>
          <w:highlight w:val="white"/>
          <w:u w:val="single"/>
        </w:rPr>
        <w:t xml:space="preserve">ЦК,</w:t>
      </w:r>
      <w:r>
        <w:rPr>
          <w:rFonts w:ascii="Times New Roman" w:hAnsi="Times New Roman"/>
          <w:highlight w:val="white"/>
          <w:u w:val="single"/>
        </w:rPr>
      </w:r>
    </w:p>
    <w:p>
      <w:pPr>
        <w:pStyle w:val="901"/>
        <w:pBdr/>
        <w:spacing w:after="0" w:line="240" w:lineRule="auto"/>
        <w:ind w:left="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ЦД, НЦЕ (нужное подчеркнуть)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after="0" w:line="240" w:lineRule="auto"/>
        <w:ind w:left="0"/>
        <w:jc w:val="center"/>
        <w:rPr>
          <w:rFonts w:ascii="Times New Roman" w:hAnsi="Times New Roman"/>
          <w:highlight w:val="white"/>
          <w:u w:val="single"/>
        </w:rPr>
      </w:pPr>
      <w:r>
        <w:rPr>
          <w:rFonts w:ascii="Times New Roman" w:hAnsi="Times New Roman"/>
          <w:highlight w:val="white"/>
        </w:rPr>
        <w:t xml:space="preserve">Объект закупки: </w:t>
      </w:r>
      <w:r>
        <w:rPr>
          <w:rFonts w:ascii="Times New Roman" w:hAnsi="Times New Roman" w:eastAsia="Times New Roman"/>
          <w:color w:val="000000"/>
          <w:highlight w:val="white"/>
        </w:rPr>
        <w:t xml:space="preserve">консультационные услуги по </w:t>
      </w:r>
      <w:r>
        <w:rPr>
          <w:rFonts w:ascii="Times New Roman" w:hAnsi="Times New Roman" w:eastAsia="Times New Roman"/>
          <w:color w:val="000000"/>
          <w:highlight w:val="white"/>
        </w:rPr>
        <w:t xml:space="preserve">вопросам управления деятельности Заказчика: 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проведение проектных семинаров с сотрудниками университета с целью формирования ключевых направлений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 стратегии развития Университета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 до 2030 года</w:t>
      </w:r>
      <w:r/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/>
          <w:highlight w:val="white"/>
          <w:u w:val="single"/>
        </w:rPr>
      </w:r>
    </w:p>
    <w:p>
      <w:pPr>
        <w:pBdr/>
        <w:spacing w:after="0" w:line="240" w:lineRule="auto"/>
        <w:ind w:firstLine="742"/>
        <w:contextualSpacing w:val="true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Начальная (максимальная) цена контракта (договора) сформирована в соответствии с Методическими рекомендациям</w:t>
      </w:r>
      <w:r>
        <w:rPr>
          <w:rFonts w:ascii="Times New Roman" w:hAnsi="Times New Roman"/>
          <w:highlight w:val="white"/>
        </w:rPr>
        <w:t xml:space="preserve">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 (далее – Методические реко</w:t>
      </w:r>
      <w:r>
        <w:rPr>
          <w:rFonts w:ascii="Times New Roman" w:hAnsi="Times New Roman"/>
          <w:highlight w:val="white"/>
        </w:rPr>
        <w:t xml:space="preserve">мендации).</w:t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 w:firstLine="742"/>
        <w:contextualSpacing w:val="true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Валюта, используемая для формирования цены контракта и расчетов с поставщиком - Российский рубль.</w:t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 w:firstLine="742"/>
        <w:contextualSpacing w:val="true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Порядок применения официального курса иностранной валюты к рублю Российской Федерации, установленного</w:t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 w:firstLine="742"/>
        <w:contextualSpacing w:val="true"/>
        <w:jc w:val="both"/>
        <w:outlineLvl w:val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Центральным банком Российской Федерации и исп</w:t>
      </w:r>
      <w:r>
        <w:rPr>
          <w:rFonts w:ascii="Times New Roman" w:hAnsi="Times New Roman"/>
          <w:highlight w:val="white"/>
        </w:rPr>
        <w:t xml:space="preserve">ользуемого при оплате контракта: не предусмотрен</w:t>
      </w:r>
      <w:r>
        <w:rPr>
          <w:rFonts w:ascii="Times New Roman" w:hAnsi="Times New Roman"/>
          <w:highlight w:val="white"/>
        </w:rPr>
      </w:r>
    </w:p>
    <w:p>
      <w:pPr>
        <w:pStyle w:val="901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Осуществлен анализ общедоступной ценовой информации (реклама, каталоги, описания товаров и другие предложения, обращенные к неопределенному кругу лиц, данные государственной статистической отчетности о ценах</w:t>
      </w:r>
      <w:r>
        <w:rPr>
          <w:rFonts w:ascii="Times New Roman" w:hAnsi="Times New Roman"/>
          <w:highlight w:val="white"/>
        </w:rPr>
        <w:t xml:space="preserve"> на товары). Поиск ценовой информации результатов не дал.</w:t>
      </w:r>
      <w:r>
        <w:rPr>
          <w:rFonts w:ascii="Times New Roman" w:hAnsi="Times New Roman" w:eastAsia="Times New Roman"/>
          <w:highlight w:val="white"/>
        </w:rPr>
      </w:r>
    </w:p>
    <w:tbl>
      <w:tblPr>
        <w:tblStyle w:val="900"/>
        <w:tblW w:w="4832" w:type="pct"/>
        <w:tblBorders/>
        <w:tblLayout w:type="fixed"/>
        <w:tblLook w:val="04A0" w:firstRow="1" w:lastRow="0" w:firstColumn="1" w:lastColumn="0" w:noHBand="0" w:noVBand="1"/>
      </w:tblPr>
      <w:tblGrid>
        <w:gridCol w:w="650"/>
        <w:gridCol w:w="3651"/>
        <w:gridCol w:w="4098"/>
        <w:gridCol w:w="7004"/>
      </w:tblGrid>
      <w:tr>
        <w:trPr>
          <w:trHeight w:val="11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650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51" w:type="dxa"/>
            <w:textDirection w:val="lrTb"/>
            <w:noWrap w:val="false"/>
          </w:tcPr>
          <w:p>
            <w:pPr>
              <w:pBdr/>
              <w:tabs>
                <w:tab w:val="center" w:leader="none" w:pos="2656"/>
                <w:tab w:val="left" w:leader="none" w:pos="4395"/>
              </w:tabs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Ссылка на источник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Краткая информация о Поставщике, Подрядчике, Исполнителе 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0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Причина невозможности использования ценовой информации</w:t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1.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 w:themeColor="text1"/>
                <w:highlight w:val="white"/>
              </w:rPr>
            </w:pPr>
            <w:r/>
            <w:hyperlink r:id="rId10" w:tooltip="https://www.hdf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hd</w:t>
              </w:r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</w:rPr>
                <w:t xml:space="preserve">а</w:t>
              </w:r>
            </w:hyperlink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val="en-US"/>
              </w:rPr>
              <w:t xml:space="preserve">-academy.ru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Сайт организации, специализирующейся на оказании услуг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Ценовая информация </w:t>
            </w:r>
            <w:r>
              <w:rPr>
                <w:rFonts w:ascii="Times New Roman" w:hAnsi="Times New Roman"/>
                <w:highlight w:val="white"/>
              </w:rPr>
              <w:t xml:space="preserve">отсутствует</w:t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32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2.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highlight w:val="white"/>
              </w:rPr>
            </w:pPr>
            <w:r/>
            <w:hyperlink r:id="rId11" w:tooltip="http://www.ap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</w:rPr>
                <w:t xml:space="preserve">www.</w:t>
              </w:r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ap</w:t>
              </w:r>
            </w:hyperlink>
            <w:r>
              <w:rPr>
                <w:rFonts w:ascii="Times New Roman" w:hAnsi="Times New Roman" w:eastAsia="Times New Roman"/>
                <w:color w:val="000000" w:themeColor="text1"/>
                <w:highlight w:val="white"/>
                <w:lang w:val="en-US"/>
              </w:rPr>
              <w:t xml:space="preserve">-group</w:t>
            </w:r>
            <w:r>
              <w:rPr>
                <w:rFonts w:ascii="Times New Roman" w:hAnsi="Times New Roman" w:eastAsia="Times New Roman"/>
                <w:color w:val="000000" w:themeColor="text1"/>
                <w:highlight w:val="white"/>
              </w:rPr>
              <w:t xml:space="preserve">.ru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Сайт организации, специализирующейся на оказании услуг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Ценовая информация </w:t>
            </w:r>
            <w:r>
              <w:rPr>
                <w:rFonts w:ascii="Times New Roman" w:hAnsi="Times New Roman"/>
                <w:highlight w:val="white"/>
              </w:rPr>
              <w:t xml:space="preserve">отсутствует</w:t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32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highlight w:val="white"/>
              </w:rPr>
            </w:pPr>
            <w:r/>
            <w:hyperlink r:id="rId12" w:tooltip="http://www.ap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</w:rPr>
                <w:t xml:space="preserve">www.</w:t>
              </w:r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skolkovo</w:t>
              </w:r>
            </w:hyperlink>
            <w:r>
              <w:rPr>
                <w:rFonts w:ascii="Times New Roman" w:hAnsi="Times New Roman" w:eastAsia="Times New Roman"/>
                <w:color w:val="000000" w:themeColor="text1"/>
                <w:highlight w:val="white"/>
              </w:rPr>
              <w:t xml:space="preserve">.ru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Сайт организации, специализирующейся на оказании услуг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0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Ценовая информация </w:t>
            </w:r>
            <w:r>
              <w:rPr>
                <w:rFonts w:ascii="Times New Roman" w:hAnsi="Times New Roman"/>
                <w:highlight w:val="white"/>
              </w:rPr>
              <w:t xml:space="preserve">отсутствуе</w:t>
            </w:r>
            <w:r>
              <w:rPr>
                <w:highlight w:val="white"/>
              </w:rPr>
              <w:t xml:space="preserve">т</w:t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pStyle w:val="901"/>
        <w:pBdr/>
        <w:spacing w:after="0" w:line="240" w:lineRule="auto"/>
        <w:ind w:left="0"/>
        <w:jc w:val="both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pBdr/>
        <w:spacing w:after="0" w:line="240" w:lineRule="auto"/>
        <w:ind w:left="284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2</w:t>
      </w:r>
      <w:r>
        <w:rPr>
          <w:rFonts w:ascii="Times New Roman" w:hAnsi="Times New Roman" w:eastAsia="Times New Roman"/>
          <w:highlight w:val="white"/>
        </w:rPr>
        <w:t xml:space="preserve">. </w:t>
      </w:r>
      <w:r>
        <w:rPr>
          <w:rFonts w:ascii="Times New Roman" w:hAnsi="Times New Roman" w:eastAsia="Times New Roman"/>
          <w:highlight w:val="white"/>
        </w:rPr>
        <w:t xml:space="preserve">Заказчиком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об исполненных контрактах на поставку товара с услови</w:t>
      </w:r>
      <w:r>
        <w:rPr>
          <w:rFonts w:ascii="Times New Roman" w:hAnsi="Times New Roman" w:eastAsia="Times New Roman"/>
          <w:highlight w:val="white"/>
        </w:rPr>
        <w:t xml:space="preserve">ями, схожими с потребностями Заказчика. Поиск ценовой информации не д</w:t>
      </w:r>
      <w:r>
        <w:rPr>
          <w:rFonts w:ascii="Times New Roman" w:hAnsi="Times New Roman"/>
          <w:highlight w:val="white"/>
        </w:rPr>
        <w:t xml:space="preserve">ал результаты.</w:t>
      </w:r>
      <w:r>
        <w:rPr>
          <w:rFonts w:ascii="Times New Roman" w:hAnsi="Times New Roman" w:eastAsia="Times New Roman"/>
          <w:bCs/>
          <w:highlight w:val="white"/>
        </w:rPr>
        <w:t xml:space="preserve"> Информация о результатах поиска ценовой информации в реестре контрактов:</w:t>
      </w:r>
      <w:r>
        <w:rPr>
          <w:rFonts w:ascii="Times New Roman" w:hAnsi="Times New Roman" w:eastAsia="Times New Roman"/>
          <w:highlight w:val="white"/>
        </w:rPr>
      </w:r>
    </w:p>
    <w:tbl>
      <w:tblPr>
        <w:tblInd w:w="-34" w:type="dxa"/>
        <w:tblW w:w="4971" w:type="pct"/>
        <w:tblBorders/>
        <w:tblLayout w:type="fixed"/>
        <w:tblLook w:val="04A0" w:firstRow="1" w:lastRow="0" w:firstColumn="1" w:lastColumn="0" w:noHBand="0" w:noVBand="1"/>
      </w:tblPr>
      <w:tblGrid>
        <w:gridCol w:w="2137"/>
        <w:gridCol w:w="917"/>
        <w:gridCol w:w="765"/>
        <w:gridCol w:w="1818"/>
        <w:gridCol w:w="2142"/>
        <w:gridCol w:w="1417"/>
        <w:gridCol w:w="1417"/>
        <w:gridCol w:w="1630"/>
        <w:gridCol w:w="1370"/>
        <w:gridCol w:w="2234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Реестровая запись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Объем поставки товара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Условия оплаты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Условия оказания Услуг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Обеспечение исполнения контракта (договора)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Дата заключения контракта (договора)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Дата исполнения контракта ..(договора)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Цена за единицу, руб.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Причина использования или невозможности использования ценовой информации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ед. изм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  <w:t xml:space="preserve">кол-во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/>
            <w:hyperlink r:id="rId13" w:tooltip="https://zakupki.gov.ru/epz/contract/contractCard/common-info.html?reestrNumber=2143507538826000016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sz w:val="18"/>
                  <w:szCs w:val="18"/>
                  <w:highlight w:val="white"/>
                  <w:u w:val="none"/>
                </w:rPr>
                <w:t xml:space="preserve">27702207545250001786</w:t>
              </w:r>
            </w:hyperlink>
            <w:r/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Усл. ед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Заказчик 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оплачивает 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оказанные услуги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 в соответствии с условиями Контракта путем перечисления денежных средств на счет Исполнителя, реквизиты которого приведены в Контракте, за 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вычетом суммы выплаченного аванса (если Контрактом предусмотрена выплата аванса)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Аванс в размере 30%,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Услуги должны оказываться Исполнителем в сроки, указанные в разделе 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«График выполнения обязательств по контракту»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30%.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18.09.2025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16.01.2026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190525,42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303529,98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 w:right="34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Ценовая информация не принята в расчет, так как условия исполнения контрак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та, техническое задание на оказание услуг  не соответствуют требованиям Заказчика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</w:tr>
      <w:tr>
        <w:trPr>
          <w:trHeight w:val="2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/>
            <w:hyperlink r:id="rId14" w:tooltip="https://zakupki.gov.ru/epz/contract/contractCard/common-info.html?reestrNumber=3027701348025000296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sz w:val="18"/>
                  <w:szCs w:val="18"/>
                  <w:highlight w:val="white"/>
                  <w:u w:val="none"/>
                </w:rPr>
                <w:t xml:space="preserve">3027701348025000296</w:t>
              </w:r>
            </w:hyperlink>
            <w:r/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Усл. ед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 В течение 7 (семи) рабочих дней со дня подписания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Заказчиком документа о приемке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Срок начала оказания услуг: с момента заключения контракта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 Срок окончания оказания услуг: 31.12.2025 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10%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20.10.2025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29.12.2025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784539,34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 w:right="34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Ценовая информация не принята в расчет, так как условия исполнения контракта, техническое задание на оказание услуг  не соответствуют требованиям Заказчика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/>
            <w:hyperlink r:id="rId15" w:tooltip="https://zakupki.gov.ru/epz/contract/contractCard/common-info.html?reestrNumber=2501820056025000018" w:history="1">
              <w:r>
                <w:rPr>
                  <w:rStyle w:val="884"/>
                  <w:rFonts w:ascii="Times New Roman" w:hAnsi="Times New Roman" w:eastAsia="Times New Roman"/>
                  <w:color w:val="000000" w:themeColor="text1"/>
                  <w:sz w:val="18"/>
                  <w:szCs w:val="18"/>
                  <w:highlight w:val="white"/>
                  <w:u w:val="none"/>
                </w:rPr>
                <w:t xml:space="preserve">2501820056025000018</w:t>
              </w:r>
            </w:hyperlink>
            <w:r/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Усл. ед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5 раб. дн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. от даты подписания документа-предшественника </w:t>
            </w: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«Документ о приемке (функция СЧФДОП)»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Срок начала оказания услуг: с момента заключения контракта Срок окончания оказания услуг: 10.10.2025 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highlight w:val="white"/>
              </w:rPr>
              <w:t xml:space="preserve">30%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highlight w:val="white"/>
              </w:rPr>
              <w:t xml:space="preserve">21.04.2025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highlight w:val="white"/>
              </w:rPr>
              <w:t xml:space="preserve">26.12.2025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  <w:highlight w:val="white"/>
              </w:rPr>
              <w:t xml:space="preserve">784539,34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6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white"/>
              </w:rPr>
              <w:t xml:space="preserve">Ценовая информация не принята в расчет, так как условия исполнения контракта, технические характеристики и Товара не соответствуют требованиям Заказчика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</w:r>
          </w:p>
        </w:tc>
      </w:tr>
    </w:tbl>
    <w:p>
      <w:pPr>
        <w:pStyle w:val="901"/>
        <w:pBdr/>
        <w:spacing w:line="216" w:lineRule="auto"/>
        <w:ind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Заказчик изучил положительный опыт образовательных учреждений по разработке программ развития Университет 2030.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Так как </w:t>
      </w:r>
      <w:r>
        <w:rPr>
          <w:rFonts w:ascii="Times New Roman" w:hAnsi="Times New Roman" w:eastAsia="Times New Roman"/>
          <w:color w:val="000000"/>
          <w:highlight w:val="white"/>
        </w:rPr>
        <w:t xml:space="preserve">консультационные услуги по </w:t>
      </w:r>
      <w:r>
        <w:rPr>
          <w:rFonts w:ascii="Times New Roman" w:hAnsi="Times New Roman" w:eastAsia="Times New Roman"/>
          <w:color w:val="000000"/>
          <w:highlight w:val="white"/>
        </w:rPr>
        <w:t xml:space="preserve">вопросам управления деятельности Заказчика: 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проведение проектных семинаров с сотрудниками университета с целью формирования ключевых направлений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 стратегии развития Университета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 до 2030 года</w:t>
      </w:r>
      <w:r/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/>
          <w:highlight w:val="white"/>
        </w:rPr>
        <w:t xml:space="preserve"> являются услугами, которые требуют от исполнителя специфичных компетенций, то было принято решение обратиться к эксперту, руководителю проектной работы в рамках программ Московской школы управления «Сколоково», члену </w:t>
      </w:r>
      <w:r>
        <w:rPr>
          <w:rFonts w:ascii="Times New Roman" w:hAnsi="Times New Roman"/>
          <w:highlight w:val="white"/>
        </w:rPr>
        <w:t xml:space="preserve">Управляющего Совета в Межотраслевом комитете по корпоративным инновациям, президенту тренингово-игровой корпорации «ТрИК», разработчику авторских тренингов и проектно-стратегических сессий. 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Закупка Услуг осуществляется у единственного поставщика.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Применит</w:t>
      </w:r>
      <w:r>
        <w:rPr>
          <w:rFonts w:ascii="Times New Roman" w:hAnsi="Times New Roman"/>
          <w:highlight w:val="white"/>
        </w:rPr>
        <w:t xml:space="preserve">ь методы: нормативный и тарифный не представляется возможным, так как на закупаемый объект государственное нормирование и утвержденные тарифы не предусмотрены; проектно-сметный метод - применяется только для строительных и ремонтных работ, затратный метод </w:t>
      </w:r>
      <w:r>
        <w:rPr>
          <w:rFonts w:ascii="Times New Roman" w:hAnsi="Times New Roman"/>
          <w:highlight w:val="white"/>
        </w:rPr>
        <w:t xml:space="preserve">- заключается в определении ЦК как суммы произведенных затрат и обычной для определения деятельности прибыли. Что для данного объекта закупки не применимо.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Обоснование цены выполнено иным методом.</w:t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1"/>
        <w:pBdr/>
        <w:spacing w:line="216" w:lineRule="auto"/>
        <w:ind w:firstLine="284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W w:w="4985" w:type="pct"/>
        <w:tblBorders/>
        <w:tblLayout w:type="fixed"/>
        <w:tblLook w:val="00A0" w:firstRow="1" w:lastRow="0" w:firstColumn="1" w:lastColumn="0" w:noHBand="0" w:noVBand="0"/>
      </w:tblPr>
      <w:tblGrid>
        <w:gridCol w:w="618"/>
        <w:gridCol w:w="2170"/>
        <w:gridCol w:w="709"/>
        <w:gridCol w:w="1134"/>
        <w:gridCol w:w="1417"/>
        <w:gridCol w:w="1199"/>
        <w:gridCol w:w="1691"/>
        <w:gridCol w:w="1534"/>
        <w:gridCol w:w="1694"/>
        <w:gridCol w:w="1066"/>
        <w:gridCol w:w="1233"/>
        <w:gridCol w:w="1426"/>
      </w:tblGrid>
      <w:tr>
        <w:trPr>
          <w:trHeight w:val="5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/>
            <w:bookmarkStart w:id="0" w:name="RANGE!A4:T7"/>
            <w:r/>
            <w:bookmarkStart w:id="1" w:name="RANGE!A3:T17"/>
            <w:r/>
            <w:bookmarkEnd w:id="0"/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№ п/п</w:t>
            </w:r>
            <w:bookmarkEnd w:id="1"/>
            <w:r/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Наименование товара, работ, услуг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Объем поставки товара, оказания услуг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Предложение 1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9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Стоимость,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Предложение 2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Стоимость,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Предложение 3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Стоимость,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ОДН/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НЕОДН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6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НМЦК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рын.=руб.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9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4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6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1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171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Консультационные услуги по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вопросам управления деятельности Заказчика: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highlight w:val="white"/>
              </w:rPr>
              <w:t xml:space="preserve">проведение проектных семинаров с сотрудниками университета с целью формирования ключевых направлений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highlight w:val="white"/>
              </w:rPr>
              <w:t xml:space="preserve"> стратегии развития Университета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white"/>
                <w:lang w:eastAsia="en-US"/>
              </w:rPr>
              <w:t xml:space="preserve"> до 2030 года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Усл. ед.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580 000,00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580 000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/>
            <w:bookmarkStart w:id="2" w:name="RANGE!I5"/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bookmarkEnd w:id="2"/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580 000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580 000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580 0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00,00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 w:firstLine="283"/>
        <w:contextualSpacing w:val="true"/>
        <w:jc w:val="both"/>
        <w:outlineLvl w:val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За ЦК принято предложение, удовлетворяющее требованиям заказчика, и составила:580 000,00 рублей </w:t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 w:firstLine="283"/>
        <w:contextualSpacing w:val="true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Реквизиты документов, на основании которых произведен расчет </w:t>
      </w:r>
      <w:r>
        <w:rPr>
          <w:rFonts w:ascii="Times New Roman" w:hAnsi="Times New Roman"/>
          <w:highlight w:val="white"/>
          <w:u w:val="single"/>
        </w:rPr>
        <w:t xml:space="preserve">ЦК</w:t>
      </w:r>
      <w:r>
        <w:rPr>
          <w:rFonts w:ascii="Times New Roman" w:hAnsi="Times New Roman"/>
          <w:highlight w:val="white"/>
          <w:lang w:eastAsia="ru-RU"/>
        </w:rPr>
        <w:t xml:space="preserve">: </w:t>
      </w:r>
      <w:r>
        <w:rPr>
          <w:rFonts w:ascii="Times New Roman" w:hAnsi="Times New Roman"/>
          <w:highlight w:val="white"/>
          <w:lang w:eastAsia="ru-RU"/>
        </w:rPr>
        <w:t xml:space="preserve">коммерческое предложение от 26.06.2026 г. № б/н</w:t>
      </w:r>
      <w:r>
        <w:rPr>
          <w:rFonts w:ascii="Times New Roman" w:hAnsi="Times New Roman"/>
          <w:highlight w:val="white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contextualSpacing w:val="true"/>
        <w:jc w:val="both"/>
        <w:outlineLvl w:val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Дата подготовки определения и (или) </w:t>
      </w:r>
      <w:bookmarkStart w:id="3" w:name="_GoBack"/>
      <w:r/>
      <w:bookmarkEnd w:id="3"/>
      <w:r>
        <w:rPr>
          <w:rFonts w:ascii="Times New Roman" w:hAnsi="Times New Roman"/>
          <w:highlight w:val="white"/>
        </w:rPr>
        <w:t xml:space="preserve">обоснования 30.06.2026</w:t>
      </w:r>
      <w:r>
        <w:rPr>
          <w:rFonts w:ascii="Times New Roman" w:hAnsi="Times New Roman"/>
          <w:highlight w:val="white"/>
        </w:rPr>
        <w:t xml:space="preserve"> года</w:t>
      </w:r>
      <w:r>
        <w:rPr>
          <w:rFonts w:ascii="Times New Roman" w:hAnsi="Times New Roman"/>
          <w:highlight w:val="white"/>
        </w:rPr>
      </w:r>
    </w:p>
    <w:sectPr>
      <w:footnotePr/>
      <w:endnotePr/>
      <w:type w:val="nextPage"/>
      <w:pgSz w:h="11906" w:orient="landscape" w:w="16838"/>
      <w:pgMar w:top="720" w:right="395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409AD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nsid w:val="756D3067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7E362CCA"/>
    <w:lvl w:ilvl="0">
      <w:isLgl w:val="false"/>
      <w:lvlJc w:val="left"/>
      <w:lvlText w:val="%1."/>
      <w:numFmt w:val="decimal"/>
      <w:pPr>
        <w:pBdr/>
        <w:spacing/>
        <w:ind w:firstLine="0" w:left="0"/>
      </w:pPr>
      <w:pStyle w:val="911"/>
      <w:rPr>
        <w:rFonts w:hint="default"/>
        <w:sz w:val="24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firstLine="709" w:left="0"/>
      </w:pPr>
      <w:pStyle w:val="912"/>
      <w:rPr>
        <w:rFonts w:hint="default"/>
        <w:caps w:val="0"/>
        <w:strike w:val="0"/>
        <w:vanish w:val="0"/>
        <w:sz w:val="24"/>
        <w:vertAlign w:val="baseline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firstLine="709" w:left="708"/>
      </w:pPr>
      <w:pStyle w:val="913"/>
      <w:rPr>
        <w:rFonts w:hint="default" w:ascii="Times New Roman" w:hAnsi="Times New Roman" w:cs="Times New Roman"/>
        <w:sz w:val="24"/>
        <w:szCs w:val="24"/>
      </w:rPr>
      <w:start w:val="1"/>
      <w:suff w:val="space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8"/>
    <w:next w:val="708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8"/>
    <w:next w:val="70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8"/>
    <w:next w:val="708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8"/>
    <w:next w:val="70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8"/>
    <w:next w:val="708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8"/>
    <w:next w:val="70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8"/>
    <w:next w:val="708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6">
    <w:name w:val="Header"/>
    <w:basedOn w:val="708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8">
    <w:name w:val="Footer"/>
    <w:basedOn w:val="708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80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08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character" w:styleId="712" w:customStyle="1">
    <w:name w:val="Title Char"/>
    <w:basedOn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3" w:customStyle="1">
    <w:name w:val="Subtitle Char"/>
    <w:basedOn w:val="7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4" w:customStyle="1">
    <w:name w:val="Quote Char"/>
    <w:basedOn w:val="7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5" w:customStyle="1">
    <w:name w:val="Intense Quote Char"/>
    <w:basedOn w:val="70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16" w:customStyle="1">
    <w:name w:val="Footnote Text Char"/>
    <w:basedOn w:val="709"/>
    <w:uiPriority w:val="99"/>
    <w:semiHidden/>
    <w:pPr>
      <w:pBdr/>
      <w:spacing/>
      <w:ind/>
    </w:pPr>
    <w:rPr>
      <w:sz w:val="20"/>
      <w:szCs w:val="20"/>
    </w:rPr>
  </w:style>
  <w:style w:type="character" w:styleId="717" w:customStyle="1">
    <w:name w:val="Endnote Text Char"/>
    <w:basedOn w:val="709"/>
    <w:uiPriority w:val="99"/>
    <w:semiHidden/>
    <w:pPr>
      <w:pBdr/>
      <w:spacing/>
      <w:ind/>
    </w:pPr>
    <w:rPr>
      <w:sz w:val="20"/>
      <w:szCs w:val="20"/>
    </w:rPr>
  </w:style>
  <w:style w:type="table" w:styleId="718" w:customStyle="1">
    <w:name w:val="Table Grid Light"/>
    <w:basedOn w:val="71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Таблица простая 11"/>
    <w:basedOn w:val="71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Таблица простая 21"/>
    <w:basedOn w:val="71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Таблица простая 31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Таблица простая 41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Таблица простая 51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Таблица-сетка 1 светлая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а-сетка 2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2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3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4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5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6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а-сетка 3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2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3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4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5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6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а-сетка 41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1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2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3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4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5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6"/>
    <w:basedOn w:val="710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а-сетка 5 темная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а-сетка 6 цветная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-сетка 7 цветная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1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2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3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4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5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6"/>
    <w:basedOn w:val="71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-таблица 1 светлая1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1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2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3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4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5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6"/>
    <w:basedOn w:val="71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Список-таблица 2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3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писок-таблица 4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писок-таблица 5 темная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Список-таблица 6 цветная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писок-таблица 7 цветная1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1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2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3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4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5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6"/>
    <w:basedOn w:val="710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1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2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3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4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5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6"/>
    <w:basedOn w:val="71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 w:customStyle="1">
    <w:name w:val="Заголовок 21"/>
    <w:basedOn w:val="708"/>
    <w:next w:val="70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44" w:customStyle="1">
    <w:name w:val="Заголовок 31"/>
    <w:basedOn w:val="708"/>
    <w:next w:val="708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45" w:customStyle="1">
    <w:name w:val="Заголовок 41"/>
    <w:basedOn w:val="708"/>
    <w:next w:val="70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46" w:customStyle="1">
    <w:name w:val="Заголовок 51"/>
    <w:basedOn w:val="708"/>
    <w:next w:val="708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47" w:customStyle="1">
    <w:name w:val="Заголовок 61"/>
    <w:basedOn w:val="708"/>
    <w:next w:val="70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 w:customStyle="1">
    <w:name w:val="Заголовок 71"/>
    <w:basedOn w:val="708"/>
    <w:next w:val="708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 w:customStyle="1">
    <w:name w:val="Заголовок 81"/>
    <w:basedOn w:val="708"/>
    <w:next w:val="708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 w:customStyle="1">
    <w:name w:val="Заголовок 91"/>
    <w:basedOn w:val="708"/>
    <w:next w:val="708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 w:customStyle="1">
    <w:name w:val="Heading 2 Char"/>
    <w:basedOn w:val="709"/>
    <w:link w:val="84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2" w:customStyle="1">
    <w:name w:val="Heading 3 Char"/>
    <w:basedOn w:val="709"/>
    <w:link w:val="8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3" w:customStyle="1">
    <w:name w:val="Heading 4 Char"/>
    <w:basedOn w:val="70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4" w:customStyle="1">
    <w:name w:val="Heading 5 Char"/>
    <w:basedOn w:val="709"/>
    <w:link w:val="8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5" w:customStyle="1">
    <w:name w:val="Heading 6 Char"/>
    <w:basedOn w:val="709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 w:customStyle="1">
    <w:name w:val="Heading 7 Char"/>
    <w:basedOn w:val="709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 w:customStyle="1">
    <w:name w:val="Heading 8 Char"/>
    <w:basedOn w:val="709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 w:customStyle="1">
    <w:name w:val="Heading 9 Char"/>
    <w:basedOn w:val="709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708"/>
    <w:next w:val="708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 w:customStyle="1">
    <w:name w:val="Заголовок Знак"/>
    <w:basedOn w:val="709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708"/>
    <w:next w:val="708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 w:customStyle="1">
    <w:name w:val="Подзаголовок Знак"/>
    <w:basedOn w:val="709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708"/>
    <w:next w:val="708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 w:customStyle="1">
    <w:name w:val="Цитата 2 Знак"/>
    <w:basedOn w:val="709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Intense Emphasis"/>
    <w:basedOn w:val="70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6">
    <w:name w:val="Intense Quote"/>
    <w:basedOn w:val="708"/>
    <w:next w:val="708"/>
    <w:link w:val="86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7" w:customStyle="1">
    <w:name w:val="Выделенная цитата Знак"/>
    <w:basedOn w:val="709"/>
    <w:link w:val="86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9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 w:customStyle="1">
    <w:name w:val="Header Char"/>
    <w:basedOn w:val="709"/>
    <w:uiPriority w:val="99"/>
    <w:pPr>
      <w:pBdr/>
      <w:spacing/>
      <w:ind/>
    </w:pPr>
  </w:style>
  <w:style w:type="character" w:styleId="876" w:customStyle="1">
    <w:name w:val="Footer Char"/>
    <w:basedOn w:val="709"/>
    <w:uiPriority w:val="99"/>
    <w:pPr>
      <w:pBdr/>
      <w:spacing/>
      <w:ind/>
    </w:pPr>
  </w:style>
  <w:style w:type="paragraph" w:styleId="877" w:customStyle="1">
    <w:name w:val="Название объекта1"/>
    <w:basedOn w:val="708"/>
    <w:next w:val="70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8">
    <w:name w:val="footnote text"/>
    <w:basedOn w:val="70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 w:customStyle="1">
    <w:name w:val="Текст сноски Знак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708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 w:customStyle="1">
    <w:name w:val="Текст концевой сноски Знак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70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85">
    <w:name w:val="FollowedHyperlink"/>
    <w:basedOn w:val="70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6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887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888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889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890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891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892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893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894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709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708"/>
    <w:next w:val="708"/>
    <w:uiPriority w:val="99"/>
    <w:unhideWhenUsed/>
    <w:pPr>
      <w:pBdr/>
      <w:spacing w:after="0"/>
      <w:ind/>
    </w:pPr>
  </w:style>
  <w:style w:type="paragraph" w:styleId="898" w:customStyle="1">
    <w:name w:val="Заголовок 11"/>
    <w:basedOn w:val="708"/>
    <w:link w:val="904"/>
    <w:uiPriority w:val="99"/>
    <w:qFormat/>
    <w:pPr>
      <w:pBdr/>
      <w:spacing w:after="100" w:afterAutospacing="1" w:before="100" w:beforeAutospacing="1" w:line="240" w:lineRule="auto"/>
      <w:ind w:left="150"/>
      <w:outlineLvl w:val="0"/>
    </w:pPr>
    <w:rPr>
      <w:b/>
      <w:sz w:val="24"/>
      <w:szCs w:val="20"/>
      <w:lang w:eastAsia="ru-RU"/>
    </w:rPr>
  </w:style>
  <w:style w:type="character" w:styleId="899" w:customStyle="1">
    <w:name w:val="Heading 1 Char"/>
    <w:uiPriority w:val="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table" w:styleId="900">
    <w:name w:val="Table Grid"/>
    <w:basedOn w:val="710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List Paragraph"/>
    <w:basedOn w:val="708"/>
    <w:uiPriority w:val="99"/>
    <w:qFormat/>
    <w:pPr>
      <w:pBdr/>
      <w:spacing/>
      <w:ind w:left="720"/>
      <w:contextualSpacing w:val="true"/>
    </w:pPr>
  </w:style>
  <w:style w:type="paragraph" w:styleId="902">
    <w:name w:val="Balloon Text"/>
    <w:basedOn w:val="708"/>
    <w:link w:val="903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4" w:customStyle="1">
    <w:name w:val="Заголовок 1 Знак"/>
    <w:link w:val="898"/>
    <w:uiPriority w:val="99"/>
    <w:pPr>
      <w:pBdr/>
      <w:spacing/>
      <w:ind/>
    </w:pPr>
    <w:rPr>
      <w:b/>
      <w:sz w:val="24"/>
      <w:lang w:val="ru-RU" w:eastAsia="ru-RU"/>
    </w:rPr>
  </w:style>
  <w:style w:type="paragraph" w:styleId="905" w:customStyle="1">
    <w:name w:val="Верхний колонтитул1"/>
    <w:basedOn w:val="708"/>
    <w:link w:val="90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6" w:customStyle="1">
    <w:name w:val="Верхний колонтитул Знак"/>
    <w:link w:val="905"/>
    <w:uiPriority w:val="99"/>
    <w:pPr>
      <w:pBdr/>
      <w:spacing/>
      <w:ind/>
    </w:pPr>
    <w:rPr>
      <w:sz w:val="22"/>
      <w:szCs w:val="22"/>
      <w:lang w:eastAsia="en-US"/>
    </w:rPr>
  </w:style>
  <w:style w:type="paragraph" w:styleId="907" w:customStyle="1">
    <w:name w:val="Нижний колонтитул1"/>
    <w:basedOn w:val="708"/>
    <w:link w:val="90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8" w:customStyle="1">
    <w:name w:val="Нижний колонтитул Знак"/>
    <w:link w:val="907"/>
    <w:uiPriority w:val="99"/>
    <w:pPr>
      <w:pBdr/>
      <w:spacing/>
      <w:ind/>
    </w:pPr>
    <w:rPr>
      <w:sz w:val="22"/>
      <w:szCs w:val="22"/>
      <w:lang w:eastAsia="en-US"/>
    </w:rPr>
  </w:style>
  <w:style w:type="paragraph" w:styleId="909">
    <w:name w:val="Document Map"/>
    <w:basedOn w:val="708"/>
    <w:link w:val="91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0" w:customStyle="1">
    <w:name w:val="Схема документа Знак"/>
    <w:basedOn w:val="709"/>
    <w:link w:val="909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paragraph" w:styleId="911" w:customStyle="1">
    <w:name w:val="Раздел контракта"/>
    <w:qFormat/>
    <w:pPr>
      <w:numPr>
        <w:numId w:val="3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before="120"/>
      <w:ind/>
      <w:jc w:val="center"/>
      <w:outlineLvl w:val="0"/>
    </w:pPr>
    <w:rPr>
      <w:rFonts w:ascii="Times New Roman" w:hAnsi="Times New Roman" w:eastAsiaTheme="majorEastAsia" w:cstheme="majorBidi"/>
      <w:sz w:val="24"/>
      <w:szCs w:val="32"/>
      <w:lang w:eastAsia="en-US"/>
    </w:rPr>
  </w:style>
  <w:style w:type="paragraph" w:styleId="912" w:customStyle="1">
    <w:name w:val="Пункт контракта"/>
    <w:qFormat/>
    <w:pPr>
      <w:numPr>
        <w:ilvl w:val="1"/>
        <w:numId w:val="3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outlineLvl w:val="1"/>
    </w:pPr>
    <w:rPr>
      <w:rFonts w:ascii="Times New Roman" w:hAnsi="Times New Roman" w:eastAsiaTheme="majorEastAsia" w:cstheme="majorBidi"/>
      <w:sz w:val="24"/>
      <w:szCs w:val="26"/>
      <w:lang w:eastAsia="ar-SA"/>
    </w:rPr>
  </w:style>
  <w:style w:type="paragraph" w:styleId="913" w:customStyle="1">
    <w:name w:val="Подпункт контракта"/>
    <w:qFormat/>
    <w:pPr>
      <w:numPr>
        <w:ilvl w:val="2"/>
        <w:numId w:val="3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outlineLvl w:val="2"/>
    </w:pPr>
    <w:rPr>
      <w:rFonts w:ascii="Times New Roman" w:hAnsi="Times New Roman" w:eastAsiaTheme="majorEastAsia" w:cstheme="majorBidi"/>
      <w:sz w:val="24"/>
      <w:szCs w:val="24"/>
      <w:lang w:eastAsia="en-US"/>
    </w:rPr>
  </w:style>
  <w:style w:type="paragraph" w:styleId="914" w:customStyle="1">
    <w:name w:val="Тест таблицы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hdf" TargetMode="External"/><Relationship Id="rId11" Type="http://schemas.openxmlformats.org/officeDocument/2006/relationships/hyperlink" Target="http://www.ap" TargetMode="External"/><Relationship Id="rId12" Type="http://schemas.openxmlformats.org/officeDocument/2006/relationships/hyperlink" Target="http://www.ap" TargetMode="External"/><Relationship Id="rId13" Type="http://schemas.openxmlformats.org/officeDocument/2006/relationships/hyperlink" Target="https://zakupki.gov.ru/epz/contract/contractCard/common-info.html?reestrNumber=2143507538826000016" TargetMode="External"/><Relationship Id="rId14" Type="http://schemas.openxmlformats.org/officeDocument/2006/relationships/hyperlink" Target="https://zakupki.gov.ru/epz/contract/contractCard/common-info.html?reestrNumber=3027701348025000296" TargetMode="External"/><Relationship Id="rId15" Type="http://schemas.openxmlformats.org/officeDocument/2006/relationships/hyperlink" Target="https://zakupki.gov.ru/epz/contract/contractCard/common-info.html?reestrNumber=25018200560250000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5529-6064-490E-98A3-EE245DBD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Юрий Владимирович</dc:creator>
  <cp:keywords/>
  <dc:description/>
  <cp:revision>223</cp:revision>
  <dcterms:created xsi:type="dcterms:W3CDTF">2017-07-19T00:09:00Z</dcterms:created>
  <dcterms:modified xsi:type="dcterms:W3CDTF">2026-06-29T23:59:05Z</dcterms:modified>
</cp:coreProperties>
</file>