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43A" w:rsidRDefault="0003181B">
      <w:pPr>
        <w:keepNext/>
        <w:widowControl w:val="0"/>
        <w:spacing w:before="240" w:after="0" w:line="240" w:lineRule="atLeast"/>
        <w:contextualSpacing/>
        <w:jc w:val="center"/>
        <w:outlineLvl w:val="0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Приложения к ЭлектронноЙ ВЕРСИИ контракта</w:t>
      </w:r>
    </w:p>
    <w:p w:rsidR="007A543A" w:rsidRDefault="007A543A">
      <w:pPr>
        <w:jc w:val="center"/>
        <w:rPr>
          <w:rFonts w:ascii="Times New Roman" w:hAnsi="Times New Roman"/>
          <w:sz w:val="24"/>
        </w:rPr>
      </w:pPr>
    </w:p>
    <w:p w:rsidR="007A543A" w:rsidRDefault="0003181B">
      <w:pPr>
        <w:keepNext/>
        <w:widowControl w:val="0"/>
        <w:spacing w:after="240" w:line="240" w:lineRule="atLeast"/>
        <w:contextualSpacing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Неотъемлемой частью Электронной версии контракта (далее по тексту приложений - Контракт) являются следующие приложения:</w:t>
      </w:r>
    </w:p>
    <w:p w:rsidR="007A543A" w:rsidRDefault="0003181B">
      <w:pPr>
        <w:keepNext/>
        <w:widowControl w:val="0"/>
        <w:spacing w:after="240" w:line="240" w:lineRule="atLeast"/>
        <w:contextualSpacing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приложение № 1 – Условия Контракта;</w:t>
      </w:r>
    </w:p>
    <w:p w:rsidR="007A543A" w:rsidRDefault="0003181B">
      <w:pPr>
        <w:keepNext/>
        <w:widowControl w:val="0"/>
        <w:tabs>
          <w:tab w:val="left" w:pos="4207"/>
        </w:tabs>
        <w:spacing w:after="240" w:line="240" w:lineRule="atLeast"/>
        <w:contextualSpacing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приложение № 2 – Спецификация</w:t>
      </w:r>
      <w:r>
        <w:rPr>
          <w:rFonts w:ascii="Times New Roman" w:hAnsi="Times New Roman"/>
          <w:sz w:val="24"/>
        </w:rPr>
        <w:t xml:space="preserve"> (Техническое задание).</w:t>
      </w:r>
      <w:r>
        <w:rPr>
          <w:rFonts w:ascii="Times New Roman" w:hAnsi="Times New Roman"/>
          <w:sz w:val="24"/>
        </w:rPr>
        <w:tab/>
      </w:r>
    </w:p>
    <w:p w:rsidR="007A543A" w:rsidRDefault="0003181B">
      <w:pPr>
        <w:keepNext/>
        <w:widowControl w:val="0"/>
        <w:spacing w:after="240" w:line="240" w:lineRule="atLeast"/>
        <w:contextualSpacing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:rsidR="007A543A" w:rsidRDefault="0003181B">
      <w:pPr>
        <w:keepNext/>
        <w:widowControl w:val="0"/>
        <w:spacing w:after="240" w:line="240" w:lineRule="atLeast"/>
        <w:contextualSpacing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Контракту</w:t>
      </w:r>
    </w:p>
    <w:p w:rsidR="007A543A" w:rsidRDefault="007A543A">
      <w:pPr>
        <w:keepNext/>
        <w:widowControl w:val="0"/>
        <w:spacing w:after="240" w:line="240" w:lineRule="atLeast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7A543A" w:rsidRDefault="007A543A">
      <w:pPr>
        <w:keepNext/>
        <w:widowControl w:val="0"/>
        <w:spacing w:after="240" w:line="240" w:lineRule="atLeast"/>
        <w:contextualSpacing/>
        <w:outlineLvl w:val="0"/>
        <w:rPr>
          <w:rFonts w:ascii="Times New Roman" w:hAnsi="Times New Roman"/>
          <w:sz w:val="24"/>
        </w:rPr>
      </w:pPr>
    </w:p>
    <w:p w:rsidR="007A543A" w:rsidRDefault="0003181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УСЛОВИЯ КОНТРАКТА</w:t>
      </w:r>
    </w:p>
    <w:p w:rsidR="007A543A" w:rsidRDefault="007A543A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7A543A" w:rsidRDefault="0003181B">
      <w:pPr>
        <w:spacing w:after="0" w:line="0" w:lineRule="atLeast"/>
        <w:ind w:firstLine="567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Настоящее Приложение является неотъемлемой частью </w:t>
      </w:r>
      <w:r>
        <w:rPr>
          <w:rFonts w:ascii="Times New Roman" w:hAnsi="Times New Roman"/>
          <w:sz w:val="24"/>
        </w:rPr>
        <w:t xml:space="preserve">Электронной версии контракта. В случае несоответствия каких-либо условий или положений, содержащихся в тексте настоящего Приложения, </w:t>
      </w:r>
      <w:r>
        <w:rPr>
          <w:rFonts w:ascii="Times New Roman" w:hAnsi="Times New Roman"/>
          <w:sz w:val="24"/>
        </w:rPr>
        <w:t>условиям или положениям Контракта, приоритет будут иметь условия и положения, содержащиеся в Контракте.</w:t>
      </w:r>
    </w:p>
    <w:p w:rsidR="007A543A" w:rsidRDefault="0003181B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Предмет Контракта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Поставщик обязуется поставить товар, указанный в спецификации Контракта (далее – Товар), а Заказчик обязуется принять и </w:t>
      </w:r>
      <w:r>
        <w:rPr>
          <w:rFonts w:ascii="Times New Roman" w:hAnsi="Times New Roman"/>
          <w:sz w:val="24"/>
        </w:rPr>
        <w:t>оплатить Товар в порядке и на условиях, предусмотренных Контрактом и настоящим Приложением.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Наименование, количество и иные характеристики поставляемого Товара указаны в спецификации Контракта (далее – Спецификация).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ИКЗ: 26 1 7710247083 771001001 005</w:t>
      </w:r>
      <w:r>
        <w:rPr>
          <w:rFonts w:ascii="Times New Roman" w:hAnsi="Times New Roman"/>
          <w:sz w:val="24"/>
        </w:rPr>
        <w:t>2 000 0000 244.</w:t>
      </w:r>
    </w:p>
    <w:p w:rsidR="007A543A" w:rsidRDefault="0003181B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Цена Контракта и порядок расчетов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0" w:name="P1440"/>
      <w:bookmarkEnd w:id="0"/>
      <w:r>
        <w:rPr>
          <w:rFonts w:ascii="Times New Roman" w:hAnsi="Times New Roman"/>
          <w:sz w:val="24"/>
        </w:rPr>
        <w:t>2.1. Общая стоимость Товара (далее – Цена Контракта) указана в Контракте.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Цена Контракта включает в себя: стоимость Товара, расходы, связанные с доставкой, разгрузкой - погрузкой, размещением в мес</w:t>
      </w:r>
      <w:r>
        <w:rPr>
          <w:rFonts w:ascii="Times New Roman" w:hAnsi="Times New Roman"/>
          <w:sz w:val="24"/>
        </w:rPr>
        <w:t>тах хранения Заказчика, стоимость упаковки (тары), маркировки, страхование, таможенные платежи (пошлины), установленные налоги, сборы и иные расходы, связанные с исполнением Контракта.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1" w:name="P1459"/>
      <w:bookmarkEnd w:id="1"/>
      <w:r>
        <w:rPr>
          <w:rFonts w:ascii="Times New Roman" w:hAnsi="Times New Roman"/>
          <w:sz w:val="24"/>
        </w:rPr>
        <w:t>2.3. Цена Контракта является твердой и определяется на весь срок исполн</w:t>
      </w:r>
      <w:r>
        <w:rPr>
          <w:rFonts w:ascii="Times New Roman" w:hAnsi="Times New Roman"/>
          <w:sz w:val="24"/>
        </w:rPr>
        <w:t xml:space="preserve">ения Контракта,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</w:t>
      </w:r>
      <w:r>
        <w:rPr>
          <w:rFonts w:ascii="Times New Roman" w:hAnsi="Times New Roman"/>
          <w:sz w:val="24"/>
        </w:rPr>
        <w:t>Контрактом и приложениями к нему.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2" w:name="P1460"/>
      <w:bookmarkEnd w:id="2"/>
      <w:r>
        <w:rPr>
          <w:rFonts w:ascii="Times New Roman" w:hAnsi="Times New Roman"/>
          <w:sz w:val="24"/>
        </w:rPr>
        <w:t xml:space="preserve">2.4. </w:t>
      </w:r>
      <w:bookmarkStart w:id="3" w:name="P1462"/>
      <w:bookmarkEnd w:id="3"/>
      <w:r>
        <w:rPr>
          <w:rFonts w:ascii="Times New Roman" w:hAnsi="Times New Roman"/>
          <w:sz w:val="24"/>
        </w:rPr>
        <w:t>Источник финансирования – средства бюджетных учреждений, поступившие на лицевой счет 21.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 Расчеты между Заказчиком и Поставщиком производятся по факту поставки Товара в течение 7 (семи) рабочих дней с даты утвержд</w:t>
      </w:r>
      <w:r>
        <w:rPr>
          <w:rFonts w:ascii="Times New Roman" w:hAnsi="Times New Roman"/>
          <w:sz w:val="24"/>
        </w:rPr>
        <w:t>ения Заказчиком документа о приемке, в порядке, установленном разделом III настоящего Приложения.</w:t>
      </w:r>
    </w:p>
    <w:p w:rsidR="007A543A" w:rsidRDefault="000318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Оплата производится при условии предоставления Заказчику правильно оформленных документов, предусмотренных </w:t>
      </w:r>
      <w:r>
        <w:rPr>
          <w:rFonts w:ascii="Times New Roman" w:hAnsi="Times New Roman"/>
          <w:sz w:val="24"/>
        </w:rPr>
        <w:t xml:space="preserve">разделом III настоящего Приложения. </w:t>
      </w:r>
    </w:p>
    <w:p w:rsidR="007A543A" w:rsidRDefault="000318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Авансирование </w:t>
      </w:r>
      <w:r>
        <w:rPr>
          <w:rFonts w:ascii="Times New Roman" w:hAnsi="Times New Roman"/>
          <w:sz w:val="24"/>
        </w:rPr>
        <w:t>не предусматривается.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Поставщика.</w:t>
      </w:r>
    </w:p>
    <w:p w:rsidR="007A543A" w:rsidRDefault="000318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2.7. В случае начисления Заказчиком Поставщику неустойки (штрафов и/ил</w:t>
      </w:r>
      <w:r>
        <w:rPr>
          <w:rFonts w:ascii="Times New Roman" w:hAnsi="Times New Roman"/>
          <w:sz w:val="24"/>
        </w:rPr>
        <w:t xml:space="preserve">и пеней) и (или) предъявления требования о возмещении убытков, Заказчик направляет Поставщику по электронной почте требование оплатить неустойку (штрафы, пени) и (или) понесенные Заказчиком убытки, с </w:t>
      </w:r>
      <w:r>
        <w:rPr>
          <w:rFonts w:ascii="Times New Roman" w:hAnsi="Times New Roman"/>
          <w:sz w:val="24"/>
        </w:rPr>
        <w:lastRenderedPageBreak/>
        <w:t>указанием порядка и сроков соответствующей оплаты. В слу</w:t>
      </w:r>
      <w:r>
        <w:rPr>
          <w:rFonts w:ascii="Times New Roman" w:hAnsi="Times New Roman"/>
          <w:sz w:val="24"/>
        </w:rPr>
        <w:t xml:space="preserve">чае, если Поставщик в добровольном порядке в установленный Заказчиком срок не оплатил неустойку (штрафы, пени) и (или) убытки, Заказчик вправе уменьшить размер любого платежа, подлежащего оплате по Контракту на сумму начисленной неустойки (штрафов, пеней) </w:t>
      </w:r>
      <w:r>
        <w:rPr>
          <w:rFonts w:ascii="Times New Roman" w:hAnsi="Times New Roman"/>
          <w:sz w:val="24"/>
        </w:rPr>
        <w:t>и (или) убытков.</w:t>
      </w:r>
    </w:p>
    <w:p w:rsidR="007A543A" w:rsidRDefault="007A543A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</w:p>
    <w:p w:rsidR="007A543A" w:rsidRDefault="0003181B">
      <w:pPr>
        <w:widowControl w:val="0"/>
        <w:spacing w:before="240" w:after="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 Порядок, сроки и условия поставки</w:t>
      </w:r>
    </w:p>
    <w:p w:rsidR="007A543A" w:rsidRDefault="0003181B">
      <w:pPr>
        <w:widowControl w:val="0"/>
        <w:spacing w:after="240" w:line="25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 приемки Товара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4" w:name="P1480"/>
      <w:bookmarkEnd w:id="4"/>
      <w:r>
        <w:rPr>
          <w:rFonts w:ascii="Times New Roman" w:hAnsi="Times New Roman"/>
          <w:sz w:val="24"/>
        </w:rPr>
        <w:t>3.1. Поставщик самостоятельно доставляет Товар Заказчику по адресу(</w:t>
      </w:r>
      <w:proofErr w:type="spellStart"/>
      <w:r>
        <w:rPr>
          <w:rFonts w:ascii="Times New Roman" w:hAnsi="Times New Roman"/>
          <w:sz w:val="24"/>
        </w:rPr>
        <w:t>ам</w:t>
      </w:r>
      <w:proofErr w:type="spellEnd"/>
      <w:r>
        <w:rPr>
          <w:rFonts w:ascii="Times New Roman" w:hAnsi="Times New Roman"/>
          <w:sz w:val="24"/>
        </w:rPr>
        <w:t>) указанному(</w:t>
      </w:r>
      <w:proofErr w:type="spellStart"/>
      <w:r>
        <w:rPr>
          <w:rFonts w:ascii="Times New Roman" w:hAnsi="Times New Roman"/>
          <w:sz w:val="24"/>
        </w:rPr>
        <w:t>ым</w:t>
      </w:r>
      <w:proofErr w:type="spellEnd"/>
      <w:r>
        <w:rPr>
          <w:rFonts w:ascii="Times New Roman" w:hAnsi="Times New Roman"/>
          <w:sz w:val="24"/>
        </w:rPr>
        <w:t>) в Контракте (далее – место поставки), в срок, указанный в Спецификации.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Поставщик не менее чем з</w:t>
      </w:r>
      <w:r>
        <w:rPr>
          <w:rFonts w:ascii="Times New Roman" w:hAnsi="Times New Roman"/>
          <w:sz w:val="24"/>
        </w:rPr>
        <w:t>а 1 (один) рабочий день до осуществления поставки Товара, направляет в адрес Заказчика уведомление о времени и дате доставки Товара в место поставки товара.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В день доставки Товара в место поставки Поставщик одновременно с Товаром должен передать Заказ</w:t>
      </w:r>
      <w:r>
        <w:rPr>
          <w:rFonts w:ascii="Times New Roman" w:hAnsi="Times New Roman"/>
          <w:sz w:val="24"/>
        </w:rPr>
        <w:t xml:space="preserve">чику документ, подтверждающий передачу Товара (товарную накладную или универсальный передаточный документ), а также относящиеся к Товару документы (технический паспорт, сертификат качества, инструкцию по эксплуатации и т.п.), предусмотренные законом и/или </w:t>
      </w:r>
      <w:r>
        <w:rPr>
          <w:rFonts w:ascii="Times New Roman" w:hAnsi="Times New Roman"/>
          <w:sz w:val="24"/>
        </w:rPr>
        <w:t>иными правовыми актами, в том числе предусмотренные правом Евразийского экономического союза, если эти документы обязательны для данного вида Товара. При этом передача Товара и документов должна быть полностью завершена в день доставки.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документах на </w:t>
      </w:r>
      <w:r>
        <w:rPr>
          <w:rFonts w:ascii="Times New Roman" w:hAnsi="Times New Roman"/>
          <w:sz w:val="24"/>
        </w:rPr>
        <w:t>Товар должны быть указаны реквизиты в соответствии с реквизитами, указанными в Контракте.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Приемка поставленного Товара осуществляется Заказчиком в одностороннем порядке, без участия представителя Поставщика. Заказчик проводит проверку соответствия наи</w:t>
      </w:r>
      <w:r>
        <w:rPr>
          <w:rFonts w:ascii="Times New Roman" w:hAnsi="Times New Roman"/>
          <w:sz w:val="24"/>
        </w:rPr>
        <w:t>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Заказчик в срок не более 15 (пятнадцати) рабочих дней с даты поставки Товара и </w:t>
      </w:r>
      <w:r>
        <w:rPr>
          <w:rFonts w:ascii="Times New Roman" w:hAnsi="Times New Roman"/>
          <w:sz w:val="24"/>
        </w:rPr>
        <w:t>момента получения от Поставщика документов, указанных в пункте 3.2 настоящего раздела, проводит экспертизу поставленного Товара, для проверки его соответствия условиям Контракта, и при отсутствии претензий по количеству и качеству поставленного Товара Зака</w:t>
      </w:r>
      <w:r>
        <w:rPr>
          <w:rFonts w:ascii="Times New Roman" w:hAnsi="Times New Roman"/>
          <w:sz w:val="24"/>
        </w:rPr>
        <w:t>зчик, формирует документ о приемке (отдельной партии Товара), составленный по форме акта приемки товаров, работ, услуг (форма по ОКУД 0510452) Приложения № 2 Приказа Минфина России от 15.04.2021 № 61н «Об утверждении унифицированных форм электронных докуме</w:t>
      </w:r>
      <w:r>
        <w:rPr>
          <w:rFonts w:ascii="Times New Roman" w:hAnsi="Times New Roman"/>
          <w:sz w:val="24"/>
        </w:rPr>
        <w:t>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и подписывает в одностороннем порядке.</w:t>
      </w:r>
    </w:p>
    <w:p w:rsidR="007A543A" w:rsidRDefault="0003181B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 При выявлении несоот</w:t>
      </w:r>
      <w:r>
        <w:rPr>
          <w:rFonts w:ascii="Times New Roman" w:hAnsi="Times New Roman"/>
          <w:sz w:val="24"/>
        </w:rPr>
        <w:t>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</w:t>
      </w:r>
      <w:r>
        <w:rPr>
          <w:rFonts w:ascii="Times New Roman" w:hAnsi="Times New Roman"/>
          <w:sz w:val="24"/>
        </w:rPr>
        <w:t>), иных нарушений условий Контракта, препятствующих приемке Товара, Заказчик в срок, установленный в пункте 3.4 настоящего раздела, отказывает в приемке Товара и направляет Поставщику мотивированный отказ от подписания Акта приемки с указанием расхождений.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3.6. Поставщик в срок не более 3 (трех) рабочих дней, если иной срок не согласован Сторонами отдельно, обязан устранить выявленные недостатки либо заменить Товар, не соответствующий требованиям Контракта и приложений к нему, и не принятый Заказчиком, на Т</w:t>
      </w:r>
      <w:r>
        <w:rPr>
          <w:rFonts w:ascii="Times New Roman" w:hAnsi="Times New Roman"/>
          <w:sz w:val="24"/>
        </w:rPr>
        <w:t xml:space="preserve">овар отвечающий требованиям Контракта и приложений к нему, и повторно сдать Товар Заказчику в порядке, установленном настоящим разделом (повторная приемка), либо направить Заказчику мотивированный отказ от устранения выявленных недостатков. </w:t>
      </w:r>
    </w:p>
    <w:p w:rsidR="007A543A" w:rsidRDefault="0003181B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Повторное расс</w:t>
      </w:r>
      <w:r>
        <w:rPr>
          <w:rFonts w:ascii="Times New Roman" w:hAnsi="Times New Roman"/>
          <w:sz w:val="24"/>
        </w:rPr>
        <w:t>мотрение документов осуществляется в порядке, определенном настоящим разделом.</w:t>
      </w:r>
    </w:p>
    <w:p w:rsidR="007A543A" w:rsidRDefault="0003181B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3.7. Фактической датой приемки Товара считается дата, указанная в документе о приемке, составленный по форме акта приемки товаров, работ, услуг (форма по ОКУД 0510452).</w:t>
      </w:r>
    </w:p>
    <w:p w:rsidR="007A543A" w:rsidRDefault="0003181B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3.8. Во </w:t>
      </w:r>
      <w:r>
        <w:rPr>
          <w:rFonts w:ascii="Times New Roman" w:hAnsi="Times New Roman"/>
          <w:sz w:val="24"/>
        </w:rPr>
        <w:t>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</w:t>
      </w:r>
      <w:r>
        <w:rPr>
          <w:rFonts w:ascii="Times New Roman" w:hAnsi="Times New Roman"/>
          <w:sz w:val="24"/>
        </w:rPr>
        <w:t xml:space="preserve"> принятием Товара на ответственное хранение и (или) его возвратом (заменой), подлежат возмещению Поставщиком.</w:t>
      </w:r>
    </w:p>
    <w:p w:rsidR="007A543A" w:rsidRDefault="0003181B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3.9. Право собственности и риск случайной гибели или порчи Товара переходит от Поставщика к Заказчику с момента приемки Товара Заказчиком.</w:t>
      </w:r>
    </w:p>
    <w:p w:rsidR="007A543A" w:rsidRDefault="0003181B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3.10. З</w:t>
      </w:r>
      <w:r>
        <w:rPr>
          <w:rFonts w:ascii="Times New Roman" w:hAnsi="Times New Roman"/>
          <w:sz w:val="24"/>
        </w:rPr>
        <w:t>аказчик вправе не отказывать в приемке поставленного Товара в случае выявления несоответствия Товара условиям Контракта и приложений к нему, если выявленное несоответствие не препятствует приемке этого Товара и устранено Поставщиком.</w:t>
      </w:r>
    </w:p>
    <w:p w:rsidR="007A543A" w:rsidRDefault="0003181B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3.11. В случае, если у</w:t>
      </w:r>
      <w:r>
        <w:rPr>
          <w:rFonts w:ascii="Times New Roman" w:hAnsi="Times New Roman"/>
          <w:sz w:val="24"/>
        </w:rPr>
        <w:t>словиями Контракта предусмотрена поставка Товара иностранного производства, на момент его передачи Заказчику, Товар полностью и надлежащим образом должен пройти таможенное оформление, таможенные процедуры - выпуск для внутреннего потребления. Все налоги, с</w:t>
      </w:r>
      <w:r>
        <w:rPr>
          <w:rFonts w:ascii="Times New Roman" w:hAnsi="Times New Roman"/>
          <w:sz w:val="24"/>
        </w:rPr>
        <w:t xml:space="preserve">боры и платежи, связанные с таможенным оформлением Товара полностью должны быть уплачены в соответствии с таможенным законодательством Российской Федерации. </w:t>
      </w:r>
    </w:p>
    <w:p w:rsidR="007A543A" w:rsidRDefault="0003181B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3.12. Стороны допускают использование электронных подписей при исполнении Контракта и совершении и</w:t>
      </w:r>
      <w:r>
        <w:rPr>
          <w:rFonts w:ascii="Times New Roman" w:hAnsi="Times New Roman"/>
          <w:sz w:val="24"/>
        </w:rPr>
        <w:t>ных юридически значимых действий по Контракту и признают электронные документы, подписанные электронной подписью установленного настоящим Соглашением вида, равнозначными документам на бумажном носителе, подписанным собственноручной подписью.</w:t>
      </w:r>
    </w:p>
    <w:p w:rsidR="007A543A" w:rsidRDefault="0003181B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исполн</w:t>
      </w:r>
      <w:r>
        <w:rPr>
          <w:rFonts w:ascii="Times New Roman" w:hAnsi="Times New Roman"/>
          <w:sz w:val="24"/>
        </w:rPr>
        <w:t>ения Контракта и совершения иных юридически значимых действий по Контракту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у</w:t>
      </w:r>
      <w:r>
        <w:rPr>
          <w:rFonts w:ascii="Times New Roman" w:hAnsi="Times New Roman"/>
          <w:sz w:val="24"/>
        </w:rPr>
        <w:t xml:space="preserve">силенной квалифицированной электронной подписью (в том смысле, в котором она определена Федеральным законом от 06.04.2011 № 63-ФЗ «Об электронной подписи»). </w:t>
      </w:r>
    </w:p>
    <w:p w:rsidR="007A543A" w:rsidRDefault="0003181B">
      <w:pPr>
        <w:spacing w:after="0" w:line="0" w:lineRule="atLeast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Обмен документами в электронном виде осуществляется по телекоммуникационным каналам связи, Заказчи</w:t>
      </w:r>
      <w:r>
        <w:rPr>
          <w:rFonts w:ascii="Times New Roman" w:hAnsi="Times New Roman"/>
          <w:sz w:val="24"/>
        </w:rPr>
        <w:t>к использует систему электронного документооборота СБИС оператора ООО «Компания Тензор» с соблюдением требований Российского законодательства, действующих на дату отправки документа.</w:t>
      </w:r>
    </w:p>
    <w:p w:rsidR="007A543A" w:rsidRDefault="0003181B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 Взаимодействие Сторон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b/>
          <w:sz w:val="24"/>
        </w:rPr>
      </w:pPr>
      <w:bookmarkStart w:id="5" w:name="P1497"/>
      <w:bookmarkEnd w:id="5"/>
      <w:r>
        <w:rPr>
          <w:rFonts w:ascii="Times New Roman" w:hAnsi="Times New Roman"/>
          <w:b/>
          <w:sz w:val="24"/>
        </w:rPr>
        <w:t xml:space="preserve">4.1. Поставщик обязан: 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4.1.1. Поставить Товар </w:t>
      </w:r>
      <w:r>
        <w:rPr>
          <w:rFonts w:ascii="Times New Roman" w:hAnsi="Times New Roman"/>
          <w:sz w:val="24"/>
        </w:rPr>
        <w:t>в порядке, количестве, в срок и на условиях, предусмотренных Контрактом и приложениями к нему;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6" w:name="P1499"/>
      <w:bookmarkEnd w:id="6"/>
      <w:r>
        <w:rPr>
          <w:rFonts w:ascii="Times New Roman" w:hAnsi="Times New Roman"/>
          <w:sz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</w:t>
      </w:r>
      <w:r>
        <w:rPr>
          <w:rFonts w:ascii="Times New Roman" w:hAnsi="Times New Roman"/>
          <w:sz w:val="24"/>
        </w:rPr>
        <w:t xml:space="preserve"> и правилам, государственным стандартам), сертификации, лицензирования, установленным законодательством Российской Федерации, Контрактом и приложениями к нему;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4.1.3. Обеспечить за свой счет устранение выявленных недостатков Товара или осуществить его соот</w:t>
      </w:r>
      <w:r>
        <w:rPr>
          <w:rFonts w:ascii="Times New Roman" w:hAnsi="Times New Roman"/>
          <w:sz w:val="24"/>
        </w:rPr>
        <w:t>ветствующую замену в порядке и на условиях, предусмотренных настоящим Приложением;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7" w:name="P1502"/>
      <w:bookmarkStart w:id="8" w:name="P1503"/>
      <w:bookmarkStart w:id="9" w:name="P1504"/>
      <w:bookmarkEnd w:id="7"/>
      <w:bookmarkEnd w:id="8"/>
      <w:bookmarkEnd w:id="9"/>
      <w:r>
        <w:rPr>
          <w:rFonts w:ascii="Times New Roman" w:hAnsi="Times New Roman"/>
          <w:sz w:val="24"/>
        </w:rPr>
        <w:t>4.1.4.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</w:t>
      </w:r>
      <w:r>
        <w:rPr>
          <w:rFonts w:ascii="Times New Roman" w:hAnsi="Times New Roman"/>
          <w:sz w:val="24"/>
        </w:rPr>
        <w:t>лнения своих обязательств, в том числе о сложностях, возникающих при исполнении Контракта.</w:t>
      </w:r>
    </w:p>
    <w:p w:rsidR="007A543A" w:rsidRDefault="0003181B">
      <w:pPr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4.1.5. При поставке Товара в место поставки соблюдать требования пункта 1 статьи 11 Федерального закона от 25.07.2002 № 115-ФЗ «О правовом положении иностранных граж</w:t>
      </w:r>
      <w:r>
        <w:rPr>
          <w:rFonts w:ascii="Times New Roman" w:hAnsi="Times New Roman"/>
          <w:sz w:val="24"/>
        </w:rPr>
        <w:t xml:space="preserve">дан в Российской Федерации» и пункта 10 Перечня территорий, организаций и объектов, для въезда на </w:t>
      </w:r>
      <w:r>
        <w:rPr>
          <w:rFonts w:ascii="Times New Roman" w:hAnsi="Times New Roman"/>
          <w:sz w:val="24"/>
        </w:rPr>
        <w:lastRenderedPageBreak/>
        <w:t>которые иностранным гражданам требуется специальное разрешение, утвержденного постановлением Правительства Российской Федерации от 11.10.2002 № 754.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4.1.6. В </w:t>
      </w:r>
      <w:r>
        <w:rPr>
          <w:rFonts w:ascii="Times New Roman" w:hAnsi="Times New Roman"/>
          <w:sz w:val="24"/>
        </w:rPr>
        <w:t>случае, если Контрактом предусмотрена поставка Товара иностранного производства, Поставщик обязан предоставить Заказчику копии документов, подтверждающих прохождение таможенных процедур в отношении такого товара.</w:t>
      </w:r>
      <w:r>
        <w:rPr>
          <w:rFonts w:ascii="Times New Roman" w:hAnsi="Times New Roman"/>
          <w:i/>
          <w:sz w:val="24"/>
          <w:highlight w:val="magenta"/>
        </w:rPr>
        <w:t xml:space="preserve"> 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4.1.7. В случае установления уполномоченны</w:t>
      </w:r>
      <w:r>
        <w:rPr>
          <w:rFonts w:ascii="Times New Roman" w:hAnsi="Times New Roman"/>
          <w:sz w:val="24"/>
        </w:rPr>
        <w:t>ми контрольными органами фактов поставки Товара не в полном объеме и/или завышения его стоимости, Поставщик осуществляет возврат Заказчику излишне уплаченных денежных средств.</w:t>
      </w:r>
    </w:p>
    <w:p w:rsidR="007A543A" w:rsidRDefault="0003181B">
      <w:pPr>
        <w:widowControl w:val="0"/>
        <w:spacing w:before="120" w:after="0" w:line="252" w:lineRule="auto"/>
        <w:ind w:firstLine="567"/>
        <w:jc w:val="both"/>
        <w:rPr>
          <w:rFonts w:ascii="Times New Roman" w:hAnsi="Times New Roman"/>
          <w:b/>
          <w:sz w:val="24"/>
        </w:rPr>
      </w:pPr>
      <w:bookmarkStart w:id="10" w:name="P1505"/>
      <w:bookmarkStart w:id="11" w:name="P1508"/>
      <w:bookmarkStart w:id="12" w:name="P1511"/>
      <w:bookmarkEnd w:id="10"/>
      <w:bookmarkEnd w:id="11"/>
      <w:bookmarkEnd w:id="12"/>
      <w:r>
        <w:rPr>
          <w:rFonts w:ascii="Times New Roman" w:hAnsi="Times New Roman"/>
          <w:b/>
          <w:sz w:val="24"/>
        </w:rPr>
        <w:t>4.2. Поставщик вправе: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4.2.1. Требовать от Заказчика произвести приемку Товара в</w:t>
      </w:r>
      <w:r>
        <w:rPr>
          <w:rFonts w:ascii="Times New Roman" w:hAnsi="Times New Roman"/>
          <w:sz w:val="24"/>
        </w:rPr>
        <w:t xml:space="preserve"> порядке и в сроки, предусмотренные Контрактом и приложениями к нему;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13" w:name="P1518"/>
      <w:bookmarkEnd w:id="13"/>
      <w:r>
        <w:rPr>
          <w:rFonts w:ascii="Times New Roman" w:hAnsi="Times New Roman"/>
          <w:sz w:val="24"/>
        </w:rPr>
        <w:t>4.2.2. Требовать своевременной оплаты на условиях, установленных Контрактом и приложениями к нему, надлежащим образом поставленного и принятого Заказчиком Товара;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14" w:name="P1519"/>
      <w:bookmarkEnd w:id="14"/>
      <w:r>
        <w:rPr>
          <w:rFonts w:ascii="Times New Roman" w:hAnsi="Times New Roman"/>
          <w:sz w:val="24"/>
        </w:rPr>
        <w:t xml:space="preserve">4.2.3. Принять решение </w:t>
      </w:r>
      <w:r>
        <w:rPr>
          <w:rFonts w:ascii="Times New Roman" w:hAnsi="Times New Roman"/>
          <w:sz w:val="24"/>
        </w:rPr>
        <w:t>об одностороннем отказе от исполнения Контракта в соответствии с гражданским законодательством;</w:t>
      </w:r>
    </w:p>
    <w:p w:rsidR="007A543A" w:rsidRDefault="0003181B">
      <w:pPr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4.2.4. Требовать возмещения убытков, уплаты неустоек (штрафов, пеней) в соответствии с разделом VI настоящего Приложения.</w:t>
      </w:r>
    </w:p>
    <w:p w:rsidR="007A543A" w:rsidRDefault="0003181B">
      <w:pPr>
        <w:widowControl w:val="0"/>
        <w:spacing w:before="120" w:after="0" w:line="252" w:lineRule="auto"/>
        <w:ind w:firstLine="567"/>
        <w:jc w:val="both"/>
        <w:rPr>
          <w:rFonts w:ascii="Times New Roman" w:hAnsi="Times New Roman"/>
          <w:b/>
          <w:sz w:val="24"/>
        </w:rPr>
      </w:pPr>
      <w:bookmarkStart w:id="15" w:name="P1521"/>
      <w:bookmarkEnd w:id="15"/>
      <w:r>
        <w:rPr>
          <w:rFonts w:ascii="Times New Roman" w:hAnsi="Times New Roman"/>
          <w:b/>
          <w:sz w:val="24"/>
        </w:rPr>
        <w:t>4.3. Заказчик обязан: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4.3.1. Обеспечит</w:t>
      </w:r>
      <w:r>
        <w:rPr>
          <w:rFonts w:ascii="Times New Roman" w:hAnsi="Times New Roman"/>
          <w:sz w:val="24"/>
        </w:rPr>
        <w:t xml:space="preserve">ь своевременную приемку и оплату поставленного Товара надлежащего качества в порядке и сроки, предусмотренные Контрактом и приложениями к нему; 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16" w:name="P1525"/>
      <w:bookmarkEnd w:id="16"/>
      <w:r>
        <w:rPr>
          <w:rFonts w:ascii="Times New Roman" w:hAnsi="Times New Roman"/>
          <w:sz w:val="24"/>
        </w:rPr>
        <w:t>4.3.2. Требовать уплаты неустоек (штрафов, пеней) в соответствии с разделом VI настоящего Приложения.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17" w:name="P1529"/>
      <w:bookmarkEnd w:id="17"/>
      <w:r>
        <w:rPr>
          <w:rFonts w:ascii="Times New Roman" w:hAnsi="Times New Roman"/>
          <w:sz w:val="24"/>
        </w:rPr>
        <w:t>4.3.3. Пр</w:t>
      </w:r>
      <w:r>
        <w:rPr>
          <w:rFonts w:ascii="Times New Roman" w:hAnsi="Times New Roman"/>
          <w:sz w:val="24"/>
        </w:rPr>
        <w:t>овести экспертизу поставленного Товара для проверки его соответствия условиям Контракта в соответствии с Законом о контрактной системе.</w:t>
      </w:r>
    </w:p>
    <w:p w:rsidR="007A543A" w:rsidRDefault="0003181B">
      <w:pPr>
        <w:widowControl w:val="0"/>
        <w:spacing w:before="120" w:after="0" w:line="252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4.4. Заказчик вправе: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4.4.1. Требовать </w:t>
      </w:r>
      <w:proofErr w:type="gramStart"/>
      <w:r>
        <w:rPr>
          <w:rFonts w:ascii="Times New Roman" w:hAnsi="Times New Roman"/>
          <w:sz w:val="24"/>
        </w:rPr>
        <w:t>от Поставщика</w:t>
      </w:r>
      <w:proofErr w:type="gramEnd"/>
      <w:r>
        <w:rPr>
          <w:rFonts w:ascii="Times New Roman" w:hAnsi="Times New Roman"/>
          <w:sz w:val="24"/>
        </w:rPr>
        <w:t xml:space="preserve"> надлежащего исполнения обязательств по Контракту;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4.4.2. Требовать </w:t>
      </w:r>
      <w:r>
        <w:rPr>
          <w:rFonts w:ascii="Times New Roman" w:hAnsi="Times New Roman"/>
          <w:sz w:val="24"/>
        </w:rPr>
        <w:t xml:space="preserve">от Поставщика своевременного устранения недостатков, выявленных как в ходе приемки, так и в течение гарантийного периода (если установлен); 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4.4.3. Проверять ход и качество исполнения Поставщиком Контракта без вмешательства в оперативно-хозяйственную деяте</w:t>
      </w:r>
      <w:r>
        <w:rPr>
          <w:rFonts w:ascii="Times New Roman" w:hAnsi="Times New Roman"/>
          <w:sz w:val="24"/>
        </w:rPr>
        <w:t>льность Поставщика;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4.4.4. Требовать возмещения убытков в соответствии с разделом VI настоящего Приложения, причиненных по вине Поставщика;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4.4.5. В случае неисполнения или ненадлежащего исполнения Поставщиком обязательств(а), предусмотренных(ого) Контракт</w:t>
      </w:r>
      <w:r>
        <w:rPr>
          <w:rFonts w:ascii="Times New Roman" w:hAnsi="Times New Roman"/>
          <w:sz w:val="24"/>
        </w:rPr>
        <w:t>ом и приложениями к нему, произвести оплату по Контракту за вычетом соответствующего размера неустойки (штрафа, пени), рассчитанного в соответствии с разделом VI настоящего Приложения;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18" w:name="P1534"/>
      <w:bookmarkEnd w:id="18"/>
      <w:r>
        <w:rPr>
          <w:rFonts w:ascii="Times New Roman" w:hAnsi="Times New Roman"/>
          <w:sz w:val="24"/>
        </w:rPr>
        <w:t>4.4.6. Отказаться от приемки и оплаты Товара, не соответствующего услов</w:t>
      </w:r>
      <w:r>
        <w:rPr>
          <w:rFonts w:ascii="Times New Roman" w:hAnsi="Times New Roman"/>
          <w:sz w:val="24"/>
        </w:rPr>
        <w:t>иям Контракта;</w:t>
      </w:r>
    </w:p>
    <w:p w:rsidR="007A543A" w:rsidRDefault="0003181B">
      <w:pPr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19" w:name="P1536"/>
      <w:bookmarkEnd w:id="19"/>
      <w:r>
        <w:rPr>
          <w:rFonts w:ascii="Times New Roman" w:hAnsi="Times New Roman"/>
          <w:sz w:val="24"/>
        </w:rPr>
        <w:t xml:space="preserve">4.4.7.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обязательств; 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20" w:name="P1537"/>
      <w:bookmarkEnd w:id="20"/>
      <w:r>
        <w:rPr>
          <w:rFonts w:ascii="Times New Roman" w:hAnsi="Times New Roman"/>
          <w:sz w:val="24"/>
        </w:rPr>
        <w:t>4.4.8. До принятия решения</w:t>
      </w:r>
      <w:r>
        <w:rPr>
          <w:rFonts w:ascii="Times New Roman" w:hAnsi="Times New Roman"/>
          <w:sz w:val="24"/>
        </w:rPr>
        <w:t xml:space="preserve"> об одностороннем отказе от исполнения Контракта провести экспертизу поставленного Товара с привлечением экспертов, экспертных организаций;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4.4.9. Удержать суммы неисполненных Поставщиком требований об уплате неустоек (штрафов, пеней), предъявленных Заказч</w:t>
      </w:r>
      <w:r>
        <w:rPr>
          <w:rFonts w:ascii="Times New Roman" w:hAnsi="Times New Roman"/>
          <w:sz w:val="24"/>
        </w:rPr>
        <w:t>иком в соответствии с Законом о контрактной системе и Контрактом, из суммы, подлежащей оплате Поставщику.</w:t>
      </w:r>
    </w:p>
    <w:p w:rsidR="007A543A" w:rsidRDefault="0003181B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V. Качество Товара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Поставщик гарантирует, что поставляемый Товар соответствует требованиям, </w:t>
      </w:r>
      <w:r>
        <w:rPr>
          <w:rFonts w:ascii="Times New Roman" w:hAnsi="Times New Roman"/>
          <w:sz w:val="24"/>
        </w:rPr>
        <w:lastRenderedPageBreak/>
        <w:t>установленным Контрактом и приложениями к нему.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</w:t>
      </w:r>
      <w:r>
        <w:rPr>
          <w:rFonts w:ascii="Times New Roman" w:hAnsi="Times New Roman"/>
          <w:sz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sz w:val="24"/>
        </w:rPr>
        <w:t xml:space="preserve">Поставляемый Товар должен соответствовать действующим в </w:t>
      </w:r>
      <w:r>
        <w:rPr>
          <w:rFonts w:ascii="Times New Roman" w:hAnsi="Times New Roman"/>
          <w:sz w:val="24"/>
        </w:rPr>
        <w:t>Российской Федерации стандартам, техническим регламентам, санитарным и фитосанитарным нормам (если установлены).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Товар должен быть упакован и замаркирован в соответствии с действующими стандартами (если установлены).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Поставщик поставляет Товар в упако</w:t>
      </w:r>
      <w:r>
        <w:rPr>
          <w:rFonts w:ascii="Times New Roman" w:hAnsi="Times New Roman"/>
          <w:sz w:val="24"/>
        </w:rPr>
        <w:t>вке завода-изготовителя (если предусмотрено),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</w:t>
      </w:r>
      <w:r>
        <w:rPr>
          <w:rFonts w:ascii="Times New Roman" w:hAnsi="Times New Roman"/>
          <w:sz w:val="24"/>
        </w:rPr>
        <w:t>ельного хранения.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21" w:name="P1546"/>
      <w:bookmarkEnd w:id="21"/>
      <w:r>
        <w:rPr>
          <w:rFonts w:ascii="Times New Roman" w:hAnsi="Times New Roman"/>
          <w:sz w:val="24"/>
        </w:rPr>
        <w:t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могут быть указаны в Контракте и Спецификации.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22" w:name="P1547"/>
      <w:bookmarkEnd w:id="22"/>
      <w:r>
        <w:rPr>
          <w:rFonts w:ascii="Times New Roman" w:hAnsi="Times New Roman"/>
          <w:sz w:val="24"/>
        </w:rPr>
        <w:t>5.5</w:t>
      </w:r>
      <w:r>
        <w:rPr>
          <w:rFonts w:ascii="Times New Roman" w:hAnsi="Times New Roman"/>
          <w:sz w:val="24"/>
        </w:rPr>
        <w:t>. 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4"/>
        </w:rPr>
        <w:t>Исключительные права.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5.6.1. Поставщик гарантирует отсутствие нарушения исключительных прав третьих лиц, связанных</w:t>
      </w:r>
      <w:r>
        <w:rPr>
          <w:rFonts w:ascii="Times New Roman" w:hAnsi="Times New Roman"/>
          <w:sz w:val="24"/>
        </w:rPr>
        <w:t xml:space="preserve"> с поставкой и использованием Товара.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</w:t>
      </w:r>
      <w:r>
        <w:rPr>
          <w:rFonts w:ascii="Times New Roman" w:hAnsi="Times New Roman"/>
          <w:sz w:val="24"/>
        </w:rPr>
        <w:t xml:space="preserve">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7A543A" w:rsidRDefault="0003181B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VI. Ответственность Сторон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За неисполнение или ненадлежащее исполнение Контракта Стороны несут </w:t>
      </w:r>
      <w:r>
        <w:rPr>
          <w:rFonts w:ascii="Times New Roman" w:hAnsi="Times New Roman"/>
          <w:sz w:val="24"/>
        </w:rPr>
        <w:t>ответственность в соответствии с законодательством Российской Федерации и условиями настоящего раздела.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В случае полного (частичного) неисполнения Контракта одной из Сторон эта Сторона обязана возместить другой Стороне причиненные убытки в части, непо</w:t>
      </w:r>
      <w:r>
        <w:rPr>
          <w:rFonts w:ascii="Times New Roman" w:hAnsi="Times New Roman"/>
          <w:sz w:val="24"/>
        </w:rPr>
        <w:t>крытой неустойкой.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23" w:name="P1554"/>
      <w:bookmarkEnd w:id="23"/>
      <w:r>
        <w:rPr>
          <w:rFonts w:ascii="Times New Roman" w:hAnsi="Times New Roman"/>
          <w:sz w:val="24"/>
        </w:rPr>
        <w:t>6.3. В случае просрочки исполнения Поставщиком обязательств (в том числе гарантийного обязательства), предусмотренных Контрактом и приложениями к нему, Поставщик уплачивает Заказчику пени. Пеня начисляется за каждый день просрочки исполн</w:t>
      </w:r>
      <w:r>
        <w:rPr>
          <w:rFonts w:ascii="Times New Roman" w:hAnsi="Times New Roman"/>
          <w:sz w:val="24"/>
        </w:rPr>
        <w:t xml:space="preserve">ения Поставщиком обязательства, предусмотренного Контрактом и приложениями к нему, начиная со дня, следующего после дня истечения установленного срока исполнения обязательства. Размер пени составляет одна трехсотая действующей на дату уплаты пени ключевой </w:t>
      </w:r>
      <w:r>
        <w:rPr>
          <w:rFonts w:ascii="Times New Roman" w:hAnsi="Times New Roman"/>
          <w:sz w:val="24"/>
        </w:rPr>
        <w:t>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</w:t>
      </w:r>
      <w:r>
        <w:rPr>
          <w:rFonts w:ascii="Times New Roman" w:hAnsi="Times New Roman"/>
          <w:sz w:val="24"/>
        </w:rPr>
        <w:t>чески исполненных Поставщиком.</w:t>
      </w:r>
    </w:p>
    <w:p w:rsidR="007A543A" w:rsidRDefault="0003181B">
      <w:pPr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За каждый факт неисполнения или ненадлежащего исполнения Поставщиком обязательств, предусмотренных Контрактом и приложениями к нему, за исключением просрочки исполнения Поставщиком обязательств (в том числе гарантийного </w:t>
      </w:r>
      <w:r>
        <w:rPr>
          <w:rFonts w:ascii="Times New Roman" w:hAnsi="Times New Roman"/>
          <w:sz w:val="24"/>
        </w:rPr>
        <w:t>обязательства) Поставщик уплачивает Заказчику штраф в размере 10% (десяти процентов) цены Контракта (этапа).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24" w:name="P1556"/>
      <w:bookmarkEnd w:id="24"/>
      <w:r>
        <w:rPr>
          <w:rFonts w:ascii="Times New Roman" w:hAnsi="Times New Roman"/>
          <w:sz w:val="24"/>
        </w:rPr>
        <w:t>6.5. За каждый факт неисполнения или ненадлежащего исполнения Поставщиком обязательства, предусмотренного Контрактом и приложениями к нему, которое</w:t>
      </w:r>
      <w:r>
        <w:rPr>
          <w:rFonts w:ascii="Times New Roman" w:hAnsi="Times New Roman"/>
          <w:sz w:val="24"/>
        </w:rPr>
        <w:t xml:space="preserve"> не имеет стоимостного выражения, Поставщик уплачивает Заказчику штраф в размере 1 000 (Одна тысяча) рублей.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25" w:name="P1557"/>
      <w:bookmarkStart w:id="26" w:name="P1558"/>
      <w:bookmarkEnd w:id="25"/>
      <w:bookmarkEnd w:id="26"/>
      <w:r>
        <w:rPr>
          <w:rFonts w:ascii="Times New Roman" w:hAnsi="Times New Roman"/>
          <w:sz w:val="24"/>
        </w:rPr>
        <w:lastRenderedPageBreak/>
        <w:t>6.6. В случае просрочки исполнения Заказчиком обязательств, предусмотренных Контрактом и приложениями к нему, Поставщик вправе потребовать уплату п</w:t>
      </w:r>
      <w:r>
        <w:rPr>
          <w:rFonts w:ascii="Times New Roman" w:hAnsi="Times New Roman"/>
          <w:sz w:val="24"/>
        </w:rPr>
        <w:t>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 и приложен</w:t>
      </w:r>
      <w:r>
        <w:rPr>
          <w:rFonts w:ascii="Times New Roman" w:hAnsi="Times New Roman"/>
          <w:sz w:val="24"/>
        </w:rPr>
        <w:t>иями к нему, начиная со дня, следующего после дня истечения установленного срока исполнения обязательства.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6.7. За каждый факт неисполнения Заказчиком обязательств, предусмотренных Контрактом и приложениями к нему, за исключением просрочки исполнения обяза</w:t>
      </w:r>
      <w:r>
        <w:rPr>
          <w:rFonts w:ascii="Times New Roman" w:hAnsi="Times New Roman"/>
          <w:sz w:val="24"/>
        </w:rPr>
        <w:t xml:space="preserve">тельств, предусмотренных Контрактом и приложениями к нему, Поставщик вправе потребовать уплату штрафа в размере 1 000 (Одна тысяча) рублей. 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bookmarkStart w:id="27" w:name="P1561"/>
      <w:bookmarkEnd w:id="27"/>
      <w:r>
        <w:rPr>
          <w:rFonts w:ascii="Times New Roman" w:hAnsi="Times New Roman"/>
          <w:sz w:val="24"/>
        </w:rPr>
        <w:t>6.8. Применение неустойки (штрафа, пени) не освобождает Стороны от исполнения обязательств по Контракту.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6.9. Общая</w:t>
      </w:r>
      <w:r>
        <w:rPr>
          <w:rFonts w:ascii="Times New Roman" w:hAnsi="Times New Roman"/>
          <w:sz w:val="24"/>
        </w:rPr>
        <w:t xml:space="preserve">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A543A" w:rsidRDefault="0003181B">
      <w:pPr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6.10. Общая сумма начисленных штрафов за ненадлежащее исполнение Заказчиком обязательств, предус</w:t>
      </w:r>
      <w:r>
        <w:rPr>
          <w:rFonts w:ascii="Times New Roman" w:hAnsi="Times New Roman"/>
          <w:sz w:val="24"/>
        </w:rPr>
        <w:t>мотренных Контрактом, не может превышать цену Контракта.</w:t>
      </w:r>
    </w:p>
    <w:p w:rsidR="007A543A" w:rsidRDefault="0003181B">
      <w:pPr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6.11. Нарушение Поставщиком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срока поставки Товаров по Контракту является существенным нарушением условий Контракта независимо от количества поставленного Поставщиком Товара на день окончания срока ис</w:t>
      </w:r>
      <w:r>
        <w:rPr>
          <w:rFonts w:ascii="Times New Roman" w:hAnsi="Times New Roman"/>
          <w:sz w:val="24"/>
        </w:rPr>
        <w:t>полнения Поставщиком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своих обязательств по поставке Товара. 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6.12. В случае причинения ущерба одной Стороне действиями или бездействиями другой Стороны, а равно её имуществу и/или правам, расторжения Контракта в связи с односторонним отказом Стороны от исп</w:t>
      </w:r>
      <w:r>
        <w:rPr>
          <w:rFonts w:ascii="Times New Roman" w:hAnsi="Times New Roman"/>
          <w:sz w:val="24"/>
        </w:rPr>
        <w:t>олнения Контракта или в иных обстоятельствах, другая Сторона вправе потребовать возмещения убытков в размере фактически понесенного ущерба.</w:t>
      </w:r>
    </w:p>
    <w:p w:rsidR="007A543A" w:rsidRDefault="0003181B">
      <w:pPr>
        <w:widowControl w:val="0"/>
        <w:tabs>
          <w:tab w:val="left" w:pos="1500"/>
        </w:tabs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6.13. Заказчик вправе удержать сумму причитающейся в его пользу неустойки из подлежащей уплате Поставщику суммы по н</w:t>
      </w:r>
      <w:r>
        <w:rPr>
          <w:rFonts w:ascii="Times New Roman" w:hAnsi="Times New Roman"/>
          <w:sz w:val="24"/>
        </w:rPr>
        <w:t>астоящему Контракту.</w:t>
      </w:r>
      <w:r>
        <w:rPr>
          <w:rFonts w:ascii="Times New Roman" w:hAnsi="Times New Roman"/>
          <w:sz w:val="24"/>
        </w:rPr>
        <w:tab/>
      </w:r>
    </w:p>
    <w:p w:rsidR="007A543A" w:rsidRDefault="0003181B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VII. Обстоятельства непреодолимой силы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Стороны не несут ответственность за полное или частичное неисполнение предусмотренных Контрактом и приложениями к нему обязательств, если такое неисполнение связано с обстоятельствами </w:t>
      </w:r>
      <w:r>
        <w:rPr>
          <w:rFonts w:ascii="Times New Roman" w:hAnsi="Times New Roman"/>
          <w:sz w:val="24"/>
        </w:rPr>
        <w:t>непреодолимой силы.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В случае если надлежащее исполнение Стороной предусмотренных Контрактом и приложениями к нему обязательств оказалось невозможным вследствие обстоятельств непреодолимой силы, такая Сторона не позднее 3 (трех) дней с момента их насту</w:t>
      </w:r>
      <w:r>
        <w:rPr>
          <w:rFonts w:ascii="Times New Roman" w:hAnsi="Times New Roman"/>
          <w:sz w:val="24"/>
        </w:rPr>
        <w:t>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 В случае возникновения обстоятельств непреодолимой силы Стороны вправе расторгнуть Контракт, и в этом случае ни одна и</w:t>
      </w:r>
      <w:r>
        <w:rPr>
          <w:rFonts w:ascii="Times New Roman" w:hAnsi="Times New Roman"/>
          <w:sz w:val="24"/>
        </w:rPr>
        <w:t>з Сторон не вправе требовать возмещения убытков.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7A543A" w:rsidRDefault="0003181B">
      <w:pPr>
        <w:widowControl w:val="0"/>
        <w:spacing w:before="240" w:after="240" w:line="276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VIII. Обеспечение исполнения Контр</w:t>
      </w:r>
      <w:r>
        <w:rPr>
          <w:rFonts w:ascii="Times New Roman" w:hAnsi="Times New Roman"/>
          <w:b/>
          <w:sz w:val="24"/>
        </w:rPr>
        <w:t>акта и гарантийных обязательств</w:t>
      </w:r>
    </w:p>
    <w:p w:rsidR="007A543A" w:rsidRDefault="0003181B">
      <w:pPr>
        <w:widowControl w:val="0"/>
        <w:spacing w:before="240" w:after="240" w:line="252" w:lineRule="auto"/>
        <w:ind w:firstLine="567"/>
        <w:jc w:val="both"/>
        <w:outlineLvl w:val="1"/>
        <w:rPr>
          <w:rFonts w:ascii="Times New Roman" w:hAnsi="Times New Roman"/>
          <w:sz w:val="24"/>
        </w:rPr>
      </w:pPr>
      <w:bookmarkStart w:id="28" w:name="P1570"/>
      <w:bookmarkEnd w:id="28"/>
      <w:r>
        <w:rPr>
          <w:rFonts w:ascii="Times New Roman" w:hAnsi="Times New Roman"/>
          <w:sz w:val="24"/>
        </w:rPr>
        <w:t>8.1. Обеспечение исполнения Контракта и гарантийных обязательств для Поставщика не устанавливается.</w:t>
      </w:r>
    </w:p>
    <w:p w:rsidR="007A543A" w:rsidRDefault="0003181B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IX. Рассмотрение и разрешение споров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9.1. Все споры и разногласия, которые могут возникнуть из Контракта между Сторонами, </w:t>
      </w:r>
      <w:r>
        <w:rPr>
          <w:rFonts w:ascii="Times New Roman" w:hAnsi="Times New Roman"/>
          <w:sz w:val="24"/>
        </w:rPr>
        <w:t>будут разрешаться путем переговоров, в том числе в претензионном порядке.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9.2. Претензия оформляется в письменной форме. В претензии перечисляются допущенные </w:t>
      </w:r>
      <w:r>
        <w:rPr>
          <w:rFonts w:ascii="Times New Roman" w:hAnsi="Times New Roman"/>
          <w:sz w:val="24"/>
        </w:rPr>
        <w:lastRenderedPageBreak/>
        <w:t>при исполнении Контракта нарушения со ссылкой на соответствующие положения Контракта или его прило</w:t>
      </w:r>
      <w:r>
        <w:rPr>
          <w:rFonts w:ascii="Times New Roman" w:hAnsi="Times New Roman"/>
          <w:sz w:val="24"/>
        </w:rPr>
        <w:t>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9.3. Срок рассмотрения претензии не может превышать 10 (десять) рабочих дней.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9.4. При </w:t>
      </w:r>
      <w:proofErr w:type="spellStart"/>
      <w:r>
        <w:rPr>
          <w:rFonts w:ascii="Times New Roman" w:hAnsi="Times New Roman"/>
          <w:sz w:val="24"/>
        </w:rPr>
        <w:t>неурегулировании</w:t>
      </w:r>
      <w:proofErr w:type="spellEnd"/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>торонами спора в досудебном порядке, спор разрешается в судебном порядке в Арбитражном суде г. Москвы.</w:t>
      </w:r>
    </w:p>
    <w:p w:rsidR="007A543A" w:rsidRDefault="0003181B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X. Срок действия и порядок расторжения Контракта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 Контракт вступает в силу с момента его подписания обеими Сторонами и действует по «31» декабря 202</w:t>
      </w:r>
      <w:r>
        <w:rPr>
          <w:rFonts w:ascii="Times New Roman" w:hAnsi="Times New Roman"/>
          <w:sz w:val="24"/>
        </w:rPr>
        <w:t xml:space="preserve">6 года включительно. 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7A543A" w:rsidRDefault="0003181B">
      <w:pPr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10.2. Расторжение Контракта допускается по соглашению Сторон, по решению суда ил</w:t>
      </w:r>
      <w:r>
        <w:rPr>
          <w:rFonts w:ascii="Times New Roman" w:hAnsi="Times New Roman"/>
          <w:sz w:val="24"/>
        </w:rPr>
        <w:t>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Законом о контрактной системе.</w:t>
      </w:r>
    </w:p>
    <w:p w:rsidR="007A543A" w:rsidRDefault="0003181B">
      <w:pPr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10.3. Окончание срока действия Контракта не освобождает Стороны </w:t>
      </w:r>
      <w:r>
        <w:rPr>
          <w:rFonts w:ascii="Times New Roman" w:hAnsi="Times New Roman"/>
          <w:sz w:val="24"/>
        </w:rPr>
        <w:t>от ответственности за неисполнение и/или ненадлежащее исполнение обязательств Сторон, в том числе гарантийных обязательств (если установлены).</w:t>
      </w:r>
    </w:p>
    <w:p w:rsidR="007A543A" w:rsidRDefault="0003181B">
      <w:pPr>
        <w:widowControl w:val="0"/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XI. Уведомления</w:t>
      </w:r>
    </w:p>
    <w:p w:rsidR="007A543A" w:rsidRDefault="0003181B">
      <w:pPr>
        <w:spacing w:after="0"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11.1. Любое уведомление, которое одна Сторона направляет другой Стороне в соответствии с </w:t>
      </w:r>
      <w:r>
        <w:rPr>
          <w:rFonts w:ascii="Times New Roman" w:hAnsi="Times New Roman"/>
          <w:sz w:val="24"/>
        </w:rPr>
        <w:t>Контрактом, высылается по почте заказным письмом с уведомлением о вручении по адресу, указанному в Контракте, либо телеграммой, либо посредством факсимильной связи, либо по адресу электронной почты, либо с использованием иных средств связи и доставки, обес</w:t>
      </w:r>
      <w:r>
        <w:rPr>
          <w:rFonts w:ascii="Times New Roman" w:hAnsi="Times New Roman"/>
          <w:sz w:val="24"/>
        </w:rPr>
        <w:t>печивающих фиксирование такого уведомления и получения подтверждения о его вручении.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11.2.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</w:t>
      </w:r>
      <w:r>
        <w:rPr>
          <w:rFonts w:ascii="Times New Roman" w:hAnsi="Times New Roman"/>
          <w:sz w:val="24"/>
        </w:rPr>
        <w:t>дресу, указанному в Контракте.</w:t>
      </w:r>
    </w:p>
    <w:p w:rsidR="007A543A" w:rsidRDefault="0003181B">
      <w:pPr>
        <w:spacing w:after="0" w:line="276" w:lineRule="auto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11.3. При рассмотрении и урегулировании споров переписка Сторон по электронной почте может использоваться в качестве доказательств.</w:t>
      </w:r>
    </w:p>
    <w:p w:rsidR="007A543A" w:rsidRDefault="0003181B">
      <w:pPr>
        <w:spacing w:before="240" w:after="240" w:line="252" w:lineRule="auto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XIII. Прочие положения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12.1. Во всем, что не предусмотрено Контрактом и приложениями к нему, </w:t>
      </w:r>
      <w:r>
        <w:rPr>
          <w:rFonts w:ascii="Times New Roman" w:hAnsi="Times New Roman"/>
          <w:sz w:val="24"/>
        </w:rPr>
        <w:t>Стороны руководствуются законодательством Российской Федерации.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12.2. В случае изменения у какой-либо из Сторон местонахождения, названия, а также в случае реорганизации она обязана в течение 3 (трех) рабочих дней письменно известить об этом другую Сторону</w:t>
      </w:r>
      <w:r>
        <w:rPr>
          <w:rFonts w:ascii="Times New Roman" w:hAnsi="Times New Roman"/>
          <w:sz w:val="24"/>
        </w:rPr>
        <w:t>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12.3. В случае изменения расчетного счета Поставщика, Поставщик обязан в течение 3 (трех) рабочих дней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</w:t>
      </w:r>
      <w:r>
        <w:rPr>
          <w:rFonts w:ascii="Times New Roman" w:hAnsi="Times New Roman"/>
          <w:sz w:val="24"/>
        </w:rPr>
        <w:t>ки, связанные с перечислением Заказчиком денежных средств на указанный в Контракте счет Поставщика, несет Поставщик.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12.4. Внесение изменений и дополнений, не противоречащих законодательству Российской Федерации, в условия Контракта и приложения к нему осу</w:t>
      </w:r>
      <w:r>
        <w:rPr>
          <w:rFonts w:ascii="Times New Roman" w:hAnsi="Times New Roman"/>
          <w:sz w:val="24"/>
        </w:rPr>
        <w:t>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12.5. Изменение существенных условий Контракта при его исполнении не допускается, за исключением случаев, предусмотре</w:t>
      </w:r>
      <w:r>
        <w:rPr>
          <w:rFonts w:ascii="Times New Roman" w:hAnsi="Times New Roman"/>
          <w:sz w:val="24"/>
        </w:rPr>
        <w:t>нных Законом о контрактной системе.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12.6.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</w:t>
      </w:r>
      <w:r>
        <w:rPr>
          <w:rFonts w:ascii="Times New Roman" w:hAnsi="Times New Roman"/>
          <w:sz w:val="24"/>
        </w:rPr>
        <w:t>я или присоединения.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12.7. В случае если поставка Товара осуществляется Поставщиком поэтапно в соот</w:t>
      </w:r>
      <w:r>
        <w:rPr>
          <w:rFonts w:ascii="Times New Roman" w:hAnsi="Times New Roman"/>
          <w:sz w:val="24"/>
        </w:rPr>
        <w:t>ветствии с периодами, установленными в Спецификации, порядок и сроки расчетов, установленные разделом II настоящего Приложения, а также порядок, сроки и условия поставки и приемки Товара, установленные разделом III настоящего Приложения, применяются в отно</w:t>
      </w:r>
      <w:r>
        <w:rPr>
          <w:rFonts w:ascii="Times New Roman" w:hAnsi="Times New Roman"/>
          <w:sz w:val="24"/>
        </w:rPr>
        <w:t>шении каждой партии Товара (отдельного этапа исполнения Контракта), если иное не установлено Контрактом и приложениями к нему.</w:t>
      </w:r>
    </w:p>
    <w:p w:rsidR="007A543A" w:rsidRDefault="0003181B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12.8.</w:t>
      </w:r>
      <w:r>
        <w:rPr>
          <w:rFonts w:ascii="Times New Roman" w:hAnsi="Times New Roman"/>
          <w:sz w:val="24"/>
        </w:rPr>
        <w:tab/>
        <w:t xml:space="preserve">Стороны обязуются обеспечить конфиденциальность сведений, относящихся к предмету Контракта, и ставших им известными в ходе </w:t>
      </w:r>
      <w:r>
        <w:rPr>
          <w:rFonts w:ascii="Times New Roman" w:hAnsi="Times New Roman"/>
          <w:sz w:val="24"/>
        </w:rPr>
        <w:t>исполнения Контракта.</w:t>
      </w:r>
    </w:p>
    <w:p w:rsidR="007A543A" w:rsidRDefault="0003181B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z w:val="24"/>
        </w:rPr>
        <w:t xml:space="preserve">12.9. </w:t>
      </w:r>
      <w:r>
        <w:rPr>
          <w:rFonts w:ascii="Times New Roman" w:hAnsi="Times New Roman"/>
          <w:spacing w:val="-3"/>
          <w:sz w:val="24"/>
        </w:rPr>
        <w:t>Спецификация к Контракту может быть изложена в виде технического задания. В этом случае термины «Спецификация» и «Техническое задание» являются тождественными.</w:t>
      </w:r>
    </w:p>
    <w:p w:rsidR="007A543A" w:rsidRDefault="0003181B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12.10. Контактные данные Заказчика</w:t>
      </w:r>
    </w:p>
    <w:p w:rsidR="007A543A" w:rsidRDefault="0003181B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-  по вопросам заключения контрак</w:t>
      </w:r>
      <w:r>
        <w:rPr>
          <w:rFonts w:ascii="Times New Roman" w:hAnsi="Times New Roman"/>
          <w:spacing w:val="-3"/>
          <w:sz w:val="24"/>
        </w:rPr>
        <w:t>та:</w:t>
      </w:r>
    </w:p>
    <w:p w:rsidR="007A543A" w:rsidRDefault="0003181B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Телефон: 8 (495) 587 88 89 доб. 2911, 2917,2924,2923</w:t>
      </w:r>
    </w:p>
    <w:p w:rsidR="007A543A" w:rsidRPr="0003181B" w:rsidRDefault="0003181B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  <w:lang w:val="en-US"/>
        </w:rPr>
      </w:pPr>
      <w:r w:rsidRPr="0003181B">
        <w:rPr>
          <w:rFonts w:ascii="Times New Roman" w:hAnsi="Times New Roman"/>
          <w:spacing w:val="-3"/>
          <w:sz w:val="24"/>
          <w:lang w:val="en-US"/>
        </w:rPr>
        <w:t>E-mail: usz_zakupki@mintrud.gov.ru;</w:t>
      </w:r>
    </w:p>
    <w:p w:rsidR="007A543A" w:rsidRDefault="0003181B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- по вопросам формирования отчетных документов и исполнения контракта</w:t>
      </w:r>
    </w:p>
    <w:p w:rsidR="007A543A" w:rsidRDefault="0003181B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телефон: </w:t>
      </w:r>
    </w:p>
    <w:p w:rsidR="007A543A" w:rsidRDefault="0003181B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8 (495) 587 88 89 доб. 2969</w:t>
      </w:r>
    </w:p>
    <w:p w:rsidR="007A543A" w:rsidRDefault="0003181B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Филиппова Татьяна Викторовна</w:t>
      </w:r>
    </w:p>
    <w:p w:rsidR="007A543A" w:rsidRDefault="0003181B">
      <w:pPr>
        <w:spacing w:after="0" w:line="252" w:lineRule="auto"/>
        <w:ind w:firstLine="567"/>
        <w:jc w:val="both"/>
        <w:rPr>
          <w:rStyle w:val="af3"/>
          <w:rFonts w:ascii="Times New Roman" w:hAnsi="Times New Roman"/>
          <w:spacing w:val="-3"/>
          <w:sz w:val="24"/>
        </w:rPr>
      </w:pPr>
      <w:hyperlink r:id="rId5" w:history="1">
        <w:r>
          <w:rPr>
            <w:rStyle w:val="af3"/>
            <w:rFonts w:ascii="Times New Roman" w:hAnsi="Times New Roman"/>
            <w:spacing w:val="-3"/>
            <w:sz w:val="24"/>
          </w:rPr>
          <w:t>mts.fgbu@yandex.ru</w:t>
        </w:r>
      </w:hyperlink>
    </w:p>
    <w:p w:rsidR="007A543A" w:rsidRDefault="007A543A">
      <w:pPr>
        <w:spacing w:after="0" w:line="252" w:lineRule="auto"/>
        <w:ind w:firstLine="567"/>
        <w:jc w:val="both"/>
        <w:rPr>
          <w:rFonts w:ascii="Times New Roman" w:hAnsi="Times New Roman"/>
          <w:spacing w:val="-3"/>
          <w:sz w:val="24"/>
        </w:rPr>
      </w:pPr>
    </w:p>
    <w:p w:rsidR="007A543A" w:rsidRDefault="007A543A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98"/>
      </w:tblGrid>
      <w:tr w:rsidR="007A543A">
        <w:trPr>
          <w:trHeight w:val="562"/>
        </w:trPr>
        <w:tc>
          <w:tcPr>
            <w:tcW w:w="10198" w:type="dxa"/>
            <w:shd w:val="clear" w:color="auto" w:fill="auto"/>
            <w:vAlign w:val="center"/>
          </w:tcPr>
          <w:p w:rsidR="007A543A" w:rsidRDefault="0003181B">
            <w:pPr>
              <w:spacing w:after="0" w:line="0" w:lineRule="atLeast"/>
              <w:ind w:firstLine="567"/>
              <w:jc w:val="center"/>
              <w:rPr>
                <w:rFonts w:ascii="Times New Roman" w:hAnsi="Times New Roman"/>
                <w:b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ПОДПИСИ СТОРОН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</w:p>
        </w:tc>
      </w:tr>
      <w:tr w:rsidR="007A543A">
        <w:tc>
          <w:tcPr>
            <w:tcW w:w="10198" w:type="dxa"/>
            <w:shd w:val="clear" w:color="auto" w:fill="auto"/>
            <w:vAlign w:val="center"/>
          </w:tcPr>
          <w:p w:rsidR="007A543A" w:rsidRDefault="0003181B">
            <w:pPr>
              <w:spacing w:before="120" w:after="120" w:line="0" w:lineRule="atLeast"/>
              <w:ind w:firstLine="567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От Заказчика: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подписано усиленной квалифицированной электронной подписью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</w:rPr>
              <w:t>лица,  имеющего</w:t>
            </w:r>
            <w:proofErr w:type="gramEnd"/>
            <w:r>
              <w:rPr>
                <w:rFonts w:ascii="Times New Roman" w:hAnsi="Times New Roman"/>
                <w:spacing w:val="-3"/>
                <w:sz w:val="24"/>
              </w:rPr>
              <w:t xml:space="preserve"> право действовать от имени Заказчика</w:t>
            </w:r>
          </w:p>
        </w:tc>
      </w:tr>
      <w:tr w:rsidR="007A543A">
        <w:tc>
          <w:tcPr>
            <w:tcW w:w="10198" w:type="dxa"/>
            <w:shd w:val="clear" w:color="auto" w:fill="auto"/>
            <w:vAlign w:val="center"/>
          </w:tcPr>
          <w:p w:rsidR="007A543A" w:rsidRDefault="0003181B">
            <w:pPr>
              <w:spacing w:before="120" w:after="120" w:line="0" w:lineRule="atLeast"/>
              <w:ind w:firstLine="56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От Поставщика: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подписано усиленной квалифицированной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электронной подписью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</w:rPr>
              <w:t>лица,  имеющего</w:t>
            </w:r>
            <w:proofErr w:type="gramEnd"/>
            <w:r>
              <w:rPr>
                <w:rFonts w:ascii="Times New Roman" w:hAnsi="Times New Roman"/>
                <w:spacing w:val="-3"/>
                <w:sz w:val="24"/>
              </w:rPr>
              <w:t xml:space="preserve"> право действовать от имени Поставщика</w:t>
            </w:r>
          </w:p>
        </w:tc>
      </w:tr>
    </w:tbl>
    <w:p w:rsidR="007A543A" w:rsidRDefault="007A543A"/>
    <w:p w:rsidR="007A543A" w:rsidRDefault="007A543A"/>
    <w:p w:rsidR="007A543A" w:rsidRDefault="007A543A"/>
    <w:p w:rsidR="007A543A" w:rsidRDefault="007A543A"/>
    <w:p w:rsidR="007A543A" w:rsidRDefault="007A543A"/>
    <w:p w:rsidR="007A543A" w:rsidRDefault="007A543A">
      <w:pPr>
        <w:sectPr w:rsidR="007A543A">
          <w:type w:val="continuous"/>
          <w:pgSz w:w="11906" w:h="16838"/>
          <w:pgMar w:top="1134" w:right="566" w:bottom="1134" w:left="1134" w:header="708" w:footer="708" w:gutter="0"/>
          <w:cols w:space="720"/>
        </w:sectPr>
      </w:pPr>
    </w:p>
    <w:p w:rsidR="007A543A" w:rsidRDefault="007A543A">
      <w:pPr>
        <w:widowControl w:val="0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7A543A" w:rsidRDefault="007A543A">
      <w:pPr>
        <w:widowControl w:val="0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7A543A" w:rsidRDefault="007A543A">
      <w:pPr>
        <w:widowControl w:val="0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7A543A" w:rsidRDefault="007A543A">
      <w:pPr>
        <w:widowControl w:val="0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7A543A" w:rsidRDefault="007A543A">
      <w:pPr>
        <w:widowControl w:val="0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7A543A" w:rsidRDefault="007A543A">
      <w:pPr>
        <w:widowControl w:val="0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7A543A" w:rsidRDefault="007A543A">
      <w:pPr>
        <w:widowControl w:val="0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7A543A" w:rsidRDefault="0003181B">
      <w:pPr>
        <w:widowControl w:val="0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2</w:t>
      </w:r>
    </w:p>
    <w:p w:rsidR="007A543A" w:rsidRDefault="0003181B">
      <w:pPr>
        <w:widowControl w:val="0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Контракту</w:t>
      </w:r>
    </w:p>
    <w:p w:rsidR="007A543A" w:rsidRDefault="007A543A">
      <w:pPr>
        <w:widowControl w:val="0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</w:rPr>
      </w:pPr>
    </w:p>
    <w:p w:rsidR="007A543A" w:rsidRDefault="0003181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Техническое задание</w:t>
      </w:r>
    </w:p>
    <w:p w:rsidR="007A543A" w:rsidRDefault="0003181B">
      <w:pPr>
        <w:spacing w:after="57" w:line="240" w:lineRule="auto"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на поставку товаров для ремонта для нужд ФГБУ «УСЗ и МТО» Минтруда России</w:t>
      </w:r>
    </w:p>
    <w:p w:rsidR="007A543A" w:rsidRDefault="007A543A">
      <w:pPr>
        <w:spacing w:after="57" w:line="240" w:lineRule="auto"/>
        <w:jc w:val="center"/>
        <w:rPr>
          <w:rStyle w:val="af3"/>
          <w:rFonts w:ascii="XO Thames" w:hAnsi="XO Thames"/>
          <w:b/>
          <w:color w:val="000000"/>
          <w:sz w:val="24"/>
          <w:u w:val="none"/>
        </w:rPr>
      </w:pPr>
    </w:p>
    <w:p w:rsidR="007A543A" w:rsidRDefault="0003181B">
      <w:pPr>
        <w:numPr>
          <w:ilvl w:val="0"/>
          <w:numId w:val="1"/>
        </w:numPr>
        <w:spacing w:after="57" w:line="240" w:lineRule="auto"/>
        <w:ind w:left="0" w:firstLine="851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Предмет закупки:</w:t>
      </w:r>
      <w:r>
        <w:rPr>
          <w:rFonts w:ascii="XO Thames" w:hAnsi="XO Thames"/>
          <w:sz w:val="24"/>
        </w:rPr>
        <w:t xml:space="preserve"> поставка </w:t>
      </w:r>
      <w:r>
        <w:rPr>
          <w:rFonts w:ascii="XO Thames" w:hAnsi="XO Thames"/>
          <w:sz w:val="24"/>
        </w:rPr>
        <w:t>товаров для ремонта для нужд ФГБУ «УСЗ и МТО» Минтруда России.</w:t>
      </w:r>
    </w:p>
    <w:p w:rsidR="007A543A" w:rsidRDefault="0003181B">
      <w:pPr>
        <w:spacing w:after="57" w:line="240" w:lineRule="auto"/>
        <w:ind w:firstLine="851"/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Объект закупки:</w:t>
      </w:r>
      <w:r>
        <w:rPr>
          <w:rFonts w:ascii="XO Thames" w:hAnsi="XO Thames"/>
          <w:sz w:val="24"/>
        </w:rPr>
        <w:t xml:space="preserve"> товары для ремонта (далее – Товар).</w:t>
      </w:r>
    </w:p>
    <w:p w:rsidR="007A543A" w:rsidRDefault="0003181B">
      <w:pPr>
        <w:spacing w:after="57" w:line="240" w:lineRule="auto"/>
        <w:ind w:firstLine="851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Код субсидии 02-99 (УСЗ).</w:t>
      </w:r>
    </w:p>
    <w:p w:rsidR="007A543A" w:rsidRDefault="0003181B">
      <w:pPr>
        <w:numPr>
          <w:ilvl w:val="0"/>
          <w:numId w:val="1"/>
        </w:numPr>
        <w:spacing w:after="57" w:line="240" w:lineRule="auto"/>
        <w:ind w:left="0" w:firstLine="851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 xml:space="preserve">Место поставки Товара: </w:t>
      </w:r>
      <w:r>
        <w:rPr>
          <w:rFonts w:ascii="XO Thames" w:hAnsi="XO Thames"/>
          <w:sz w:val="24"/>
        </w:rPr>
        <w:t>г. Москва, ул. Ильинка, 15, стр.1.</w:t>
      </w:r>
    </w:p>
    <w:p w:rsidR="007A543A" w:rsidRDefault="0003181B">
      <w:pPr>
        <w:numPr>
          <w:ilvl w:val="0"/>
          <w:numId w:val="1"/>
        </w:numPr>
        <w:spacing w:after="57" w:line="240" w:lineRule="auto"/>
        <w:ind w:left="0" w:firstLine="851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 xml:space="preserve">Срок поставки Товара: </w:t>
      </w:r>
      <w:r>
        <w:rPr>
          <w:rFonts w:ascii="XO Thames" w:hAnsi="XO Thames"/>
          <w:sz w:val="24"/>
        </w:rPr>
        <w:t>в течение 5 (пяти</w:t>
      </w:r>
      <w:r>
        <w:rPr>
          <w:rFonts w:ascii="XO Thames" w:hAnsi="XO Thames"/>
          <w:sz w:val="24"/>
        </w:rPr>
        <w:t>) рабочих дней с даты заключения Контракта.</w:t>
      </w:r>
    </w:p>
    <w:p w:rsidR="007A543A" w:rsidRDefault="0003181B">
      <w:pPr>
        <w:numPr>
          <w:ilvl w:val="0"/>
          <w:numId w:val="1"/>
        </w:numPr>
        <w:spacing w:after="57" w:line="240" w:lineRule="auto"/>
        <w:ind w:firstLine="131"/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Общие требования:</w:t>
      </w:r>
    </w:p>
    <w:p w:rsidR="007A543A" w:rsidRDefault="0003181B">
      <w:pPr>
        <w:widowControl w:val="0"/>
        <w:spacing w:after="57" w:line="240" w:lineRule="auto"/>
        <w:ind w:firstLine="851"/>
        <w:jc w:val="both"/>
        <w:outlineLvl w:val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4.1. Поставщик в обязательном порядке не позднее 3 (трех) рабочих дней до начала поставки обязан предоставить Заказчику данные на сотрудников для оформления пропусков на территорию Заказчика с у</w:t>
      </w:r>
      <w:r>
        <w:rPr>
          <w:rFonts w:ascii="XO Thames" w:hAnsi="XO Thames"/>
          <w:sz w:val="24"/>
        </w:rPr>
        <w:t xml:space="preserve">казанием: ФИО, паспортных данных, номеров автомашин. </w:t>
      </w:r>
    </w:p>
    <w:p w:rsidR="007A543A" w:rsidRDefault="0003181B">
      <w:pPr>
        <w:widowControl w:val="0"/>
        <w:spacing w:after="57" w:line="240" w:lineRule="auto"/>
        <w:ind w:firstLine="851"/>
        <w:jc w:val="both"/>
        <w:outlineLvl w:val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4.2. Поставщик согласовывает с Заказчиком дату и время поставки не менее чем за 3 (три) рабочих дня до даты поставки.</w:t>
      </w:r>
    </w:p>
    <w:p w:rsidR="007A543A" w:rsidRDefault="0003181B">
      <w:pPr>
        <w:spacing w:after="57" w:line="240" w:lineRule="auto"/>
        <w:ind w:firstLine="851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4.3. Доставка и разгрузка осуществляется силами и средствами Поставщика или с привле</w:t>
      </w:r>
      <w:r>
        <w:rPr>
          <w:rFonts w:ascii="XO Thames" w:hAnsi="XO Thames"/>
          <w:sz w:val="24"/>
        </w:rPr>
        <w:t>чением третьих лиц. Ответственность за действия третьих лиц несет Поставщик. Поставщик несет ответственность за разглашение своими сотрудниками любой служебной информации, принадлежащей Заказчику, и осуществляет контроль дисциплины своих сотрудников в проц</w:t>
      </w:r>
      <w:r>
        <w:rPr>
          <w:rFonts w:ascii="XO Thames" w:hAnsi="XO Thames"/>
          <w:sz w:val="24"/>
        </w:rPr>
        <w:t>ессе поставки.</w:t>
      </w:r>
    </w:p>
    <w:p w:rsidR="007A543A" w:rsidRDefault="0003181B">
      <w:pPr>
        <w:numPr>
          <w:ilvl w:val="1"/>
          <w:numId w:val="2"/>
        </w:numPr>
        <w:spacing w:after="57" w:line="240" w:lineRule="auto"/>
        <w:ind w:left="0" w:firstLine="851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 случае какого-либо повреждения имущества, принадлежащего Заказчику или третьим лицам в ходе поставки Товара, Поставщик обязан произвести восстановительные (ремонтные) работы за свой счет с применением сертифицированных, качественных матери</w:t>
      </w:r>
      <w:r>
        <w:rPr>
          <w:rFonts w:ascii="XO Thames" w:hAnsi="XO Thames"/>
          <w:sz w:val="24"/>
        </w:rPr>
        <w:t>алов и оборудования.</w:t>
      </w:r>
    </w:p>
    <w:p w:rsidR="007A543A" w:rsidRDefault="0003181B">
      <w:pPr>
        <w:numPr>
          <w:ilvl w:val="0"/>
          <w:numId w:val="2"/>
        </w:numPr>
        <w:spacing w:after="57" w:line="240" w:lineRule="auto"/>
        <w:ind w:left="0" w:firstLine="851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Требования к количеству (объему), функциональным и техническим характеристикам Товара: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134"/>
        <w:gridCol w:w="2126"/>
        <w:gridCol w:w="1134"/>
        <w:gridCol w:w="709"/>
        <w:gridCol w:w="740"/>
        <w:gridCol w:w="2095"/>
        <w:gridCol w:w="1951"/>
      </w:tblGrid>
      <w:tr w:rsidR="007A543A">
        <w:trPr>
          <w:trHeight w:val="1032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ind w:left="-108" w:right="-108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Код по ОКПД2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ind w:left="-108" w:right="-108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 товара, входящего в объект закупки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ind w:left="-108" w:right="-108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Товарный знак, марка, артикул, 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ind w:left="-108" w:right="-108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Ед. измерения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Кол-во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 показателя, ед. изм. показателя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ind w:left="-108" w:right="-108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Описание, значение</w:t>
            </w:r>
          </w:p>
        </w:tc>
      </w:tr>
      <w:tr w:rsidR="007A543A">
        <w:trPr>
          <w:trHeight w:val="184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22.23.19.190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Плинтус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Cosca</w:t>
            </w:r>
            <w:proofErr w:type="spellEnd"/>
            <w:r>
              <w:rPr>
                <w:rFonts w:ascii="XO Thames" w:hAnsi="XO Thames"/>
                <w:sz w:val="24"/>
              </w:rPr>
              <w:t xml:space="preserve"> </w:t>
            </w:r>
            <w:proofErr w:type="spellStart"/>
            <w:r>
              <w:rPr>
                <w:rFonts w:ascii="XO Thames" w:hAnsi="XO Thames"/>
                <w:sz w:val="24"/>
              </w:rPr>
              <w:t>Décor</w:t>
            </w:r>
            <w:proofErr w:type="spellEnd"/>
            <w:r>
              <w:rPr>
                <w:rFonts w:ascii="XO Thames" w:hAnsi="XO Thames"/>
                <w:sz w:val="24"/>
              </w:rPr>
              <w:t xml:space="preserve"> РХ014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Высота по стене,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99</w:t>
            </w:r>
          </w:p>
        </w:tc>
      </w:tr>
      <w:tr w:rsidR="007A543A">
        <w:trPr>
          <w:trHeight w:val="18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 по полу,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</w:t>
            </w:r>
          </w:p>
        </w:tc>
      </w:tr>
      <w:tr w:rsidR="007A543A">
        <w:trPr>
          <w:trHeight w:val="18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2000</w:t>
            </w:r>
          </w:p>
        </w:tc>
      </w:tr>
      <w:tr w:rsidR="007A543A">
        <w:trPr>
          <w:trHeight w:val="18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Экополимер</w:t>
            </w:r>
            <w:proofErr w:type="spellEnd"/>
          </w:p>
        </w:tc>
      </w:tr>
      <w:tr w:rsidR="007A543A">
        <w:trPr>
          <w:trHeight w:val="18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Цвет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Белый</w:t>
            </w:r>
          </w:p>
        </w:tc>
      </w:tr>
      <w:tr w:rsidR="007A543A">
        <w:trPr>
          <w:trHeight w:val="18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Огрунтованный</w:t>
            </w:r>
            <w:proofErr w:type="spell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</w:t>
            </w:r>
          </w:p>
        </w:tc>
      </w:tr>
      <w:tr w:rsidR="007A543A">
        <w:trPr>
          <w:trHeight w:val="252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20.52.10.190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Клей полимерный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Cosca</w:t>
            </w:r>
            <w:proofErr w:type="spellEnd"/>
            <w:r>
              <w:rPr>
                <w:rFonts w:ascii="XO Thames" w:hAnsi="XO Thames"/>
                <w:sz w:val="24"/>
              </w:rPr>
              <w:t xml:space="preserve"> </w:t>
            </w:r>
            <w:proofErr w:type="spellStart"/>
            <w:r>
              <w:rPr>
                <w:rFonts w:ascii="XO Thames" w:hAnsi="XO Thames"/>
                <w:sz w:val="24"/>
              </w:rPr>
              <w:t>Decor</w:t>
            </w:r>
            <w:proofErr w:type="spellEnd"/>
            <w:r>
              <w:rPr>
                <w:rFonts w:ascii="XO Thames" w:hAnsi="XO Thames"/>
                <w:sz w:val="24"/>
              </w:rPr>
              <w:t xml:space="preserve"> SUPERFIX</w:t>
            </w:r>
          </w:p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18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Характеристика установлена в соответствии с КТРУ, код позиции </w:t>
            </w:r>
            <w:r>
              <w:rPr>
                <w:rFonts w:ascii="XO Thames" w:hAnsi="XO Thames"/>
                <w:sz w:val="24"/>
              </w:rPr>
              <w:t>20.52.10.190-00000022</w:t>
            </w:r>
          </w:p>
        </w:tc>
      </w:tr>
      <w:tr w:rsidR="007A543A">
        <w:trPr>
          <w:trHeight w:val="251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Вес, Грамм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400</w:t>
            </w:r>
          </w:p>
        </w:tc>
      </w:tr>
      <w:tr w:rsidR="007A543A">
        <w:trPr>
          <w:trHeight w:val="251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Вид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Контактный</w:t>
            </w:r>
          </w:p>
        </w:tc>
      </w:tr>
      <w:tr w:rsidR="007A543A">
        <w:trPr>
          <w:trHeight w:val="251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Тип по количеству компонентов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Однокомпонентный</w:t>
            </w:r>
          </w:p>
        </w:tc>
      </w:tr>
      <w:tr w:rsidR="007A543A">
        <w:trPr>
          <w:trHeight w:val="251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Форма </w:t>
            </w:r>
            <w:r>
              <w:rPr>
                <w:rFonts w:ascii="XO Thames" w:hAnsi="XO Thames"/>
                <w:sz w:val="24"/>
              </w:rPr>
              <w:t>выпуска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Паста</w:t>
            </w:r>
          </w:p>
        </w:tc>
      </w:tr>
      <w:tr w:rsidR="007A543A">
        <w:trPr>
          <w:trHeight w:val="251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Заказчик установил дополнительные характеристики в связи с тем, что характеристики, указанные в КТРУ на официальном сайте Единой информационной системы в сфере закупок, не являются исчерпывающими и не позволяют точно определить </w:t>
            </w:r>
            <w:r>
              <w:rPr>
                <w:rFonts w:ascii="XO Thames" w:hAnsi="XO Thames"/>
                <w:sz w:val="24"/>
              </w:rPr>
              <w:t>качественные, функциональные и технические характеристики закупаемого товара. Данные дополнительные характеристики детализируют предмет закупки и полностью отвечают потребности Заказчика. Обоснование необходимости использования дополнительных характеристик</w:t>
            </w:r>
            <w:r>
              <w:rPr>
                <w:rFonts w:ascii="XO Thames" w:hAnsi="XO Thames"/>
                <w:sz w:val="24"/>
              </w:rPr>
              <w:t xml:space="preserve">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Правил формирования и ведения в единой информационной систем</w:t>
            </w:r>
            <w:r>
              <w:rPr>
                <w:rFonts w:ascii="XO Thames" w:hAnsi="XO Thames"/>
                <w:sz w:val="24"/>
              </w:rPr>
              <w:t>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нужд»).</w:t>
            </w:r>
          </w:p>
        </w:tc>
      </w:tr>
      <w:tr w:rsidR="007A543A">
        <w:trPr>
          <w:trHeight w:val="251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Основа клея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Акрил</w:t>
            </w:r>
          </w:p>
        </w:tc>
      </w:tr>
      <w:tr w:rsidR="007A543A">
        <w:trPr>
          <w:trHeight w:val="251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Вид тары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Картридж</w:t>
            </w:r>
          </w:p>
        </w:tc>
      </w:tr>
      <w:tr w:rsidR="007A543A">
        <w:trPr>
          <w:trHeight w:val="251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Цвет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Белый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17.23.11.150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Лента клеевая на бумажной основе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Gigant</w:t>
            </w:r>
            <w:proofErr w:type="spellEnd"/>
            <w:r>
              <w:rPr>
                <w:rFonts w:ascii="XO Thames" w:hAnsi="XO Thames"/>
                <w:sz w:val="24"/>
              </w:rPr>
              <w:t xml:space="preserve"> GIT-25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Рул</w:t>
            </w:r>
            <w:proofErr w:type="spellEnd"/>
            <w:r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Характеристика установлена в соответствии с КТРУ, код позиции </w:t>
            </w:r>
            <w:r>
              <w:rPr>
                <w:rFonts w:ascii="XO Thames" w:hAnsi="XO Thames"/>
                <w:sz w:val="24"/>
              </w:rPr>
              <w:t>17.23.11.150-00000001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 рулона, Миллиметр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50000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Количество липких сторон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Лента окрашенная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Нет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 бобины, Миллиметр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48</w:t>
            </w:r>
          </w:p>
        </w:tc>
      </w:tr>
      <w:tr w:rsidR="007A543A">
        <w:trPr>
          <w:trHeight w:val="9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22.29.21.000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Лента техническая с липким слоем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Gigant</w:t>
            </w:r>
            <w:proofErr w:type="spellEnd"/>
            <w:r>
              <w:rPr>
                <w:rFonts w:ascii="XO Thames" w:hAnsi="XO Thames"/>
                <w:sz w:val="24"/>
              </w:rPr>
              <w:t xml:space="preserve"> GIT-14</w:t>
            </w:r>
          </w:p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Характеристика установлена в соответствии с КТРУ, код позиции </w:t>
            </w:r>
            <w:r>
              <w:rPr>
                <w:rFonts w:ascii="XO Thames" w:hAnsi="XO Thames"/>
                <w:sz w:val="24"/>
              </w:rPr>
              <w:t>22.29.21.000-00000031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 рулона, Миллиметр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50000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Количество клеевых сторон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 основы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Полиэтилен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Наличие армирования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Ширина, Миллиметр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48</w:t>
            </w:r>
          </w:p>
        </w:tc>
      </w:tr>
      <w:tr w:rsidR="007A543A">
        <w:trPr>
          <w:trHeight w:val="9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23.62.10.000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Лист гипсокартонный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Характеристика установлена в соответствии с КТРУ, код позиции </w:t>
            </w:r>
            <w:r>
              <w:rPr>
                <w:rFonts w:ascii="XO Thames" w:hAnsi="XO Thames"/>
                <w:sz w:val="24"/>
              </w:rPr>
              <w:t>23.62.10.000-00000008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Вид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Обычный (ГКЛ)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Длина, Миллиметр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2500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Толщина, Миллиметр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12,5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Ширина, Миллиметр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1200</w:t>
            </w:r>
          </w:p>
        </w:tc>
      </w:tr>
      <w:tr w:rsidR="007A543A">
        <w:trPr>
          <w:trHeight w:val="9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24.20.14.120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Профиль стоечный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Knauf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Назначение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Для </w:t>
            </w:r>
            <w:proofErr w:type="spellStart"/>
            <w:r>
              <w:rPr>
                <w:rFonts w:ascii="XO Thames" w:hAnsi="XO Thames"/>
                <w:sz w:val="24"/>
              </w:rPr>
              <w:t>гипсокартона</w:t>
            </w:r>
            <w:proofErr w:type="spellEnd"/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Толщина металла,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0,6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Высота,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3000</w:t>
            </w:r>
          </w:p>
        </w:tc>
      </w:tr>
      <w:tr w:rsidR="007A543A">
        <w:trPr>
          <w:trHeight w:val="108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24.20.14.120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Профиль направляющий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Knauf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Назначение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Для </w:t>
            </w:r>
            <w:proofErr w:type="spellStart"/>
            <w:r>
              <w:rPr>
                <w:rFonts w:ascii="XO Thames" w:hAnsi="XO Thames"/>
                <w:sz w:val="24"/>
              </w:rPr>
              <w:t>гипсокартона</w:t>
            </w:r>
            <w:proofErr w:type="spellEnd"/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Толщина металла,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0,6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Высота,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3000</w:t>
            </w:r>
          </w:p>
        </w:tc>
      </w:tr>
      <w:tr w:rsidR="007A543A">
        <w:trPr>
          <w:trHeight w:val="108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24.20.14.120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Профиль потолочный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Knauf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Назначение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Для </w:t>
            </w:r>
            <w:r>
              <w:rPr>
                <w:rFonts w:ascii="XO Thames" w:hAnsi="XO Thames"/>
                <w:sz w:val="24"/>
              </w:rPr>
              <w:t>потолков и стен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Толщина металла,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0,6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Высота,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60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3000</w:t>
            </w:r>
          </w:p>
        </w:tc>
      </w:tr>
      <w:tr w:rsidR="007A543A">
        <w:trPr>
          <w:trHeight w:val="80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20.30.22.120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Шпаклевка гипсовая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Knauf</w:t>
            </w:r>
            <w:proofErr w:type="spellEnd"/>
            <w:r>
              <w:rPr>
                <w:rFonts w:ascii="XO Thames" w:hAnsi="XO Thames"/>
                <w:sz w:val="24"/>
              </w:rPr>
              <w:t xml:space="preserve"> </w:t>
            </w:r>
            <w:proofErr w:type="spellStart"/>
            <w:r>
              <w:rPr>
                <w:rFonts w:ascii="XO Thames" w:hAnsi="XO Thames"/>
                <w:sz w:val="24"/>
              </w:rPr>
              <w:t>Fugen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уп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Тип работа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Внутренние работы</w:t>
            </w:r>
          </w:p>
        </w:tc>
      </w:tr>
      <w:tr w:rsidR="007A543A">
        <w:trPr>
          <w:trHeight w:val="76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Форма выпуска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Сухая смесь</w:t>
            </w:r>
          </w:p>
        </w:tc>
      </w:tr>
      <w:tr w:rsidR="007A543A">
        <w:trPr>
          <w:trHeight w:val="76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Вес нетто</w:t>
            </w:r>
            <w:r>
              <w:rPr>
                <w:rFonts w:ascii="XO Thames" w:hAnsi="XO Thames"/>
                <w:sz w:val="24"/>
              </w:rPr>
              <w:t xml:space="preserve"> в упаковке, кг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</w:tr>
      <w:tr w:rsidR="007A543A">
        <w:trPr>
          <w:trHeight w:val="20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20.30.22.120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Шпаклевка полимерная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Knauf</w:t>
            </w:r>
            <w:proofErr w:type="spellEnd"/>
            <w:r>
              <w:rPr>
                <w:rFonts w:ascii="XO Thames" w:hAnsi="XO Thames"/>
                <w:sz w:val="24"/>
              </w:rPr>
              <w:t xml:space="preserve"> </w:t>
            </w:r>
            <w:proofErr w:type="spellStart"/>
            <w:r>
              <w:rPr>
                <w:rFonts w:ascii="XO Thames" w:hAnsi="XO Thames"/>
                <w:sz w:val="24"/>
              </w:rPr>
              <w:t>Ventonit</w:t>
            </w:r>
            <w:proofErr w:type="spellEnd"/>
            <w:r>
              <w:rPr>
                <w:rFonts w:ascii="XO Thames" w:hAnsi="XO Thames"/>
                <w:sz w:val="24"/>
              </w:rPr>
              <w:t xml:space="preserve"> LR+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уп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Тип работа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Внутренние работы</w:t>
            </w:r>
          </w:p>
        </w:tc>
      </w:tr>
      <w:tr w:rsidR="007A543A">
        <w:trPr>
          <w:trHeight w:val="201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Форма выпуска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Сухая смесь</w:t>
            </w:r>
          </w:p>
        </w:tc>
      </w:tr>
      <w:tr w:rsidR="007A543A">
        <w:trPr>
          <w:trHeight w:val="201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Вес нетто в упаковке, кг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</w:tr>
      <w:tr w:rsidR="007A543A">
        <w:trPr>
          <w:trHeight w:val="108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23.91.12.120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Рулон шлифовальный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Sunmight</w:t>
            </w:r>
            <w:proofErr w:type="spellEnd"/>
            <w:r>
              <w:rPr>
                <w:rFonts w:ascii="XO Thames" w:hAnsi="XO Thames"/>
                <w:sz w:val="24"/>
              </w:rPr>
              <w:t xml:space="preserve"> </w:t>
            </w:r>
            <w:proofErr w:type="spellStart"/>
            <w:r>
              <w:rPr>
                <w:rFonts w:ascii="XO Thames" w:hAnsi="XO Thames"/>
                <w:sz w:val="24"/>
              </w:rPr>
              <w:t>Ceramic</w:t>
            </w:r>
            <w:proofErr w:type="spellEnd"/>
            <w:r>
              <w:rPr>
                <w:rFonts w:ascii="XO Thames" w:hAnsi="XO Thames"/>
                <w:sz w:val="24"/>
              </w:rPr>
              <w:t xml:space="preserve"> L712T</w:t>
            </w:r>
          </w:p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Зернистость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Р150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Назначение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Для </w:t>
            </w:r>
            <w:proofErr w:type="spellStart"/>
            <w:r>
              <w:rPr>
                <w:rFonts w:ascii="XO Thames" w:hAnsi="XO Thames"/>
                <w:sz w:val="24"/>
              </w:rPr>
              <w:t>шлифмашин</w:t>
            </w:r>
            <w:proofErr w:type="spellEnd"/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Мультипылеотвод</w:t>
            </w:r>
            <w:proofErr w:type="spell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наличии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115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 рулона, 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</w:t>
            </w:r>
          </w:p>
        </w:tc>
      </w:tr>
      <w:tr w:rsidR="007A543A">
        <w:trPr>
          <w:trHeight w:val="108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25.73.30.299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Шпатель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Характеристика установлена в соответствии с КТРУ, код позиции </w:t>
            </w:r>
            <w:r>
              <w:rPr>
                <w:rFonts w:ascii="XO Thames" w:hAnsi="XO Thames"/>
                <w:sz w:val="24"/>
              </w:rPr>
              <w:t>25.73.30.299-00000005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Материал </w:t>
            </w:r>
            <w:r>
              <w:rPr>
                <w:rFonts w:ascii="XO Thames" w:hAnsi="XO Thames"/>
                <w:sz w:val="24"/>
              </w:rPr>
              <w:t>полотна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Сталь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Форма полотна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Плоское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 полотна, Миллиметр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Заказчик установил дополнительные характеристики в связи с тем, что характеристики, указанные в КТРУ на официальном сайте Единой информационной системы в сфере закупок, </w:t>
            </w:r>
            <w:r>
              <w:rPr>
                <w:rFonts w:ascii="XO Thames" w:hAnsi="XO Thames"/>
                <w:sz w:val="24"/>
              </w:rPr>
              <w:t>не являются исчерпывающими и не позволяют точно определить качественные, функциональные и технические характеристики закупаемого товара. Данные дополнительные характеристики детализируют предмет закупки и полностью отвечают потребности Заказчика. Обоснован</w:t>
            </w:r>
            <w:r>
              <w:rPr>
                <w:rFonts w:ascii="XO Thames" w:hAnsi="XO Thames"/>
                <w:sz w:val="24"/>
              </w:rPr>
              <w:t>ие необходимости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П</w:t>
            </w:r>
            <w:r>
              <w:rPr>
                <w:rFonts w:ascii="XO Thames" w:hAnsi="XO Thames"/>
                <w:sz w:val="24"/>
              </w:rPr>
              <w:t xml:space="preserve">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</w:t>
            </w:r>
            <w:r>
              <w:rPr>
                <w:rFonts w:ascii="XO Thames" w:hAnsi="XO Thames"/>
                <w:sz w:val="24"/>
              </w:rPr>
              <w:lastRenderedPageBreak/>
              <w:t>каталога товаров, работ, услуг для обеспечения государственных и муницип</w:t>
            </w:r>
            <w:r>
              <w:rPr>
                <w:rFonts w:ascii="XO Thames" w:hAnsi="XO Thames"/>
                <w:sz w:val="24"/>
              </w:rPr>
              <w:t>альных нужд»). Вид, материал ручки и вид работ указана для понимания нужд Заказчика.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 ручки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Пластик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Вид работ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Выравнивание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Вид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Фасадный</w:t>
            </w:r>
          </w:p>
        </w:tc>
      </w:tr>
      <w:tr w:rsidR="007A543A">
        <w:trPr>
          <w:trHeight w:val="80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25.73.30.299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Шпатель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Характеристика установлена в соответствии с КТРУ, код позиции </w:t>
            </w:r>
            <w:r>
              <w:rPr>
                <w:rFonts w:ascii="XO Thames" w:hAnsi="XO Thames"/>
                <w:sz w:val="24"/>
              </w:rPr>
              <w:t>25.73.30.299-00000005</w:t>
            </w:r>
          </w:p>
        </w:tc>
      </w:tr>
      <w:tr w:rsidR="007A543A">
        <w:trPr>
          <w:trHeight w:val="76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 полотна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Сталь</w:t>
            </w:r>
          </w:p>
        </w:tc>
      </w:tr>
      <w:tr w:rsidR="007A543A">
        <w:trPr>
          <w:trHeight w:val="76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Форма полотна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Плоское</w:t>
            </w:r>
          </w:p>
        </w:tc>
      </w:tr>
      <w:tr w:rsidR="007A543A">
        <w:trPr>
          <w:trHeight w:val="76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 полотна, Миллиметр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</w:tr>
      <w:tr w:rsidR="007A543A">
        <w:trPr>
          <w:trHeight w:val="76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Заказчик установил дополнительные характеристики в связи с тем, что </w:t>
            </w:r>
            <w:r>
              <w:rPr>
                <w:rFonts w:ascii="XO Thames" w:hAnsi="XO Thames"/>
                <w:sz w:val="24"/>
              </w:rPr>
              <w:t>характеристики, указанные в КТРУ на официальном сайте Единой информационной системы в сфере закупок, не являются исчерпывающими и не позволяют точно определить качественные, функциональные и технические характеристики закупаемого товара. Данные дополнитель</w:t>
            </w:r>
            <w:r>
              <w:rPr>
                <w:rFonts w:ascii="XO Thames" w:hAnsi="XO Thames"/>
                <w:sz w:val="24"/>
              </w:rPr>
              <w:t xml:space="preserve">ные характеристики детализируют предмет закупки и полностью отвечают потребности Заказчика. Обоснование необходимости использования дополнительных характеристик (пункт 6 Правил использования каталога товаров, работ, услуг для обеспечения государственных и </w:t>
            </w:r>
            <w:r>
              <w:rPr>
                <w:rFonts w:ascii="XO Thames" w:hAnsi="XO Thames"/>
                <w:sz w:val="24"/>
              </w:rPr>
              <w:t>муниципальных нужд утвержденных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</w:t>
            </w:r>
            <w:r>
              <w:rPr>
                <w:rFonts w:ascii="XO Thames" w:hAnsi="XO Thames"/>
                <w:sz w:val="24"/>
              </w:rPr>
              <w:t xml:space="preserve"> нужд и Правил использования каталога товаров, работ, услуг для обеспечения государственных и муниципальных нужд»). Вид, материал ручки и вид работ указана для понимания нужд Заказчика.</w:t>
            </w:r>
          </w:p>
        </w:tc>
      </w:tr>
      <w:tr w:rsidR="007A543A">
        <w:trPr>
          <w:trHeight w:val="76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 ручки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Пластик</w:t>
            </w:r>
          </w:p>
        </w:tc>
      </w:tr>
      <w:tr w:rsidR="007A543A">
        <w:trPr>
          <w:trHeight w:val="76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Вид работ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Выравнивание</w:t>
            </w:r>
          </w:p>
        </w:tc>
      </w:tr>
      <w:tr w:rsidR="007A543A">
        <w:trPr>
          <w:trHeight w:val="76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Вид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Фасадный</w:t>
            </w:r>
          </w:p>
        </w:tc>
      </w:tr>
      <w:tr w:rsidR="007A543A">
        <w:trPr>
          <w:trHeight w:val="80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25.73.30.299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Шпатель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Характеристика установлена в соответствии с КТРУ, код позиции </w:t>
            </w:r>
            <w:r>
              <w:rPr>
                <w:rFonts w:ascii="XO Thames" w:hAnsi="XO Thames"/>
                <w:sz w:val="24"/>
              </w:rPr>
              <w:t>25.73.30.299-00000005</w:t>
            </w:r>
          </w:p>
        </w:tc>
      </w:tr>
      <w:tr w:rsidR="007A543A">
        <w:trPr>
          <w:trHeight w:val="76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 полотна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Сталь</w:t>
            </w:r>
          </w:p>
        </w:tc>
      </w:tr>
      <w:tr w:rsidR="007A543A">
        <w:trPr>
          <w:trHeight w:val="76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Форма полотна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Плоское</w:t>
            </w:r>
          </w:p>
        </w:tc>
      </w:tr>
      <w:tr w:rsidR="007A543A">
        <w:trPr>
          <w:trHeight w:val="76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 полотна, Миллиметр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150</w:t>
            </w:r>
          </w:p>
        </w:tc>
      </w:tr>
      <w:tr w:rsidR="007A543A">
        <w:trPr>
          <w:trHeight w:val="76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Заказчик установил </w:t>
            </w:r>
            <w:r>
              <w:rPr>
                <w:rFonts w:ascii="XO Thames" w:hAnsi="XO Thames"/>
                <w:sz w:val="24"/>
              </w:rPr>
              <w:t>дополнительные характеристики в связи с тем, что характеристики, указанные в КТРУ на официальном сайте Единой информационной системы в сфере закупок, не являются исчерпывающими и не позволяют точно определить качественные, функциональные и технические хара</w:t>
            </w:r>
            <w:r>
              <w:rPr>
                <w:rFonts w:ascii="XO Thames" w:hAnsi="XO Thames"/>
                <w:sz w:val="24"/>
              </w:rPr>
              <w:t>ктеристики закупаемого товара. Данные дополнительные характеристики детализируют предмет закупки и полностью отвечают потребности Заказчика. Обоснование необходимости использования дополнительных характеристик (пункт 6 Правил использования каталога товаров</w:t>
            </w:r>
            <w:r>
              <w:rPr>
                <w:rFonts w:ascii="XO Thames" w:hAnsi="XO Thames"/>
                <w:sz w:val="24"/>
              </w:rPr>
              <w:t>, работ, услуг для обеспечения государственных и муниципальных нужд утвержденных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</w:t>
            </w:r>
            <w:r>
              <w:rPr>
                <w:rFonts w:ascii="XO Thames" w:hAnsi="XO Thames"/>
                <w:sz w:val="24"/>
              </w:rPr>
              <w:t>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нужд»). Вид, материал ручки и вид работ указана для понимания нужд Заказчика</w:t>
            </w:r>
          </w:p>
        </w:tc>
      </w:tr>
      <w:tr w:rsidR="007A543A">
        <w:trPr>
          <w:trHeight w:val="76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 ручки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Пластик</w:t>
            </w:r>
          </w:p>
        </w:tc>
      </w:tr>
      <w:tr w:rsidR="007A543A">
        <w:trPr>
          <w:trHeight w:val="76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Вид работ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Выравнивание</w:t>
            </w:r>
          </w:p>
        </w:tc>
      </w:tr>
      <w:tr w:rsidR="007A543A">
        <w:trPr>
          <w:trHeight w:val="76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Вид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Фасадный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25.73.30.299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Шпатель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Характеристика установлена в соответствии с КТРУ, код позиции </w:t>
            </w:r>
            <w:r>
              <w:rPr>
                <w:rFonts w:ascii="XO Thames" w:hAnsi="XO Thames"/>
                <w:sz w:val="24"/>
              </w:rPr>
              <w:t>25.73.30.299-00000005</w:t>
            </w:r>
          </w:p>
        </w:tc>
      </w:tr>
      <w:tr w:rsidR="007A543A">
        <w:trPr>
          <w:trHeight w:val="112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 полотна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Сталь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Форма полотна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Плоское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 полотна,</w:t>
            </w:r>
            <w:r>
              <w:rPr>
                <w:rFonts w:ascii="XO Thames" w:hAnsi="XO Thames"/>
                <w:sz w:val="24"/>
              </w:rPr>
              <w:t xml:space="preserve"> Миллиметр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Заказчик установил дополнительные характеристики в связи с тем, что характеристики, указанные в КТРУ на официальном сайте Единой информационной системы в сфере закупок, не являются исчерпывающими и не позволяют точно определить </w:t>
            </w:r>
            <w:r>
              <w:rPr>
                <w:rFonts w:ascii="XO Thames" w:hAnsi="XO Thames"/>
                <w:sz w:val="24"/>
              </w:rPr>
              <w:t>качественные, функциональные и технические характеристики закупаемого товара. Данные дополнительные характеристики детализируют предмет закупки и полностью отвечают потребности Заказчика. Обоснование необходимости использования дополнительных характеристик</w:t>
            </w:r>
            <w:r>
              <w:rPr>
                <w:rFonts w:ascii="XO Thames" w:hAnsi="XO Thames"/>
                <w:sz w:val="24"/>
              </w:rPr>
              <w:t xml:space="preserve">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Правил формирования и ведения в единой информационной систем</w:t>
            </w:r>
            <w:r>
              <w:rPr>
                <w:rFonts w:ascii="XO Thames" w:hAnsi="XO Thames"/>
                <w:sz w:val="24"/>
              </w:rPr>
              <w:t xml:space="preserve">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нужд»). Вид, материал ручки и вид работ указана для </w:t>
            </w:r>
            <w:r>
              <w:rPr>
                <w:rFonts w:ascii="XO Thames" w:hAnsi="XO Thames"/>
                <w:sz w:val="24"/>
              </w:rPr>
              <w:t>понимания нужд Заказчика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 ручки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Пластик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Вид работ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Выравнивание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Вид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Фасадный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25.73.30.299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Шпатель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Характеристика установлена в соответствии с КТРУ, код позиции </w:t>
            </w:r>
            <w:r>
              <w:rPr>
                <w:rFonts w:ascii="XO Thames" w:hAnsi="XO Thames"/>
                <w:sz w:val="24"/>
              </w:rPr>
              <w:t>25.73.30.299-00000005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 полотна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Сталь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Форма полотна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Плоское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 полотна, Миллиметр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Заказчик установил дополнительные характеристики в связи с тем, что характеристики, указанные в КТРУ на официальном сайте Единой </w:t>
            </w:r>
            <w:r>
              <w:rPr>
                <w:rFonts w:ascii="XO Thames" w:hAnsi="XO Thames"/>
                <w:sz w:val="24"/>
              </w:rPr>
              <w:lastRenderedPageBreak/>
              <w:t xml:space="preserve">информационной системы в сфере закупок, не являются </w:t>
            </w:r>
            <w:r>
              <w:rPr>
                <w:rFonts w:ascii="XO Thames" w:hAnsi="XO Thames"/>
                <w:sz w:val="24"/>
              </w:rPr>
              <w:t>исчерпывающими и не позволяют точно определить качественные, функциональные и технические характеристики закупаемого товара. Данные дополнительные характеристики детализируют предмет закупки и полностью отвечают потребности Заказчика. Обоснование необходим</w:t>
            </w:r>
            <w:r>
              <w:rPr>
                <w:rFonts w:ascii="XO Thames" w:hAnsi="XO Thames"/>
                <w:sz w:val="24"/>
              </w:rPr>
              <w:t>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Правил формир</w:t>
            </w:r>
            <w:r>
              <w:rPr>
                <w:rFonts w:ascii="XO Thames" w:hAnsi="XO Thames"/>
                <w:sz w:val="24"/>
              </w:rPr>
              <w:t>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</w:t>
            </w:r>
            <w:r>
              <w:rPr>
                <w:rFonts w:ascii="XO Thames" w:hAnsi="XO Thames"/>
                <w:sz w:val="24"/>
              </w:rPr>
              <w:t>). Вид, материал ручки и вид работ указана для понимания нужд Заказчика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 ручки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Пластик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Вид работ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Выравнивание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Вид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Малярный</w:t>
            </w:r>
          </w:p>
        </w:tc>
      </w:tr>
      <w:tr w:rsidR="007A543A">
        <w:trPr>
          <w:trHeight w:val="9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22.29.23.120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Ведро строительное тип1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Полимер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Круглая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Высота,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255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Диаметр верхней части,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293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Мерная шкала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наличии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Объем, 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</w:tr>
      <w:tr w:rsidR="007A543A">
        <w:trPr>
          <w:trHeight w:val="9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22.29.23.120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Ведро строительное тип2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Полимер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Круглая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Высота,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331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Диаметр верхней части,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326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Мерная шкала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наличии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Объем, 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</w:t>
            </w:r>
          </w:p>
        </w:tc>
      </w:tr>
      <w:tr w:rsidR="007A543A">
        <w:trPr>
          <w:trHeight w:val="569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22.29.23.120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Ведро строительное тип3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Полимер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Круглая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Высота,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194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Диаметр верхней части,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227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Мерная шкала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наличии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Объем, 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</w:tr>
      <w:tr w:rsidR="007A543A">
        <w:trPr>
          <w:trHeight w:val="9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22.23.19.190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Ванночка для </w:t>
            </w:r>
            <w:r>
              <w:rPr>
                <w:rFonts w:ascii="XO Thames" w:hAnsi="XO Thames"/>
                <w:sz w:val="24"/>
              </w:rPr>
              <w:t>краски тип 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Поверхность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Рельефная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330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260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Пластик</w:t>
            </w:r>
          </w:p>
        </w:tc>
      </w:tr>
      <w:tr w:rsidR="007A543A">
        <w:trPr>
          <w:trHeight w:val="108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22.23.19.190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Ковш для краски тип 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Фиксируемая ручка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В наличии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Объем, 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1,5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Пластик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Особенности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Магнитный </w:t>
            </w:r>
            <w:r>
              <w:rPr>
                <w:rFonts w:ascii="XO Thames" w:hAnsi="XO Thames"/>
                <w:sz w:val="24"/>
              </w:rPr>
              <w:t>держатель</w:t>
            </w:r>
          </w:p>
        </w:tc>
      </w:tr>
      <w:tr w:rsidR="007A543A">
        <w:trPr>
          <w:trHeight w:val="108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22.23.19.190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Ванночка ковш для краски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170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280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Пластик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Максимальная ширина валика,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</w:tr>
      <w:tr w:rsidR="007A543A">
        <w:trPr>
          <w:trHeight w:val="180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22.23.19.190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Картридж для ковша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Объем, 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1,5</w:t>
            </w:r>
          </w:p>
        </w:tc>
      </w:tr>
      <w:tr w:rsidR="007A543A">
        <w:trPr>
          <w:trHeight w:val="178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Пластик</w:t>
            </w:r>
          </w:p>
        </w:tc>
      </w:tr>
      <w:tr w:rsidR="007A543A">
        <w:trPr>
          <w:trHeight w:val="178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Особенности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Магнитный держатель</w:t>
            </w:r>
          </w:p>
        </w:tc>
      </w:tr>
      <w:tr w:rsidR="007A543A">
        <w:trPr>
          <w:trHeight w:val="178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Совместимость с ковшом, п.21 технического задания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</w:t>
            </w:r>
          </w:p>
        </w:tc>
      </w:tr>
      <w:tr w:rsidR="007A543A">
        <w:trPr>
          <w:trHeight w:val="9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22.23.19.190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Ванночка для краски тип 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Поверхность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Рельефная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360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360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Пластик</w:t>
            </w:r>
          </w:p>
        </w:tc>
      </w:tr>
      <w:tr w:rsidR="007A543A">
        <w:trPr>
          <w:trHeight w:val="108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22.23.19.190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Ковш для</w:t>
            </w:r>
            <w:r>
              <w:rPr>
                <w:rFonts w:ascii="XO Thames" w:hAnsi="XO Thames"/>
                <w:sz w:val="24"/>
              </w:rPr>
              <w:t xml:space="preserve"> краски тип 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220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170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120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Объем, 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1,2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Пластиик</w:t>
            </w:r>
            <w:proofErr w:type="spellEnd"/>
          </w:p>
        </w:tc>
      </w:tr>
      <w:tr w:rsidR="007A543A">
        <w:trPr>
          <w:trHeight w:val="108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32.91.19.110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Валик малярный тип 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Назначение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Для водных красок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Ворсовый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250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Диаметр</w:t>
            </w:r>
            <w:r>
              <w:rPr>
                <w:rFonts w:ascii="XO Thames" w:hAnsi="XO Thames"/>
                <w:sz w:val="24"/>
              </w:rPr>
              <w:t xml:space="preserve"> </w:t>
            </w:r>
            <w:proofErr w:type="spellStart"/>
            <w:r>
              <w:rPr>
                <w:rFonts w:ascii="XO Thames" w:hAnsi="XO Thames"/>
                <w:sz w:val="24"/>
              </w:rPr>
              <w:t>бюгеля</w:t>
            </w:r>
            <w:proofErr w:type="spellEnd"/>
            <w:r>
              <w:rPr>
                <w:rFonts w:ascii="XO Thames" w:hAnsi="XO Thames"/>
                <w:sz w:val="24"/>
              </w:rPr>
              <w:t>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Тип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Сменный ролик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32.91.19.110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Валик малярный тип 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Назначение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Для водных красок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Ворсовый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Диаметр </w:t>
            </w:r>
            <w:proofErr w:type="spellStart"/>
            <w:r>
              <w:rPr>
                <w:rFonts w:ascii="XO Thames" w:hAnsi="XO Thames"/>
                <w:sz w:val="24"/>
              </w:rPr>
              <w:t>бюгеля</w:t>
            </w:r>
            <w:proofErr w:type="spellEnd"/>
            <w:r>
              <w:rPr>
                <w:rFonts w:ascii="XO Thames" w:hAnsi="XO Thames"/>
                <w:sz w:val="24"/>
              </w:rPr>
              <w:t>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Тип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Сменный ролик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32.99.59.000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Ручка для валика тип 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Диаметр </w:t>
            </w:r>
            <w:proofErr w:type="spellStart"/>
            <w:r>
              <w:rPr>
                <w:rFonts w:ascii="XO Thames" w:hAnsi="XO Thames"/>
                <w:sz w:val="24"/>
              </w:rPr>
              <w:t>бюгеля</w:t>
            </w:r>
            <w:proofErr w:type="spellEnd"/>
            <w:r>
              <w:rPr>
                <w:rFonts w:ascii="XO Thames" w:hAnsi="XO Thames"/>
                <w:sz w:val="24"/>
              </w:rPr>
              <w:t>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 валика,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250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 рукоятки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Пластик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Совместимость с валиком, п.26 технического задания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32.99.59.000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Ручка для валика тип 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Диаметр </w:t>
            </w:r>
            <w:proofErr w:type="spellStart"/>
            <w:r>
              <w:rPr>
                <w:rFonts w:ascii="XO Thames" w:hAnsi="XO Thames"/>
                <w:sz w:val="24"/>
              </w:rPr>
              <w:t>бюгеля</w:t>
            </w:r>
            <w:proofErr w:type="spellEnd"/>
            <w:r>
              <w:rPr>
                <w:rFonts w:ascii="XO Thames" w:hAnsi="XO Thames"/>
                <w:sz w:val="24"/>
              </w:rPr>
              <w:t>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 рукоятки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Пластик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Совместимость с валиком, п.27 технического задания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</w:t>
            </w:r>
          </w:p>
        </w:tc>
      </w:tr>
      <w:tr w:rsidR="007A543A">
        <w:trPr>
          <w:trHeight w:val="108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32.91.19.120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Кисть малярная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Характеристика установлена в соответствии с КТРУ, код позиции </w:t>
            </w:r>
            <w:r>
              <w:rPr>
                <w:rFonts w:ascii="XO Thames" w:hAnsi="XO Thames"/>
                <w:sz w:val="24"/>
              </w:rPr>
              <w:t>32.91.19.120-00000004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Вид материала рукоятки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Пластик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Вид щетины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Смешанная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Форма </w:t>
            </w:r>
            <w:r>
              <w:rPr>
                <w:rFonts w:ascii="XO Thames" w:hAnsi="XO Thames"/>
                <w:sz w:val="24"/>
              </w:rPr>
              <w:t>пучка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Прямоугольная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Заказчик установил дополнительные характеристики в связи с тем, что характеристики, указанные в КТРУ на официальном сайте Единой информационной системы в сфере закупок, не являются исчерпывающими и не позволяют точно определить </w:t>
            </w:r>
            <w:r>
              <w:rPr>
                <w:rFonts w:ascii="XO Thames" w:hAnsi="XO Thames"/>
                <w:sz w:val="24"/>
              </w:rPr>
              <w:t>качественные, функциональные и технические характеристики закупаемого товара. Данные дополнительные характеристики детализируют предмет закупки и полностью отвечают потребности Заказчика. Обоснование необходимости использования дополнительных характеристик</w:t>
            </w:r>
            <w:r>
              <w:rPr>
                <w:rFonts w:ascii="XO Thames" w:hAnsi="XO Thames"/>
                <w:sz w:val="24"/>
              </w:rPr>
              <w:t xml:space="preserve"> (пункт 6 Правил использования каталога товаров, </w:t>
            </w:r>
            <w:r>
              <w:rPr>
                <w:rFonts w:ascii="XO Thames" w:hAnsi="XO Thames"/>
                <w:sz w:val="24"/>
              </w:rPr>
              <w:lastRenderedPageBreak/>
              <w:t xml:space="preserve">работ, услуг для обеспечения </w:t>
            </w:r>
            <w:proofErr w:type="gramStart"/>
            <w:r>
              <w:rPr>
                <w:rFonts w:ascii="XO Thames" w:hAnsi="XO Thames"/>
                <w:sz w:val="24"/>
              </w:rPr>
              <w:t>государственных и муниципальных нужд</w:t>
            </w:r>
            <w:proofErr w:type="gramEnd"/>
            <w:r>
              <w:rPr>
                <w:rFonts w:ascii="XO Thames" w:hAnsi="XO Thames"/>
                <w:sz w:val="24"/>
              </w:rPr>
              <w:t xml:space="preserve"> утвержденных постановлением Правительства РФ от 08.02.2017 № 145 «Об утверждении Правил формирования и ведения в единой информационной систем</w:t>
            </w:r>
            <w:r>
              <w:rPr>
                <w:rFonts w:ascii="XO Thames" w:hAnsi="XO Thames"/>
                <w:sz w:val="24"/>
              </w:rPr>
              <w:t xml:space="preserve">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нужд»). Толщина и ширина указаны для понимания нужд </w:t>
            </w:r>
            <w:r>
              <w:rPr>
                <w:rFonts w:ascii="XO Thames" w:hAnsi="XO Thames"/>
                <w:sz w:val="24"/>
              </w:rPr>
              <w:t>Заказчика.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Назначение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Для красок на водной основе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Толщина,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32.91.19.120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Кисть малярная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Характеристика установлена в соответствии с КТРУ, код позиции </w:t>
            </w:r>
            <w:r>
              <w:rPr>
                <w:rFonts w:ascii="XO Thames" w:hAnsi="XO Thames"/>
                <w:sz w:val="24"/>
              </w:rPr>
              <w:t>32.91.19.120-00000004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Вид материала рукоятки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Пластик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Вид щетины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Смешанная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Форма пучка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Прямоугольная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Заказчик установил дополнительные характеристики в связи с тем, что характеристики, указанные в КТРУ на официальном сайте Единой информационной системы в сфере закупок, не являются</w:t>
            </w:r>
            <w:r>
              <w:rPr>
                <w:rFonts w:ascii="XO Thames" w:hAnsi="XO Thames"/>
                <w:sz w:val="24"/>
              </w:rPr>
              <w:t xml:space="preserve"> исчерпывающими и не позволяют точно определить качественные, функциональные и технические характеристики закупаемого товара. Данные дополнительные характеристики детализируют предмет закупки и полностью отвечают потребности Заказчика. Обоснование необходи</w:t>
            </w:r>
            <w:r>
              <w:rPr>
                <w:rFonts w:ascii="XO Thames" w:hAnsi="XO Thames"/>
                <w:sz w:val="24"/>
              </w:rPr>
              <w:t>мости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Правил форми</w:t>
            </w:r>
            <w:r>
              <w:rPr>
                <w:rFonts w:ascii="XO Thames" w:hAnsi="XO Thames"/>
                <w:sz w:val="24"/>
              </w:rPr>
              <w:t xml:space="preserve">рования и ведения в единой информационной системе в сфере </w:t>
            </w:r>
            <w:r>
              <w:rPr>
                <w:rFonts w:ascii="XO Thames" w:hAnsi="XO Thames"/>
                <w:sz w:val="24"/>
              </w:rPr>
              <w:lastRenderedPageBreak/>
              <w:t>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</w:t>
            </w:r>
            <w:r>
              <w:rPr>
                <w:rFonts w:ascii="XO Thames" w:hAnsi="XO Thames"/>
                <w:sz w:val="24"/>
              </w:rPr>
              <w:t>»). Толщина и ширина указаны для понимания нужд Заказчика.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Назначение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Для эмалей и лаков</w:t>
            </w:r>
          </w:p>
        </w:tc>
      </w:tr>
      <w:tr w:rsidR="007A543A">
        <w:trPr>
          <w:trHeight w:val="6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</w:t>
            </w:r>
          </w:p>
        </w:tc>
      </w:tr>
      <w:tr w:rsidR="007A543A">
        <w:trPr>
          <w:trHeight w:val="276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Толщина,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</w:t>
            </w:r>
          </w:p>
        </w:tc>
      </w:tr>
      <w:tr w:rsidR="007A543A">
        <w:trPr>
          <w:trHeight w:val="64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32.91.19.120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Кисть малярная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Характеристика установлена в соответствии с КТРУ, код позиции </w:t>
            </w:r>
            <w:r>
              <w:rPr>
                <w:rFonts w:ascii="XO Thames" w:hAnsi="XO Thames"/>
                <w:sz w:val="24"/>
              </w:rPr>
              <w:t>32.91.19.120-00000004</w:t>
            </w:r>
          </w:p>
        </w:tc>
      </w:tr>
      <w:tr w:rsidR="007A543A">
        <w:trPr>
          <w:trHeight w:val="5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Вид материала рукоятки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Дерево</w:t>
            </w:r>
          </w:p>
        </w:tc>
      </w:tr>
      <w:tr w:rsidR="007A543A">
        <w:trPr>
          <w:trHeight w:val="5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Вид щетины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Натуральная</w:t>
            </w:r>
          </w:p>
        </w:tc>
      </w:tr>
      <w:tr w:rsidR="007A543A">
        <w:trPr>
          <w:trHeight w:val="5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Форма пучка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Прямоугольная</w:t>
            </w:r>
          </w:p>
        </w:tc>
      </w:tr>
      <w:tr w:rsidR="007A543A">
        <w:trPr>
          <w:trHeight w:val="5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Заказчик установил дополнительные характеристики в связи с тем, что характеристики, указанные в КТРУ на официальном сайте </w:t>
            </w:r>
            <w:r>
              <w:rPr>
                <w:rFonts w:ascii="XO Thames" w:hAnsi="XO Thames"/>
                <w:sz w:val="24"/>
              </w:rPr>
              <w:t>Единой информационной системы в сфере закупок, не являются исчерпывающими и не позволяют точно определить качественные, функциональные и технические характеристики закупаемого товара. Данные дополнительные характеристики детализируют предмет закупки и полн</w:t>
            </w:r>
            <w:r>
              <w:rPr>
                <w:rFonts w:ascii="XO Thames" w:hAnsi="XO Thames"/>
                <w:sz w:val="24"/>
              </w:rPr>
              <w:t>остью отвечают потребности Заказчика. Обоснование необходимости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утвержденных постановлением Правите</w:t>
            </w:r>
            <w:r>
              <w:rPr>
                <w:rFonts w:ascii="XO Thames" w:hAnsi="XO Thames"/>
                <w:sz w:val="24"/>
              </w:rPr>
              <w:t xml:space="preserve">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</w:t>
            </w:r>
            <w:r>
              <w:rPr>
                <w:rFonts w:ascii="XO Thames" w:hAnsi="XO Thames"/>
                <w:sz w:val="24"/>
              </w:rPr>
              <w:t xml:space="preserve">услуг для обеспечения государственных и муниципальных нужд»). Толщина и </w:t>
            </w:r>
            <w:r>
              <w:rPr>
                <w:rFonts w:ascii="XO Thames" w:hAnsi="XO Thames"/>
                <w:sz w:val="24"/>
              </w:rPr>
              <w:lastRenderedPageBreak/>
              <w:t>ширина указаны для понимания нужд Заказчика.</w:t>
            </w:r>
          </w:p>
        </w:tc>
      </w:tr>
      <w:tr w:rsidR="007A543A">
        <w:trPr>
          <w:trHeight w:val="5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Назначение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Для радиаторов</w:t>
            </w:r>
          </w:p>
        </w:tc>
      </w:tr>
      <w:tr w:rsidR="007A543A">
        <w:trPr>
          <w:trHeight w:val="5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Форма ручки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Изогнутая</w:t>
            </w:r>
          </w:p>
        </w:tc>
      </w:tr>
      <w:tr w:rsidR="007A543A">
        <w:trPr>
          <w:trHeight w:val="5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</w:t>
            </w:r>
          </w:p>
        </w:tc>
      </w:tr>
      <w:tr w:rsidR="007A543A">
        <w:trPr>
          <w:trHeight w:val="5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Толщина,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</w:tr>
      <w:tr w:rsidR="007A543A">
        <w:trPr>
          <w:trHeight w:val="108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22.21.30.129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Стретч</w:t>
            </w:r>
            <w:proofErr w:type="spellEnd"/>
            <w:r>
              <w:rPr>
                <w:rFonts w:ascii="XO Thames" w:hAnsi="XO Thames"/>
                <w:sz w:val="24"/>
              </w:rPr>
              <w:t xml:space="preserve"> пленка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рул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Толщина, мкм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 в рулоне, 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500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450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Цвет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Прозрачный</w:t>
            </w:r>
          </w:p>
        </w:tc>
      </w:tr>
      <w:tr w:rsidR="007A543A">
        <w:trPr>
          <w:trHeight w:val="9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22.22.12.130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Мешок полипропиленовый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Объем, 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75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950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550</w:t>
            </w:r>
          </w:p>
        </w:tc>
      </w:tr>
      <w:tr w:rsidR="007A543A">
        <w:trPr>
          <w:trHeight w:val="268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27.51.30.000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Мешок для пылесоса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Dexter</w:t>
            </w:r>
            <w:proofErr w:type="spellEnd"/>
            <w:r>
              <w:rPr>
                <w:rFonts w:ascii="XO Thames" w:hAnsi="XO Thames"/>
                <w:sz w:val="24"/>
              </w:rPr>
              <w:t xml:space="preserve"> NJTV0069JD01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Объем, 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</w:t>
            </w:r>
          </w:p>
        </w:tc>
      </w:tr>
      <w:tr w:rsidR="007A543A">
        <w:trPr>
          <w:trHeight w:val="392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Материал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Полиэстер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20.30.12.130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Эмаль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Характеристика установлена в соответствии с КТРУ, код позиции </w:t>
            </w:r>
            <w:r>
              <w:rPr>
                <w:rFonts w:ascii="XO Thames" w:hAnsi="XO Thames"/>
                <w:sz w:val="24"/>
              </w:rPr>
              <w:t>20.30.12.130-00000004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Область применения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Для внутренних работ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Тип эмали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Акриловая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Заказчик </w:t>
            </w:r>
            <w:r>
              <w:rPr>
                <w:rFonts w:ascii="XO Thames" w:hAnsi="XO Thames"/>
                <w:sz w:val="24"/>
              </w:rPr>
              <w:t>установил дополнительные характеристики в связи с тем, что характеристики, указанные в КТРУ на официальном сайте Единой информационной системы в сфере закупок, не являются исчерпывающими и не позволяют точно определить качественные, функциональные и технич</w:t>
            </w:r>
            <w:r>
              <w:rPr>
                <w:rFonts w:ascii="XO Thames" w:hAnsi="XO Thames"/>
                <w:sz w:val="24"/>
              </w:rPr>
              <w:t>еские характеристики закупаемого товара. Данные дополнительные характеристики детализируют предмет закупки и полностью отвечают потребности Заказчика. Обоснование необходимости использования дополнительных характеристик (пункт 6 Правил использования катало</w:t>
            </w:r>
            <w:r>
              <w:rPr>
                <w:rFonts w:ascii="XO Thames" w:hAnsi="XO Thames"/>
                <w:sz w:val="24"/>
              </w:rPr>
              <w:t>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</w:t>
            </w:r>
            <w:r>
              <w:rPr>
                <w:rFonts w:ascii="XO Thames" w:hAnsi="XO Thames"/>
                <w:sz w:val="24"/>
              </w:rPr>
              <w:t xml:space="preserve">абот, услуг для обеспечения государственных и муниципальных </w:t>
            </w:r>
            <w:r>
              <w:rPr>
                <w:rFonts w:ascii="XO Thames" w:hAnsi="XO Thames"/>
                <w:sz w:val="24"/>
              </w:rPr>
              <w:lastRenderedPageBreak/>
              <w:t>нужд и Правил использования каталога товаров, работ, услуг для обеспечения государственных и муниципальных нужд»). Цвет, объем и степень блеска указаны для понимания нужд Заказчика.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Объем, </w:t>
            </w:r>
            <w:r>
              <w:rPr>
                <w:rFonts w:ascii="XO Thames" w:hAnsi="XO Thames"/>
                <w:sz w:val="24"/>
              </w:rPr>
              <w:t>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0,9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Цвет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Белый</w:t>
            </w:r>
          </w:p>
        </w:tc>
      </w:tr>
      <w:tr w:rsidR="007A543A">
        <w:trPr>
          <w:trHeight w:val="13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Степень блеска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Полуматовый</w:t>
            </w:r>
          </w:p>
        </w:tc>
      </w:tr>
      <w:tr w:rsidR="007A543A">
        <w:trPr>
          <w:trHeight w:val="164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20.30.12.120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Краска масляная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Килограмм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2,7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Характеристика установлена в соответствии с КТРУ, код позиции </w:t>
            </w:r>
            <w:r>
              <w:rPr>
                <w:rFonts w:ascii="XO Thames" w:hAnsi="XO Thames"/>
                <w:sz w:val="24"/>
              </w:rPr>
              <w:t>20.30.12.120-00000002</w:t>
            </w:r>
          </w:p>
        </w:tc>
      </w:tr>
      <w:tr w:rsidR="007A543A">
        <w:trPr>
          <w:trHeight w:val="16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Область применения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Внутренняя окраска, наружная окраска</w:t>
            </w:r>
          </w:p>
        </w:tc>
      </w:tr>
      <w:tr w:rsidR="007A543A">
        <w:trPr>
          <w:trHeight w:val="16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Тип краски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Готовая к применению</w:t>
            </w:r>
          </w:p>
        </w:tc>
      </w:tr>
      <w:tr w:rsidR="007A543A">
        <w:trPr>
          <w:trHeight w:val="16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Тип основы (олифы)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Комбинированное</w:t>
            </w:r>
          </w:p>
        </w:tc>
      </w:tr>
      <w:tr w:rsidR="007A543A">
        <w:trPr>
          <w:trHeight w:val="16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Заказчик установил дополнительные характеристики в связи с тем, что характеристики, указанные в КТРУ на официальном сайте Единой информационной системы в сфере закупок, </w:t>
            </w:r>
            <w:r>
              <w:rPr>
                <w:rFonts w:ascii="XO Thames" w:hAnsi="XO Thames"/>
                <w:sz w:val="24"/>
              </w:rPr>
              <w:t>не являются исчерпывающими и не позволяют точно определить качественные, функциональные и технические характеристики закупаемого товара. Данные дополнительные характеристики детализируют предмет закупки и полностью отвечают потребности Заказчика. Обоснован</w:t>
            </w:r>
            <w:r>
              <w:rPr>
                <w:rFonts w:ascii="XO Thames" w:hAnsi="XO Thames"/>
                <w:sz w:val="24"/>
              </w:rPr>
              <w:t>ие необходимости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П</w:t>
            </w:r>
            <w:r>
              <w:rPr>
                <w:rFonts w:ascii="XO Thames" w:hAnsi="XO Thames"/>
                <w:sz w:val="24"/>
              </w:rPr>
              <w:t>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</w:t>
            </w:r>
            <w:r>
              <w:rPr>
                <w:rFonts w:ascii="XO Thames" w:hAnsi="XO Thames"/>
                <w:sz w:val="24"/>
              </w:rPr>
              <w:t xml:space="preserve">альных нужд»). Цвет </w:t>
            </w:r>
            <w:r>
              <w:rPr>
                <w:rFonts w:ascii="XO Thames" w:hAnsi="XO Thames"/>
                <w:sz w:val="24"/>
              </w:rPr>
              <w:lastRenderedPageBreak/>
              <w:t>указаны для понимания нужд Заказчика.</w:t>
            </w:r>
          </w:p>
        </w:tc>
      </w:tr>
      <w:tr w:rsidR="007A543A">
        <w:trPr>
          <w:trHeight w:val="16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Цвет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Серый</w:t>
            </w:r>
          </w:p>
        </w:tc>
      </w:tr>
      <w:tr w:rsidR="007A543A">
        <w:trPr>
          <w:trHeight w:val="216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20.52.10.110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Клей полимерный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Момент Монтаж МВп-70</w:t>
            </w:r>
          </w:p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Характеристика установлена в соответствии с 20.52.10.190</w:t>
            </w:r>
            <w:r>
              <w:rPr>
                <w:rFonts w:ascii="XO Thames" w:hAnsi="XO Thames"/>
                <w:sz w:val="24"/>
              </w:rPr>
              <w:t>-00000022</w:t>
            </w:r>
          </w:p>
        </w:tc>
      </w:tr>
      <w:tr w:rsidR="007A543A">
        <w:trPr>
          <w:trHeight w:val="21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Вес, Грамм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280</w:t>
            </w:r>
          </w:p>
        </w:tc>
      </w:tr>
      <w:tr w:rsidR="007A543A">
        <w:trPr>
          <w:trHeight w:val="21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Вид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Реакционный</w:t>
            </w:r>
          </w:p>
        </w:tc>
      </w:tr>
      <w:tr w:rsidR="007A543A">
        <w:trPr>
          <w:trHeight w:val="21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Тип по количеству компонентов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Однокомпонентный</w:t>
            </w:r>
          </w:p>
        </w:tc>
      </w:tr>
      <w:tr w:rsidR="007A543A">
        <w:trPr>
          <w:trHeight w:val="214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Формула выпуска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Паста</w:t>
            </w:r>
          </w:p>
        </w:tc>
      </w:tr>
      <w:tr w:rsidR="007A543A">
        <w:trPr>
          <w:trHeight w:val="108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20.30.22.170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Герметик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Основа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Силиконакриловый</w:t>
            </w:r>
            <w:proofErr w:type="spellEnd"/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Назначение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hyperlink r:id="rId6" w:history="1">
              <w:r>
                <w:rPr>
                  <w:rFonts w:ascii="XO Thames" w:hAnsi="XO Thames"/>
                  <w:sz w:val="24"/>
                </w:rPr>
                <w:t xml:space="preserve">Для дверей, окон, </w:t>
              </w:r>
              <w:r>
                <w:rPr>
                  <w:rFonts w:ascii="XO Thames" w:hAnsi="XO Thames"/>
                  <w:sz w:val="24"/>
                </w:rPr>
                <w:t>плинтусов, стыков, швов</w:t>
              </w:r>
            </w:hyperlink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Консистенция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Паста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Цвет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Белый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Под пистолет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Объем, мл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280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Упаковка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Картридж</w:t>
            </w:r>
          </w:p>
        </w:tc>
      </w:tr>
      <w:tr w:rsidR="007A543A">
        <w:trPr>
          <w:trHeight w:val="9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20.52.10.190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Клей полимерный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Akfix</w:t>
            </w:r>
            <w:proofErr w:type="spellEnd"/>
            <w:r>
              <w:rPr>
                <w:rFonts w:ascii="XO Thames" w:hAnsi="XO Thames"/>
                <w:sz w:val="24"/>
              </w:rPr>
              <w:t xml:space="preserve"> 705</w:t>
            </w:r>
          </w:p>
          <w:p w:rsidR="007A543A" w:rsidRDefault="007A543A">
            <w:pPr>
              <w:spacing w:after="57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Характеристика установлена в соответствии с 20.52.10.190</w:t>
            </w:r>
            <w:r>
              <w:rPr>
                <w:rFonts w:ascii="XO Thames" w:hAnsi="XO Thames"/>
                <w:sz w:val="24"/>
              </w:rPr>
              <w:t>-00000022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Вес, грамм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212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Вид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Реакционный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Тип по количеству компонентов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Двухкомпонентный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Форма выпуска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Гель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Заказчик установил дополнительные характеристики в связи с тем, что характеристики, указанные в КТРУ на официальном сайте </w:t>
            </w:r>
            <w:r>
              <w:rPr>
                <w:rFonts w:ascii="XO Thames" w:hAnsi="XO Thames"/>
                <w:sz w:val="24"/>
              </w:rPr>
              <w:t>Единой информационной системы в сфере закупок, не являются исчерпывающими и не позволяют точно определить качественные, функциональные и технические характеристики закупаемого товара. Данные дополнительные характеристики детализируют предмет закупки и полн</w:t>
            </w:r>
            <w:r>
              <w:rPr>
                <w:rFonts w:ascii="XO Thames" w:hAnsi="XO Thames"/>
                <w:sz w:val="24"/>
              </w:rPr>
              <w:t xml:space="preserve">остью отвечают потребности Заказчика. Обоснование необходимости использования дополнительных характеристик (пункт 6 Правил использования каталога товаров, работ, услуг для обеспечения </w:t>
            </w:r>
            <w:r>
              <w:rPr>
                <w:rFonts w:ascii="XO Thames" w:hAnsi="XO Thames"/>
                <w:sz w:val="24"/>
              </w:rPr>
              <w:lastRenderedPageBreak/>
              <w:t>государственных и муниципальных нужд утвержденных постановлением Правите</w:t>
            </w:r>
            <w:r>
              <w:rPr>
                <w:rFonts w:ascii="XO Thames" w:hAnsi="XO Thames"/>
                <w:sz w:val="24"/>
              </w:rPr>
              <w:t xml:space="preserve">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</w:t>
            </w:r>
            <w:r>
              <w:rPr>
                <w:rFonts w:ascii="XO Thames" w:hAnsi="XO Thames"/>
                <w:sz w:val="24"/>
              </w:rPr>
              <w:t>услуг для обеспечения государственных и муниципальных нужд»). Вид указаны для понимания нужд Заказчика.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Прозрачность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Прозрачный</w:t>
            </w:r>
          </w:p>
        </w:tc>
      </w:tr>
      <w:tr w:rsidR="007A543A">
        <w:trPr>
          <w:trHeight w:val="89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Вид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Цианакрилатный</w:t>
            </w:r>
            <w:proofErr w:type="spellEnd"/>
          </w:p>
        </w:tc>
      </w:tr>
      <w:tr w:rsidR="007A543A">
        <w:trPr>
          <w:trHeight w:val="108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16.10.10.119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Брусок сухой строганый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Порода древесины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Хвоя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Тип поверхности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Гладкая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3000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Толщина,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45</w:t>
            </w:r>
          </w:p>
        </w:tc>
      </w:tr>
      <w:tr w:rsidR="007A543A">
        <w:trPr>
          <w:trHeight w:val="107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Ширина, мм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45</w:t>
            </w:r>
          </w:p>
        </w:tc>
      </w:tr>
      <w:tr w:rsidR="007A543A">
        <w:trPr>
          <w:trHeight w:val="164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17.21.13.000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Коробка (короб) из гофрированного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Шт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Характеристика установлена в соответствии с КТРУ, код позиции </w:t>
            </w:r>
            <w:r>
              <w:rPr>
                <w:rFonts w:ascii="XO Thames" w:hAnsi="XO Thames"/>
                <w:sz w:val="24"/>
              </w:rPr>
              <w:t>17.21.13.000-00000001</w:t>
            </w:r>
          </w:p>
        </w:tc>
      </w:tr>
      <w:tr w:rsidR="007A543A">
        <w:trPr>
          <w:trHeight w:val="16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Вид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proofErr w:type="gramStart"/>
            <w:r>
              <w:rPr>
                <w:rFonts w:ascii="XO Thames" w:hAnsi="XO Thames"/>
                <w:sz w:val="24"/>
                <w:highlight w:val="white"/>
              </w:rPr>
              <w:t>С крышкой</w:t>
            </w:r>
            <w:proofErr w:type="gramEnd"/>
            <w:r>
              <w:rPr>
                <w:rFonts w:ascii="XO Thames" w:hAnsi="XO Thames"/>
                <w:sz w:val="24"/>
                <w:highlight w:val="white"/>
              </w:rPr>
              <w:t xml:space="preserve"> </w:t>
            </w:r>
            <w:r>
              <w:rPr>
                <w:rFonts w:ascii="XO Thames" w:hAnsi="XO Thames"/>
                <w:sz w:val="24"/>
                <w:highlight w:val="white"/>
              </w:rPr>
              <w:t>соединенной шарнирно с корпусом</w:t>
            </w:r>
          </w:p>
        </w:tc>
      </w:tr>
      <w:tr w:rsidR="007A543A">
        <w:trPr>
          <w:trHeight w:val="16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Вид по способу крепления элементов конструкции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Складная</w:t>
            </w:r>
          </w:p>
        </w:tc>
      </w:tr>
      <w:tr w:rsidR="007A543A">
        <w:trPr>
          <w:trHeight w:val="16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Вид поставляемого изделия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В разобранном виде</w:t>
            </w:r>
          </w:p>
        </w:tc>
      </w:tr>
      <w:tr w:rsidR="007A543A">
        <w:trPr>
          <w:trHeight w:val="16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Высота, миллиметр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298</w:t>
            </w:r>
          </w:p>
        </w:tc>
      </w:tr>
      <w:tr w:rsidR="007A543A">
        <w:trPr>
          <w:trHeight w:val="16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Длина, миллиметр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487</w:t>
            </w:r>
          </w:p>
        </w:tc>
      </w:tr>
      <w:tr w:rsidR="007A543A">
        <w:trPr>
          <w:trHeight w:val="16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Для одноразового использования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Нет</w:t>
            </w:r>
          </w:p>
        </w:tc>
      </w:tr>
      <w:tr w:rsidR="007A543A">
        <w:trPr>
          <w:trHeight w:val="16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 xml:space="preserve">Марка </w:t>
            </w:r>
            <w:proofErr w:type="spellStart"/>
            <w:r>
              <w:rPr>
                <w:rFonts w:ascii="XO Thames" w:hAnsi="XO Thames"/>
                <w:sz w:val="24"/>
                <w:highlight w:val="white"/>
              </w:rPr>
              <w:t>гофрокартона</w:t>
            </w:r>
            <w:proofErr w:type="spell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Т23</w:t>
            </w:r>
          </w:p>
        </w:tc>
      </w:tr>
      <w:tr w:rsidR="007A543A">
        <w:trPr>
          <w:trHeight w:val="16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Назначение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Для хранения и транспортировки непищевых товаров</w:t>
            </w:r>
            <w:r>
              <w:rPr>
                <w:rFonts w:ascii="XO Thames" w:hAnsi="XO Thames"/>
                <w:sz w:val="24"/>
                <w:highlight w:val="white"/>
              </w:rPr>
              <w:tab/>
            </w:r>
          </w:p>
        </w:tc>
      </w:tr>
      <w:tr w:rsidR="007A543A">
        <w:trPr>
          <w:trHeight w:val="16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Наличие ручек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Да</w:t>
            </w:r>
          </w:p>
        </w:tc>
      </w:tr>
      <w:tr w:rsidR="007A543A">
        <w:trPr>
          <w:trHeight w:val="16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Наличие крышки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Да</w:t>
            </w:r>
          </w:p>
        </w:tc>
      </w:tr>
      <w:tr w:rsidR="007A543A">
        <w:trPr>
          <w:trHeight w:val="16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7A543A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 xml:space="preserve">Тип </w:t>
            </w:r>
            <w:proofErr w:type="spellStart"/>
            <w:r>
              <w:rPr>
                <w:rFonts w:ascii="XO Thames" w:hAnsi="XO Thames"/>
                <w:sz w:val="24"/>
                <w:highlight w:val="white"/>
              </w:rPr>
              <w:t>гофрокартона</w:t>
            </w:r>
            <w:proofErr w:type="spell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43A" w:rsidRDefault="0003181B">
            <w:pPr>
              <w:spacing w:after="57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Т</w:t>
            </w:r>
          </w:p>
        </w:tc>
      </w:tr>
    </w:tbl>
    <w:p w:rsidR="007A543A" w:rsidRDefault="007A543A">
      <w:pPr>
        <w:spacing w:after="57" w:line="240" w:lineRule="auto"/>
        <w:jc w:val="both"/>
        <w:rPr>
          <w:rFonts w:ascii="XO Thames" w:hAnsi="XO Thames"/>
          <w:sz w:val="24"/>
        </w:rPr>
      </w:pPr>
    </w:p>
    <w:p w:rsidR="007A543A" w:rsidRDefault="0003181B" w:rsidP="0003181B">
      <w:pPr>
        <w:numPr>
          <w:ilvl w:val="0"/>
          <w:numId w:val="2"/>
        </w:numPr>
        <w:spacing w:after="57" w:line="240" w:lineRule="auto"/>
        <w:ind w:left="0" w:firstLine="851"/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Требования к качеству и безопасности поставляемого Товара:</w:t>
      </w:r>
    </w:p>
    <w:p w:rsidR="007A543A" w:rsidRDefault="0003181B" w:rsidP="0003181B">
      <w:pPr>
        <w:spacing w:after="57" w:line="240" w:lineRule="auto"/>
        <w:ind w:firstLine="851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6.1. Поставляемый Товар долж</w:t>
      </w:r>
      <w:r>
        <w:rPr>
          <w:rFonts w:ascii="XO Thames" w:hAnsi="XO Thames"/>
          <w:sz w:val="24"/>
        </w:rPr>
        <w:t xml:space="preserve">ен соответствовать характеристикам, указанным в п.5 Технического задания, а также требованиям и нормам действующего законодательства Российской Федерации. </w:t>
      </w:r>
    </w:p>
    <w:p w:rsidR="007A543A" w:rsidRDefault="0003181B" w:rsidP="0003181B">
      <w:pPr>
        <w:spacing w:after="57" w:line="240" w:lineRule="auto"/>
        <w:ind w:firstLine="851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6.2. Упаковка должна сохранять Товар от всякого рода повреждений, утраты товарного вида. Упаковочные</w:t>
      </w:r>
      <w:r>
        <w:rPr>
          <w:rFonts w:ascii="XO Thames" w:hAnsi="XO Thames"/>
          <w:sz w:val="24"/>
        </w:rPr>
        <w:t xml:space="preserve"> материалы, потребительская и транспортная упаковка, используемые для упаковывания, должны соответствовать требованиям Технического регламента Таможенного союза «О безопасности упаковки» (ТР ТС 005/2011), если иное не установлено в настоящем Техническом за</w:t>
      </w:r>
      <w:r>
        <w:rPr>
          <w:rFonts w:ascii="XO Thames" w:hAnsi="XO Thames"/>
          <w:sz w:val="24"/>
        </w:rPr>
        <w:t>дании.</w:t>
      </w:r>
    </w:p>
    <w:p w:rsidR="007A543A" w:rsidRDefault="0003181B" w:rsidP="0003181B">
      <w:pPr>
        <w:spacing w:after="57" w:line="240" w:lineRule="auto"/>
        <w:ind w:firstLine="851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6.3. Поставляемый Товар должен быть новым (не бывшим в употреблении, не прошедшим восстановление потребительских свойств), не имеющим дефектов, связанных с функциональностью и качеством изготовления. Не допускаются дефекты, приводящие к полной или ч</w:t>
      </w:r>
      <w:r>
        <w:rPr>
          <w:rFonts w:ascii="XO Thames" w:hAnsi="XO Thames"/>
          <w:sz w:val="24"/>
        </w:rPr>
        <w:t xml:space="preserve">астичной потере товарного вида или затрудняющие использование Товара по назначению. Не допускаются механические повреждения Товара - пятна, царапины и др., в том числе допущенные при транспортировке и разгрузочных работах. </w:t>
      </w:r>
    </w:p>
    <w:p w:rsidR="007A543A" w:rsidRDefault="0003181B" w:rsidP="0003181B">
      <w:pPr>
        <w:spacing w:after="57" w:line="240" w:lineRule="auto"/>
        <w:ind w:firstLine="851"/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sz w:val="24"/>
        </w:rPr>
        <w:t>6.4. Качество Товара должно соот</w:t>
      </w:r>
      <w:r>
        <w:rPr>
          <w:rFonts w:ascii="XO Thames" w:hAnsi="XO Thames"/>
          <w:sz w:val="24"/>
        </w:rPr>
        <w:t>ветствовать требованиям ГОСТов, технических регламентов, иным нормативным документа</w:t>
      </w:r>
      <w:bookmarkStart w:id="29" w:name="_GoBack"/>
      <w:bookmarkEnd w:id="29"/>
      <w:r>
        <w:rPr>
          <w:rFonts w:ascii="XO Thames" w:hAnsi="XO Thames"/>
          <w:sz w:val="24"/>
        </w:rPr>
        <w:t>м по стандартизации и другим актам законодательства.</w:t>
      </w:r>
    </w:p>
    <w:sectPr w:rsidR="007A543A">
      <w:type w:val="continuous"/>
      <w:pgSz w:w="11906" w:h="16838"/>
      <w:pgMar w:top="851" w:right="566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E5DF3"/>
    <w:multiLevelType w:val="multilevel"/>
    <w:tmpl w:val="DE2CBC36"/>
    <w:lvl w:ilvl="0">
      <w:start w:val="4"/>
      <w:numFmt w:val="decimal"/>
      <w:lvlText w:val="%1."/>
      <w:lvlJc w:val="left"/>
      <w:pPr>
        <w:widowControl/>
        <w:ind w:left="360" w:hanging="360"/>
      </w:pPr>
      <w:rPr>
        <w:b/>
      </w:rPr>
    </w:lvl>
    <w:lvl w:ilvl="1">
      <w:start w:val="4"/>
      <w:numFmt w:val="decimal"/>
      <w:lvlText w:val="%1.%2."/>
      <w:lvlJc w:val="left"/>
      <w:pPr>
        <w:widowControl/>
        <w:ind w:left="1211" w:hanging="360"/>
      </w:pPr>
    </w:lvl>
    <w:lvl w:ilvl="2">
      <w:start w:val="1"/>
      <w:numFmt w:val="decimal"/>
      <w:lvlText w:val="%1.%2.%3."/>
      <w:lvlJc w:val="left"/>
      <w:pPr>
        <w:widowControl/>
        <w:ind w:left="2422" w:hanging="720"/>
      </w:pPr>
    </w:lvl>
    <w:lvl w:ilvl="3">
      <w:start w:val="1"/>
      <w:numFmt w:val="decimal"/>
      <w:lvlText w:val="%1.%2.%3.%4."/>
      <w:lvlJc w:val="left"/>
      <w:pPr>
        <w:widowControl/>
        <w:ind w:left="3273" w:hanging="720"/>
      </w:pPr>
    </w:lvl>
    <w:lvl w:ilvl="4">
      <w:start w:val="1"/>
      <w:numFmt w:val="decimal"/>
      <w:lvlText w:val="%1.%2.%3.%4.%5."/>
      <w:lvlJc w:val="left"/>
      <w:pPr>
        <w:widowControl/>
        <w:ind w:left="4484" w:hanging="1080"/>
      </w:pPr>
    </w:lvl>
    <w:lvl w:ilvl="5">
      <w:start w:val="1"/>
      <w:numFmt w:val="decimal"/>
      <w:lvlText w:val="%1.%2.%3.%4.%5.%6."/>
      <w:lvlJc w:val="left"/>
      <w:pPr>
        <w:widowControl/>
        <w:ind w:left="5335" w:hanging="1080"/>
      </w:pPr>
    </w:lvl>
    <w:lvl w:ilvl="6">
      <w:start w:val="1"/>
      <w:numFmt w:val="decimal"/>
      <w:lvlText w:val="%1.%2.%3.%4.%5.%6.%7."/>
      <w:lvlJc w:val="left"/>
      <w:pPr>
        <w:widowControl/>
        <w:ind w:left="6546" w:hanging="1440"/>
      </w:pPr>
    </w:lvl>
    <w:lvl w:ilvl="7">
      <w:start w:val="1"/>
      <w:numFmt w:val="decimal"/>
      <w:lvlText w:val="%1.%2.%3.%4.%5.%6.%7.%8."/>
      <w:lvlJc w:val="left"/>
      <w:pPr>
        <w:widowControl/>
        <w:ind w:left="7397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8608" w:hanging="1800"/>
      </w:pPr>
    </w:lvl>
  </w:abstractNum>
  <w:abstractNum w:abstractNumId="1" w15:restartNumberingAfterBreak="0">
    <w:nsid w:val="75A761E3"/>
    <w:multiLevelType w:val="multilevel"/>
    <w:tmpl w:val="360E1B9C"/>
    <w:lvl w:ilvl="0">
      <w:start w:val="1"/>
      <w:numFmt w:val="decimal"/>
      <w:lvlText w:val="%1."/>
      <w:lvlJc w:val="left"/>
      <w:pPr>
        <w:widowControl/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3A"/>
    <w:rsid w:val="0003181B"/>
    <w:rsid w:val="007A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85131-C3DB-4D6B-AE34-11B1349D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 w:line="240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annotation text"/>
    <w:basedOn w:val="a"/>
    <w:link w:val="a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  <w:sz w:val="20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3">
    <w:name w:val="Знак сноски1"/>
    <w:link w:val="a9"/>
    <w:rPr>
      <w:vertAlign w:val="superscript"/>
    </w:rPr>
  </w:style>
  <w:style w:type="character" w:styleId="a9">
    <w:name w:val="footnote reference"/>
    <w:link w:val="13"/>
    <w:rPr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styleId="aa">
    <w:name w:val="annotation subject"/>
    <w:basedOn w:val="a3"/>
    <w:next w:val="a3"/>
    <w:link w:val="ab"/>
    <w:rPr>
      <w:b/>
    </w:rPr>
  </w:style>
  <w:style w:type="character" w:customStyle="1" w:styleId="ab">
    <w:name w:val="Тема примечания Знак"/>
    <w:basedOn w:val="a4"/>
    <w:link w:val="aa"/>
    <w:rPr>
      <w:rFonts w:ascii="Times New Roman" w:hAnsi="Times New Roman"/>
      <w:b/>
      <w:sz w:val="20"/>
    </w:rPr>
  </w:style>
  <w:style w:type="paragraph" w:customStyle="1" w:styleId="14">
    <w:name w:val="Просмотренная гиперссылка1"/>
    <w:basedOn w:val="12"/>
    <w:link w:val="ac"/>
    <w:rPr>
      <w:color w:val="954F72" w:themeColor="followedHyperlink"/>
      <w:u w:val="single"/>
    </w:rPr>
  </w:style>
  <w:style w:type="character" w:styleId="ac">
    <w:name w:val="FollowedHyperlink"/>
    <w:basedOn w:val="a0"/>
    <w:link w:val="14"/>
    <w:rPr>
      <w:color w:val="954F72" w:themeColor="followedHyperlink"/>
      <w:u w:val="single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1">
    <w:name w:val="Неразрешенное упоминание"/>
    <w:link w:val="af2"/>
    <w:rPr>
      <w:color w:val="605E5C"/>
      <w:shd w:val="clear" w:color="auto" w:fill="E1DFDD"/>
    </w:rPr>
  </w:style>
  <w:style w:type="character" w:customStyle="1" w:styleId="af2">
    <w:name w:val="Неразрешенное упоминание"/>
    <w:link w:val="af1"/>
    <w:rPr>
      <w:color w:val="605E5C"/>
      <w:shd w:val="clear" w:color="auto" w:fill="E1DFDD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5">
    <w:name w:val="Гиперссылка1"/>
    <w:basedOn w:val="12"/>
    <w:link w:val="af3"/>
    <w:rPr>
      <w:color w:val="0563C1" w:themeColor="hyperlink"/>
      <w:u w:val="single"/>
    </w:rPr>
  </w:style>
  <w:style w:type="character" w:styleId="af3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f4">
    <w:name w:val="No Spacing"/>
    <w:link w:val="af5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Pr>
      <w:rFonts w:ascii="Calibri" w:hAnsi="Calibri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  <w:link w:val="18"/>
  </w:style>
  <w:style w:type="paragraph" w:customStyle="1" w:styleId="18">
    <w:name w:val="Знак примечания1"/>
    <w:link w:val="af6"/>
    <w:rPr>
      <w:sz w:val="16"/>
    </w:rPr>
  </w:style>
  <w:style w:type="character" w:styleId="af6">
    <w:name w:val="annotation reference"/>
    <w:link w:val="18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rpc41">
    <w:name w:val="_rpc_41"/>
    <w:basedOn w:val="12"/>
    <w:link w:val="rpc410"/>
  </w:style>
  <w:style w:type="character" w:customStyle="1" w:styleId="rpc410">
    <w:name w:val="_rpc_41"/>
    <w:basedOn w:val="a0"/>
    <w:link w:val="rpc41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sz w:val="24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d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cow.petrovich.ru/catalog/95478/?naznachenie=dlya_plintusov" TargetMode="External"/><Relationship Id="rId5" Type="http://schemas.openxmlformats.org/officeDocument/2006/relationships/hyperlink" Target="mailto:mts.fgb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7417</Words>
  <Characters>42281</Characters>
  <Application>Microsoft Office Word</Application>
  <DocSecurity>0</DocSecurity>
  <Lines>352</Lines>
  <Paragraphs>99</Paragraphs>
  <ScaleCrop>false</ScaleCrop>
  <Company/>
  <LinksUpToDate>false</LinksUpToDate>
  <CharactersWithSpaces>49599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Мишурова Ксения Александровна</cp:lastModifiedBy>
  <cp:revision>2</cp:revision>
  <dcterms:created xsi:type="dcterms:W3CDTF">2026-05-15T09:20:00Z</dcterms:created>
  <dcterms:modified xsi:type="dcterms:W3CDTF">2026-05-26T13:07:00Z</dcterms:modified>
</cp:coreProperties>
</file>