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beforeAutospacing="0" w:after="0" w:line="240" w:lineRule="auto"/>
        <w:rPr>
          <w:rFonts w:ascii="Tinos" w:hAnsi="Tinos" w:cs="Tinos"/>
          <w:b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  <w:lang w:eastAsia="ar-SA"/>
        </w:rPr>
        <w:t xml:space="preserve">Начальная (максимальная) цена государственного контракта,</w:t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</w:p>
    <w:p>
      <w:pPr>
        <w:pStyle w:val="873"/>
        <w:ind w:left="0" w:right="0" w:firstLine="0"/>
        <w:jc w:val="center"/>
        <w:rPr>
          <w:rFonts w:ascii="Tinos" w:hAnsi="Tinos" w:cs="Tinos"/>
          <w:b/>
          <w:szCs w:val="24"/>
        </w:rPr>
      </w:pPr>
      <w:r>
        <w:rPr>
          <w:rFonts w:ascii="Tinos" w:hAnsi="Tinos" w:eastAsia="Tinos" w:cs="Tinos"/>
          <w:b/>
          <w:szCs w:val="24"/>
        </w:rPr>
        <w:t xml:space="preserve">обоснование начальной максимальной цены государственного контракта</w:t>
      </w:r>
      <w:r>
        <w:rPr>
          <w:rFonts w:ascii="Tinos" w:hAnsi="Tinos" w:cs="Tinos"/>
          <w:b/>
          <w:szCs w:val="24"/>
        </w:rPr>
      </w:r>
      <w:r>
        <w:rPr>
          <w:rFonts w:ascii="Tinos" w:hAnsi="Tinos" w:cs="Tinos"/>
          <w:b/>
          <w:szCs w:val="24"/>
        </w:rPr>
      </w:r>
    </w:p>
    <w:p>
      <w:pPr>
        <w:pStyle w:val="873"/>
        <w:ind w:firstLine="709"/>
        <w:jc w:val="center"/>
        <w:rPr>
          <w:rFonts w:ascii="Tinos" w:hAnsi="Tinos" w:cs="Tinos"/>
          <w:b/>
          <w:sz w:val="12"/>
          <w:szCs w:val="12"/>
        </w:rPr>
      </w:pPr>
      <w:r>
        <w:rPr>
          <w:rFonts w:ascii="Tinos" w:hAnsi="Tinos" w:eastAsia="Tinos" w:cs="Tinos"/>
          <w:b/>
          <w:sz w:val="12"/>
          <w:szCs w:val="12"/>
        </w:rPr>
      </w:r>
      <w:r>
        <w:rPr>
          <w:rFonts w:ascii="Tinos" w:hAnsi="Tinos" w:cs="Tinos"/>
          <w:b/>
          <w:sz w:val="12"/>
          <w:szCs w:val="12"/>
        </w:rPr>
      </w:r>
      <w:r>
        <w:rPr>
          <w:rFonts w:ascii="Tinos" w:hAnsi="Tinos" w:cs="Tinos"/>
          <w:b/>
          <w:sz w:val="12"/>
          <w:szCs w:val="12"/>
        </w:rPr>
      </w:r>
    </w:p>
    <w:tbl>
      <w:tblPr>
        <w:tblW w:w="4990" w:type="pct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95"/>
        <w:gridCol w:w="10703"/>
      </w:tblGrid>
      <w:tr>
        <w:tblPrEx/>
        <w:trPr>
          <w:trHeight w:val="7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5" w:type="dxa"/>
            <w:vAlign w:val="center"/>
            <w:textDirection w:val="lrTb"/>
            <w:noWrap w:val="false"/>
          </w:tcPr>
          <w:p>
            <w:pPr>
              <w:pStyle w:val="850"/>
              <w:ind w:left="142" w:right="86" w:firstLine="0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Наименование</w:t>
            </w:r>
            <w:r>
              <w:rPr>
                <w:rFonts w:ascii="Tinos" w:hAnsi="Tinos" w:eastAsia="Tinos" w:cs="Tinos"/>
                <w:b/>
                <w:bCs/>
              </w:rPr>
              <w:t xml:space="preserve"> объекта закупки: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03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eastAsia="MS Mincho"/>
                <w:b w:val="0"/>
                <w:bCs w:val="0"/>
                <w:sz w:val="24"/>
                <w:szCs w:val="24"/>
              </w:rPr>
              <w:t xml:space="preserve">Оказание </w:t>
            </w:r>
            <w:r>
              <w:rPr>
                <w:rFonts w:eastAsia="MS Mincho"/>
                <w:b w:val="0"/>
                <w:bCs w:val="0"/>
                <w:sz w:val="24"/>
                <w:szCs w:val="24"/>
              </w:rPr>
              <w:t xml:space="preserve">услуг</w:t>
            </w:r>
            <w:r>
              <w:rPr>
                <w:b w:val="0"/>
                <w:bCs w:val="0"/>
                <w:sz w:val="24"/>
                <w:szCs w:val="24"/>
              </w:rPr>
              <w:t xml:space="preserve"> по</w:t>
            </w:r>
            <w:r>
              <w:rPr>
                <w:b w:val="0"/>
                <w:bCs w:val="0"/>
                <w:sz w:val="24"/>
                <w:szCs w:val="24"/>
              </w:rPr>
              <w:t xml:space="preserve"> вывозу и утилизации многофункциональных у</w:t>
            </w:r>
            <w:r>
              <w:rPr>
                <w:b w:val="0"/>
                <w:bCs w:val="0"/>
                <w:sz w:val="24"/>
                <w:szCs w:val="24"/>
              </w:rPr>
              <w:t xml:space="preserve">стройств, </w:t>
            </w:r>
            <w:r>
              <w:rPr>
                <w:b w:val="0"/>
                <w:bCs w:val="0"/>
                <w:sz w:val="24"/>
                <w:szCs w:val="24"/>
              </w:rPr>
              <w:t xml:space="preserve">сетевых принтеров</w:t>
            </w:r>
            <w:r>
              <w:rPr>
                <w:b w:val="0"/>
                <w:bCs w:val="0"/>
                <w:sz w:val="24"/>
                <w:szCs w:val="24"/>
              </w:rPr>
              <w:t xml:space="preserve"> и иного информационно-коммуникационного обо</w:t>
            </w:r>
            <w:r>
              <w:rPr>
                <w:b w:val="0"/>
                <w:bCs w:val="0"/>
                <w:sz w:val="24"/>
                <w:szCs w:val="24"/>
              </w:rPr>
              <w:t xml:space="preserve">рудования</w:t>
            </w:r>
            <w:r>
              <w:rPr>
                <w:b w:val="0"/>
                <w:bCs w:val="0"/>
                <w:sz w:val="24"/>
                <w:szCs w:val="24"/>
              </w:rPr>
              <w:t xml:space="preserve"> ПКД</w:t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z w:val="22"/>
                <w:szCs w:val="22"/>
                <w:highlight w:val="whit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z w:val="22"/>
                <w:szCs w:val="22"/>
                <w:highlight w:val="white"/>
              </w:rPr>
            </w:r>
          </w:p>
          <w:p>
            <w:r/>
            <w:r/>
          </w:p>
        </w:tc>
      </w:tr>
      <w:tr>
        <w:tblPrEx/>
        <w:trPr>
          <w:trHeight w:val="5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5" w:type="dxa"/>
            <w:vAlign w:val="center"/>
            <w:textDirection w:val="lrTb"/>
            <w:noWrap w:val="false"/>
          </w:tcPr>
          <w:p>
            <w:pPr>
              <w:pStyle w:val="850"/>
              <w:ind w:left="142" w:right="86" w:firstLine="0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Используемый метод определения НМЦК с обоснованием: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03" w:type="dxa"/>
            <w:vAlign w:val="center"/>
            <w:textDirection w:val="lrTb"/>
            <w:noWrap w:val="false"/>
          </w:tcPr>
          <w:p>
            <w:pPr>
              <w:pStyle w:val="850"/>
              <w:ind w:left="142" w:right="86" w:firstLine="283"/>
              <w:jc w:val="both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Метод сопоставимых рыночных цен (анализ рынка) на основании информации, содержащейся в коммерческих предложениях</w:t>
            </w:r>
            <w:r>
              <w:rPr>
                <w:rFonts w:ascii="Tinos" w:hAnsi="Tinos" w:eastAsia="Tinos" w:cs="Tinos"/>
              </w:rPr>
              <w:t xml:space="preserve">.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35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95" w:type="dxa"/>
            <w:vAlign w:val="center"/>
            <w:textDirection w:val="lrTb"/>
            <w:noWrap w:val="false"/>
          </w:tcPr>
          <w:p>
            <w:pPr>
              <w:pStyle w:val="850"/>
              <w:ind w:left="142" w:right="86" w:firstLine="0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Расчет НМЦК: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03" w:type="dxa"/>
            <w:vAlign w:val="center"/>
            <w:textDirection w:val="lrTb"/>
            <w:noWrap w:val="false"/>
          </w:tcPr>
          <w:p>
            <w:pPr>
              <w:pStyle w:val="850"/>
              <w:ind w:left="142" w:right="86" w:firstLine="283"/>
              <w:jc w:val="both"/>
              <w:tabs>
                <w:tab w:val="left" w:pos="11047" w:leader="none"/>
              </w:tabs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Для определения НМЦК Заказчиком</w:t>
            </w:r>
            <w:r>
              <w:rPr>
                <w:rFonts w:ascii="Tinos" w:hAnsi="Tinos" w:eastAsia="Tinos" w:cs="Tinos"/>
              </w:rPr>
              <w:t xml:space="preserve"> использован метод сопоставимых рыночных цен (ст.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 Расчёт НМЦК произведён с учётом методических</w:t>
            </w:r>
            <w:r>
              <w:rPr>
                <w:rFonts w:ascii="Tinos" w:hAnsi="Tinos" w:eastAsia="Tinos" w:cs="Tinos"/>
              </w:rPr>
              <w:t xml:space="preserve"> рекомендаций, утверждённых Приказом Министерства экономического развития РФ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</w:t>
            </w:r>
            <w:r>
              <w:rPr>
                <w:rFonts w:ascii="Tinos" w:hAnsi="Tinos" w:eastAsia="Tinos" w:cs="Tinos"/>
              </w:rPr>
              <w:t xml:space="preserve">м поставщиком (подрядчиком, исполнителем)» (далее – Методические рекомендации).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  <w:p>
            <w:pPr>
              <w:jc w:val="left"/>
              <w:rPr>
                <w:rFonts w:ascii="Tinos" w:hAnsi="Tinos" w:eastAsia="Tinos" w:cs="Tinos"/>
                <w:b/>
                <w:bCs/>
                <w:highlight w:val="none"/>
              </w:rPr>
            </w:pPr>
            <w:r>
              <w:rPr>
                <w:rFonts w:ascii="Tinos" w:hAnsi="Tinos" w:eastAsia="Tinos" w:cs="Tinos"/>
              </w:rPr>
              <w:t xml:space="preserve">      НМЦК на предоставление услуг, полученная расчётным путём как среднеарифметическое на о</w:t>
            </w:r>
            <w:r>
              <w:rPr>
                <w:rFonts w:ascii="Tinos" w:hAnsi="Tinos" w:eastAsia="Tinos" w:cs="Tinos"/>
              </w:rPr>
              <w:t xml:space="preserve">сновании имеющихся    коммерческих </w:t>
            </w:r>
            <w:r>
              <w:rPr>
                <w:rFonts w:ascii="Tinos" w:hAnsi="Tinos" w:eastAsia="Tinos" w:cs="Tinos"/>
              </w:rPr>
              <w:t xml:space="preserve">предложений, составляет </w:t>
            </w:r>
            <w:r>
              <w:rPr>
                <w:rFonts w:ascii="Tinos" w:hAnsi="Tinos" w:eastAsia="Tinos" w:cs="Tinos"/>
                <w:b w:val="0"/>
                <w:bCs w:val="0"/>
              </w:rPr>
              <w:t xml:space="preserve"> 47 898,00</w:t>
            </w:r>
            <w:r>
              <w:rPr>
                <w:rFonts w:ascii="Tinos" w:hAnsi="Tinos" w:eastAsia="Tinos" w:cs="Tinos"/>
                <w:b w:val="0"/>
                <w:bCs w:val="0"/>
              </w:rPr>
              <w:t xml:space="preserve">  руб</w:t>
            </w:r>
            <w:r>
              <w:rPr>
                <w:rFonts w:ascii="Tinos" w:hAnsi="Tinos" w:eastAsia="Tinos" w:cs="Tinos"/>
                <w:b w:val="0"/>
                <w:bCs w:val="0"/>
              </w:rPr>
              <w:t xml:space="preserve">.</w:t>
            </w:r>
            <w:r>
              <w:rPr>
                <w:rFonts w:ascii="Tinos" w:hAnsi="Tinos" w:eastAsia="Tinos" w:cs="Tinos"/>
                <w:b/>
                <w:bCs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highlight w:val="none"/>
              </w:rPr>
            </w:r>
          </w:p>
          <w:p>
            <w:pPr>
              <w:jc w:val="left"/>
              <w:rPr>
                <w:rFonts w:ascii="Tinos" w:hAnsi="Tinos" w:cs="Tinos"/>
                <w:b/>
                <w:bCs/>
              </w:rPr>
            </w:pPr>
            <w:r>
              <w:t xml:space="preserve">   </w:t>
            </w:r>
            <w:r>
              <w:rPr>
                <w:b w:val="0"/>
                <w:bCs w:val="0"/>
              </w:rPr>
              <w:t xml:space="preserve">  </w:t>
            </w:r>
            <w:r>
              <w:rPr>
                <w:b w:val="0"/>
                <w:bCs w:val="0"/>
              </w:rPr>
              <w:t xml:space="preserve">В результате проведенного анализа всей имеющейся информации принято решение: в целях экономии бюджетных средств и в связи с дефицитом лимитов бюджетных ассигнований на 2026</w:t>
            </w:r>
            <w:r>
              <w:rPr>
                <w:b w:val="0"/>
                <w:bCs w:val="0"/>
              </w:rPr>
              <w:t xml:space="preserve"> год объявить начальную (максимальную) цену контракта по минимально предлагаемой цене, то есть – </w:t>
            </w:r>
            <w:r>
              <w:rPr>
                <w:b/>
                <w:bCs/>
              </w:rPr>
              <w:t xml:space="preserve">38 734,00 </w:t>
            </w:r>
            <w:r>
              <w:rPr>
                <w:b/>
                <w:bCs/>
              </w:rPr>
              <w:t xml:space="preserve">руб.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  <w:p>
            <w:pPr>
              <w:pStyle w:val="850"/>
              <w:ind w:left="142" w:right="86" w:firstLine="283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Информация о валюте, используемой для формирования цены контракта и расчётов с поставщиком (подрядчиком, исполнителем): рубль российский.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  <w:p>
            <w:pPr>
              <w:pStyle w:val="850"/>
              <w:ind w:left="142" w:right="86" w:firstLine="283"/>
              <w:jc w:val="both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eastAsia="Tinos" w:cs="Tinos"/>
                <w:color w:val="000000"/>
              </w:rPr>
              <w:t xml:space="preserve">Расчёт приведён ниже.</w:t>
            </w:r>
            <w:r>
              <w:rPr>
                <w:rFonts w:ascii="Tinos" w:hAnsi="Tinos" w:cs="Tinos"/>
                <w:color w:val="000000"/>
              </w:rPr>
            </w:r>
            <w:r>
              <w:rPr>
                <w:rFonts w:ascii="Tinos" w:hAnsi="Tinos" w:cs="Tinos"/>
                <w:color w:val="000000"/>
              </w:rPr>
            </w:r>
          </w:p>
        </w:tc>
      </w:tr>
      <w:tr>
        <w:tblPrEx/>
        <w:trPr>
          <w:trHeight w:val="55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98" w:type="dxa"/>
            <w:vAlign w:val="center"/>
            <w:textDirection w:val="lrTb"/>
            <w:noWrap w:val="false"/>
          </w:tcPr>
          <w:p>
            <w:pPr>
              <w:pStyle w:val="850"/>
              <w:ind w:left="142" w:right="86" w:firstLine="0"/>
              <w:rPr>
                <w:rFonts w:ascii="Tinos" w:hAnsi="Tinos" w:cs="Tinos"/>
                <w:b/>
              </w:rPr>
            </w:pPr>
            <w:r>
              <w:rPr>
                <w:rFonts w:ascii="Tinos" w:hAnsi="Tinos" w:eastAsia="Tinos" w:cs="Tinos"/>
                <w:b/>
              </w:rPr>
              <w:t xml:space="preserve">Дата подготовки обоснования: 07.05.2026</w:t>
            </w:r>
            <w:r>
              <w:rPr>
                <w:rFonts w:ascii="Tinos" w:hAnsi="Tinos" w:eastAsia="Tinos" w:cs="Tinos"/>
                <w:b w:val="0"/>
                <w:bCs w:val="0"/>
              </w:rPr>
              <w:t xml:space="preserve"> г.</w:t>
            </w:r>
            <w:r>
              <w:rPr>
                <w:rFonts w:ascii="Tinos" w:hAnsi="Tinos" w:cs="Tinos"/>
                <w:b/>
              </w:rPr>
            </w:r>
            <w:r>
              <w:rPr>
                <w:rFonts w:ascii="Tinos" w:hAnsi="Tinos" w:cs="Tinos"/>
                <w:b/>
              </w:rPr>
            </w:r>
          </w:p>
        </w:tc>
      </w:tr>
    </w:tbl>
    <w:p>
      <w:pPr>
        <w:pStyle w:val="850"/>
        <w:ind w:right="8250"/>
        <w:tabs>
          <w:tab w:val="left" w:pos="13438" w:leader="none"/>
        </w:tabs>
        <w:rPr>
          <w:rFonts w:ascii="Tinos" w:hAnsi="Tinos" w:cs="Tinos"/>
          <w:b/>
          <w:bCs/>
          <w:sz w:val="16"/>
          <w:szCs w:val="16"/>
        </w:rPr>
      </w:pPr>
      <w:r>
        <w:rPr>
          <w:rFonts w:ascii="Tinos" w:hAnsi="Tinos" w:eastAsia="Tinos" w:cs="Tinos"/>
          <w:b/>
          <w:bCs/>
          <w:sz w:val="16"/>
          <w:szCs w:val="16"/>
        </w:rPr>
      </w:r>
      <w:r>
        <w:rPr>
          <w:rFonts w:ascii="Tinos" w:hAnsi="Tinos" w:cs="Tinos"/>
          <w:b/>
          <w:bCs/>
          <w:sz w:val="16"/>
          <w:szCs w:val="16"/>
        </w:rPr>
      </w:r>
      <w:r>
        <w:rPr>
          <w:rFonts w:ascii="Tinos" w:hAnsi="Tinos" w:cs="Tinos"/>
          <w:b/>
          <w:bCs/>
          <w:sz w:val="16"/>
          <w:szCs w:val="16"/>
        </w:rPr>
      </w:r>
    </w:p>
    <w:tbl>
      <w:tblPr>
        <w:tblW w:w="4936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4"/>
        <w:gridCol w:w="3017"/>
        <w:gridCol w:w="567"/>
        <w:gridCol w:w="1559"/>
        <w:gridCol w:w="1701"/>
        <w:gridCol w:w="1607"/>
        <w:gridCol w:w="1921"/>
        <w:gridCol w:w="1280"/>
        <w:gridCol w:w="1280"/>
        <w:gridCol w:w="1280"/>
      </w:tblGrid>
      <w:tr>
        <w:tblPrEx/>
        <w:trPr>
          <w:trHeight w:val="334"/>
        </w:trPr>
        <w:tc>
          <w:tcPr>
            <w:tcW w:w="384" w:type="dxa"/>
            <w:vAlign w:val="center"/>
            <w:vMerge w:val="restart"/>
            <w:textDirection w:val="lrTb"/>
            <w:noWrap/>
          </w:tcPr>
          <w:p>
            <w:pPr>
              <w:pStyle w:val="850"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№ п/п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</w:tc>
        <w:tc>
          <w:tcPr>
            <w:tcW w:w="3017" w:type="dxa"/>
            <w:vAlign w:val="center"/>
            <w:vMerge w:val="restart"/>
            <w:textDirection w:val="lrTb"/>
            <w:noWrap/>
          </w:tcPr>
          <w:p>
            <w:pPr>
              <w:pStyle w:val="850"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Наименование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  <w:p>
            <w:pPr>
              <w:pStyle w:val="850"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услуги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</w:tc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ind w:right="-125"/>
              <w:jc w:val="center"/>
              <w:rPr>
                <w:rFonts w:ascii="Tinos" w:hAnsi="Tinos" w:eastAsia="Tinos" w:cs="Tinos"/>
                <w:sz w:val="18"/>
                <w:szCs w:val="18"/>
              </w:rPr>
            </w:pPr>
            <w:r>
              <w:rPr>
                <w:rFonts w:ascii="Tinos" w:hAnsi="Tinos" w:eastAsia="Tinos" w:cs="Tinos"/>
                <w:sz w:val="18"/>
                <w:szCs w:val="18"/>
              </w:rPr>
              <w:t xml:space="preserve">Кол-во,</w:t>
            </w:r>
            <w:r>
              <w:rPr>
                <w:rFonts w:ascii="Tinos" w:hAnsi="Tinos" w:eastAsia="Tinos" w:cs="Tinos"/>
                <w:sz w:val="18"/>
                <w:szCs w:val="18"/>
              </w:rPr>
            </w:r>
            <w:r>
              <w:rPr>
                <w:rFonts w:ascii="Tinos" w:hAnsi="Tinos" w:eastAsia="Tinos" w:cs="Tinos"/>
                <w:sz w:val="18"/>
                <w:szCs w:val="18"/>
              </w:rPr>
            </w:r>
          </w:p>
          <w:p>
            <w:pPr>
              <w:ind w:right="-125"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sz w:val="18"/>
                <w:szCs w:val="18"/>
              </w:rPr>
              <w:t xml:space="preserve">усл. ед.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</w:tc>
        <w:tc>
          <w:tcPr>
            <w:gridSpan w:val="3"/>
            <w:tcW w:w="4867" w:type="dxa"/>
            <w:vAlign w:val="center"/>
            <w:textDirection w:val="lrTb"/>
            <w:noWrap/>
          </w:tcPr>
          <w:p>
            <w:pPr>
              <w:pStyle w:val="850"/>
              <w:ind w:right="-107" w:firstLine="18"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Наименование источника информации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  <w:p>
            <w:pPr>
              <w:rPr>
                <w:rFonts w:ascii="Tinos" w:hAnsi="Tinos" w:eastAsia="Tinos" w:cs="Tinos"/>
                <w:sz w:val="18"/>
                <w:szCs w:val="18"/>
              </w:rPr>
            </w:pPr>
            <w:r>
              <w:rPr>
                <w:rFonts w:ascii="Tinos" w:hAnsi="Tinos" w:eastAsia="Tinos" w:cs="Tinos"/>
                <w:sz w:val="18"/>
                <w:szCs w:val="18"/>
              </w:rPr>
            </w:r>
            <w:r>
              <w:rPr>
                <w:rFonts w:ascii="Tinos" w:hAnsi="Tinos" w:eastAsia="Tinos" w:cs="Tinos"/>
                <w:sz w:val="18"/>
                <w:szCs w:val="18"/>
              </w:rPr>
            </w:r>
            <w:r>
              <w:rPr>
                <w:rFonts w:ascii="Tinos" w:hAnsi="Tinos" w:eastAsia="Tinos" w:cs="Tinos"/>
                <w:sz w:val="18"/>
                <w:szCs w:val="18"/>
              </w:rPr>
            </w:r>
          </w:p>
        </w:tc>
        <w:tc>
          <w:tcPr>
            <w:tcW w:w="19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18"/>
                <w:szCs w:val="18"/>
              </w:rPr>
            </w:pPr>
            <w:r>
              <w:rPr>
                <w:rFonts w:ascii="Tinos" w:hAnsi="Tinos" w:eastAsia="Tinos" w:cs="Tinos"/>
                <w:sz w:val="18"/>
                <w:szCs w:val="18"/>
              </w:rPr>
              <w:t xml:space="preserve">Средняя арифметическая цена</w:t>
            </w:r>
            <w:r>
              <w:rPr>
                <w:rFonts w:ascii="Tinos" w:hAnsi="Tinos" w:cs="Tinos"/>
                <w:sz w:val="18"/>
                <w:szCs w:val="18"/>
              </w:rPr>
            </w:r>
            <w:r>
              <w:rPr>
                <w:rFonts w:ascii="Tinos" w:hAnsi="Tinos" w:cs="Tinos"/>
                <w:sz w:val="18"/>
                <w:szCs w:val="18"/>
              </w:rPr>
            </w:r>
          </w:p>
        </w:tc>
        <w:tc>
          <w:tcPr>
            <w:tcW w:w="12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Среднее квадратичное отклонение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</w:tc>
        <w:tc>
          <w:tcPr>
            <w:tcW w:w="128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Коэффициент вариации цен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</w:tc>
        <w:tc>
          <w:tcPr>
            <w:tcW w:w="1280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ind w:left="0" w:right="-74" w:firstLine="0"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Начальная (максимальная) цена (руб)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686"/>
        </w:trPr>
        <w:tc>
          <w:tcPr>
            <w:tcBorders>
              <w:bottom w:val="single" w:color="000000" w:sz="4" w:space="0"/>
            </w:tcBorders>
            <w:tcW w:w="384" w:type="dxa"/>
            <w:vAlign w:val="center"/>
            <w:vMerge w:val="continue"/>
            <w:textDirection w:val="lrTb"/>
            <w:noWrap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3017" w:type="dxa"/>
            <w:vAlign w:val="center"/>
            <w:vMerge w:val="continue"/>
            <w:textDirection w:val="lrTb"/>
            <w:noWrap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850"/>
              <w:ind w:right="-128"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Коммерческое предложение № 1</w:t>
            </w: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, руб.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50"/>
              <w:ind w:right="-128"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Коммерческое предложение № 2</w:t>
            </w: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, руб.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607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Коммерческое предложение № </w:t>
            </w: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nos" w:hAnsi="Tinos" w:eastAsia="Tinos" w:cs="Tinos"/>
                <w:color w:val="000000"/>
                <w:sz w:val="18"/>
                <w:szCs w:val="18"/>
              </w:rPr>
              <w:t xml:space="preserve">, руб.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</w:r>
          </w:p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9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28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28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W w:w="1280" w:type="dxa"/>
            <w:vAlign w:val="center"/>
            <w:vMerge w:val="continue"/>
            <w:textDirection w:val="lrTb"/>
            <w:noWrap w:val="false"/>
          </w:tcPr>
          <w:p>
            <w:pPr>
              <w:pStyle w:val="85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338"/>
        </w:trPr>
        <w:tc>
          <w:tcPr>
            <w:tcW w:w="384" w:type="dxa"/>
            <w:vAlign w:val="center"/>
            <w:textDirection w:val="lrTb"/>
            <w:noWrap/>
          </w:tcPr>
          <w:p>
            <w:pPr>
              <w:pStyle w:val="85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1.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W w:w="3017" w:type="dxa"/>
            <w:vAlign w:val="center"/>
            <w:textDirection w:val="lrTb"/>
            <w:noWrap w:val="false"/>
          </w:tcPr>
          <w:p>
            <w:pPr>
              <w:rPr>
                <w:rFonts w:ascii="PT Astra Serif" w:hAnsi="PT Astra Serif" w:cs="PT Astra Serif"/>
                <w:b w:val="0"/>
                <w:bCs w:val="0"/>
                <w:i w:val="0"/>
                <w:sz w:val="22"/>
                <w:szCs w:val="22"/>
                <w:highlight w:val="white"/>
              </w:rPr>
            </w:pPr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eastAsia="MS Mincho"/>
                <w:b w:val="0"/>
                <w:bCs w:val="0"/>
                <w:sz w:val="24"/>
                <w:szCs w:val="24"/>
              </w:rPr>
              <w:t xml:space="preserve">Оказание </w:t>
            </w:r>
            <w:r>
              <w:rPr>
                <w:rFonts w:eastAsia="MS Mincho"/>
                <w:b w:val="0"/>
                <w:bCs w:val="0"/>
                <w:sz w:val="24"/>
                <w:szCs w:val="24"/>
              </w:rPr>
              <w:t xml:space="preserve">услуг</w:t>
            </w:r>
            <w:r>
              <w:rPr>
                <w:b w:val="0"/>
                <w:bCs w:val="0"/>
                <w:sz w:val="24"/>
                <w:szCs w:val="24"/>
              </w:rPr>
              <w:t xml:space="preserve"> по</w:t>
            </w:r>
            <w:r>
              <w:rPr>
                <w:b w:val="0"/>
                <w:bCs w:val="0"/>
                <w:sz w:val="24"/>
                <w:szCs w:val="24"/>
              </w:rPr>
              <w:t xml:space="preserve"> вывозу и утилизации многофункциональных у</w:t>
            </w:r>
            <w:r>
              <w:rPr>
                <w:b w:val="0"/>
                <w:bCs w:val="0"/>
                <w:sz w:val="24"/>
                <w:szCs w:val="24"/>
              </w:rPr>
              <w:t xml:space="preserve">стройств, </w:t>
            </w:r>
            <w:r>
              <w:rPr>
                <w:b w:val="0"/>
                <w:bCs w:val="0"/>
                <w:sz w:val="24"/>
                <w:szCs w:val="24"/>
              </w:rPr>
              <w:t xml:space="preserve">сетевых принтеров</w:t>
            </w:r>
            <w:r>
              <w:rPr>
                <w:b w:val="0"/>
                <w:bCs w:val="0"/>
                <w:sz w:val="24"/>
                <w:szCs w:val="24"/>
              </w:rPr>
              <w:t xml:space="preserve"> и иного информационно-коммуникационного обо</w:t>
            </w:r>
            <w:r>
              <w:rPr>
                <w:b w:val="0"/>
                <w:bCs w:val="0"/>
                <w:sz w:val="24"/>
                <w:szCs w:val="24"/>
              </w:rPr>
              <w:t xml:space="preserve">рудования</w:t>
            </w:r>
            <w:r>
              <w:rPr>
                <w:b w:val="0"/>
                <w:bCs w:val="0"/>
                <w:sz w:val="24"/>
                <w:szCs w:val="24"/>
              </w:rPr>
              <w:t xml:space="preserve"> ПКД</w:t>
            </w:r>
            <w:bookmarkStart w:id="0" w:name="undefined"/>
            <w:r>
              <w:rPr>
                <w:b w:val="0"/>
                <w:bCs w:val="0"/>
              </w:rPr>
            </w:r>
            <w:bookmarkEnd w:id="0"/>
            <w:r>
              <w:rPr>
                <w:rFonts w:ascii="PT Astra Serif" w:hAnsi="PT Astra Serif" w:eastAsia="PT Astra Serif" w:cs="PT Astra Serif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</w:rPr>
            </w:r>
            <w:r>
              <w:rPr>
                <w:rFonts w:ascii="PT Astra Serif" w:hAnsi="PT Astra Serif" w:cs="PT Astra Serif"/>
                <w:b w:val="0"/>
                <w:bCs w:val="0"/>
                <w:i w:val="0"/>
                <w:sz w:val="22"/>
                <w:szCs w:val="22"/>
                <w:highlight w:val="white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pStyle w:val="850"/>
              <w:jc w:val="center"/>
              <w:rPr>
                <w:rFonts w:ascii="Tinos" w:hAnsi="Tinos" w:cs="Tinos"/>
                <w:highlight w:val="white"/>
              </w:rPr>
            </w:pPr>
            <w:r>
              <w:rPr>
                <w:rFonts w:ascii="Tinos" w:hAnsi="Tinos" w:eastAsia="Tinos" w:cs="Tinos"/>
                <w:highlight w:val="white"/>
              </w:rPr>
              <w:t xml:space="preserve">1</w:t>
            </w:r>
            <w:r>
              <w:rPr>
                <w:rFonts w:ascii="Tinos" w:hAnsi="Tinos" w:cs="Tinos"/>
                <w:highlight w:val="white"/>
              </w:rPr>
            </w:r>
            <w:r>
              <w:rPr>
                <w:rFonts w:ascii="Tinos" w:hAnsi="Tinos" w:cs="Tinos"/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/>
          </w:tcPr>
          <w:p>
            <w:pPr>
              <w:pStyle w:val="850"/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</w:rPr>
              <w:t xml:space="preserve">38 734,00</w:t>
            </w:r>
            <w:r>
              <w:rPr>
                <w:rFonts w:ascii="Tinos" w:hAnsi="Tinos" w:cs="Tinos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W w:w="1701" w:type="dxa"/>
            <w:vAlign w:val="center"/>
            <w:textDirection w:val="lrTb"/>
            <w:noWrap/>
          </w:tcPr>
          <w:p>
            <w:pPr>
              <w:pStyle w:val="850"/>
              <w:jc w:val="center"/>
              <w:rPr>
                <w:rFonts w:ascii="Tinos" w:hAnsi="Tinos" w:eastAsia="Tinos" w:cs="Tinos"/>
                <w:highlight w:val="none"/>
              </w:rPr>
            </w:pPr>
            <w:r>
              <w:rPr>
                <w:rFonts w:ascii="Tinos" w:hAnsi="Tinos" w:eastAsia="Tinos" w:cs="Tinos"/>
              </w:rPr>
              <w:t xml:space="preserve">45 000,00</w:t>
            </w:r>
            <w:r>
              <w:rPr>
                <w:rFonts w:ascii="Tinos" w:hAnsi="Tinos" w:eastAsia="Tinos" w:cs="Tinos"/>
                <w:highlight w:val="none"/>
              </w:rPr>
            </w:r>
            <w:r>
              <w:rPr>
                <w:rFonts w:ascii="Tinos" w:hAnsi="Tinos" w:eastAsia="Tinos" w:cs="Tinos"/>
                <w:highlight w:val="none"/>
              </w:rPr>
            </w:r>
          </w:p>
        </w:tc>
        <w:tc>
          <w:tcPr>
            <w:tcW w:w="160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highlight w:val="none"/>
              </w:rPr>
            </w:r>
            <w:r>
              <w:rPr>
                <w:rFonts w:ascii="Tinos" w:hAnsi="Tinos" w:eastAsia="Tinos" w:cs="Tinos"/>
                <w:highlight w:val="none"/>
              </w:rPr>
            </w:r>
            <w:r>
              <w:rPr>
                <w:rFonts w:ascii="Tinos" w:hAnsi="Tinos" w:cs="Tinos"/>
              </w:rPr>
            </w:r>
          </w:p>
          <w:p>
            <w:pPr>
              <w:pStyle w:val="850"/>
              <w:jc w:val="center"/>
              <w:rPr>
                <w:rFonts w:ascii="Tinos" w:hAnsi="Tinos" w:eastAsia="Tinos" w:cs="Tinos"/>
                <w:highlight w:val="none"/>
              </w:rPr>
            </w:pPr>
            <w:r>
              <w:rPr>
                <w:rFonts w:ascii="Tinos" w:hAnsi="Tinos" w:eastAsia="Tinos" w:cs="Tinos"/>
              </w:rPr>
              <w:t xml:space="preserve">59 960,00</w:t>
            </w:r>
            <w:r>
              <w:rPr>
                <w:rFonts w:ascii="Tinos" w:hAnsi="Tinos" w:eastAsia="Tinos" w:cs="Tinos"/>
                <w:highlight w:val="none"/>
              </w:rPr>
            </w:r>
            <w:r>
              <w:rPr>
                <w:rFonts w:ascii="Tinos" w:hAnsi="Tinos" w:eastAsia="Tinos" w:cs="Tinos"/>
                <w:highlight w:val="none"/>
              </w:rPr>
            </w:r>
          </w:p>
          <w:p>
            <w:r/>
            <w:r/>
          </w:p>
        </w:tc>
        <w:tc>
          <w:tcPr>
            <w:tcW w:w="19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47 898,00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  <w:tc>
          <w:tcP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10 905,71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  <w:tc>
          <w:tcP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22,77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  <w:tc>
          <w:tcPr>
            <w:tcW w:w="128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</w:rPr>
            </w:pPr>
            <w:r>
              <w:rPr>
                <w:rFonts w:ascii="Tinos" w:hAnsi="Tinos" w:eastAsia="Tinos" w:cs="Tinos"/>
                <w:b/>
                <w:bCs/>
              </w:rPr>
              <w:t xml:space="preserve">38 734,00</w:t>
            </w:r>
            <w:r>
              <w:rPr>
                <w:rFonts w:ascii="Tinos" w:hAnsi="Tinos" w:cs="Tinos"/>
                <w:b/>
                <w:bCs/>
              </w:rPr>
            </w:r>
            <w:r>
              <w:rPr>
                <w:rFonts w:ascii="Tinos" w:hAnsi="Tinos" w:cs="Tinos"/>
                <w:b/>
                <w:bCs/>
              </w:rPr>
            </w:r>
          </w:p>
        </w:tc>
      </w:tr>
    </w:tbl>
    <w:p>
      <w:pPr>
        <w:ind w:firstLine="0"/>
        <w:jc w:val="left"/>
        <w:spacing w:before="0" w:beforeAutospacing="0" w:after="0" w:line="240" w:lineRule="auto"/>
        <w:rPr>
          <w:rFonts w:ascii="Tinos" w:hAnsi="Tinos" w:cs="Tinos"/>
          <w:b w:val="0"/>
          <w:bCs w:val="0"/>
          <w:sz w:val="24"/>
          <w:szCs w:val="24"/>
        </w:rPr>
      </w:pPr>
      <w:r>
        <w:rPr>
          <w:rFonts w:ascii="Tinos" w:hAnsi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</w:p>
    <w:p>
      <w:pPr>
        <w:ind w:firstLine="0"/>
        <w:jc w:val="left"/>
        <w:spacing w:before="0" w:beforeAutospacing="0" w:after="0" w:line="240" w:lineRule="auto"/>
        <w:rPr>
          <w:rFonts w:ascii="Tinos" w:hAnsi="Tinos" w:cs="Tinos"/>
          <w:b w:val="0"/>
          <w:bCs w:val="0"/>
          <w:sz w:val="24"/>
          <w:szCs w:val="24"/>
        </w:rPr>
      </w:pPr>
      <w:r>
        <w:rPr>
          <w:rFonts w:ascii="Tinos" w:hAnsi="Tinos" w:eastAsia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</w:p>
    <w:tbl>
      <w:tblPr>
        <w:tblW w:w="0" w:type="auto"/>
        <w:tblInd w:w="595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748"/>
      </w:tblGrid>
      <w:tr>
        <w:tblPrEx/>
        <w:trPr/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4748" w:type="dxa"/>
            <w:vAlign w:val="bottom"/>
            <w:textDirection w:val="lrTb"/>
            <w:noWrap w:val="false"/>
          </w:tcPr>
          <w:p>
            <w:pPr>
              <w:pStyle w:val="850"/>
              <w:ind w:hanging="28"/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   Работник контрактной службы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t xml:space="preserve">Зам. начальника ФЭО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48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850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tblInd w:w="634" w:type="dxa"/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98"/>
        <w:gridCol w:w="170"/>
        <w:gridCol w:w="1617"/>
        <w:gridCol w:w="397"/>
        <w:gridCol w:w="369"/>
        <w:gridCol w:w="225"/>
        <w:gridCol w:w="172"/>
        <w:gridCol w:w="681"/>
      </w:tblGrid>
      <w:tr>
        <w:tblPrEx/>
        <w:trPr>
          <w:gridAfter w:val="1"/>
        </w:trPr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020" w:type="dxa"/>
            <w:vAlign w:val="bottom"/>
            <w:textDirection w:val="lrTb"/>
            <w:noWrap w:val="false"/>
          </w:tcPr>
          <w:p>
            <w:pPr>
              <w:pStyle w:val="850"/>
              <w:jc w:val="center"/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r>
            <w:r>
              <w:rPr>
                <w:rFonts w:ascii="PT Astra Serif" w:hAnsi="PT Astra Serif" w:cs="PT Astra Serif"/>
                <w:b/>
                <w:bCs/>
                <w:i/>
                <w:sz w:val="24"/>
                <w:szCs w:val="24"/>
              </w:rPr>
            </w:r>
          </w:p>
        </w:tc>
        <w:tc>
          <w:tcPr>
            <w:tcW w:w="170" w:type="dxa"/>
            <w:vAlign w:val="bottom"/>
            <w:textDirection w:val="lrTb"/>
            <w:noWrap w:val="false"/>
          </w:tcPr>
          <w:p>
            <w:pPr>
              <w:pStyle w:val="850"/>
              <w:jc w:val="right"/>
              <w:rPr>
                <w:sz w:val="24"/>
                <w:szCs w:val="24"/>
              </w:rPr>
            </w:pPr>
            <w:r>
              <w:t xml:space="preserve">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4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2608" w:type="dxa"/>
            <w:vAlign w:val="bottom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t xml:space="preserve">Н.А. Максимова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72" w:type="dxa"/>
            <w:vAlign w:val="bottom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t xml:space="preserve">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51" w:type="dxa"/>
            <w:vAlign w:val="top"/>
            <w:textDirection w:val="lrTb"/>
            <w:noWrap w:val="false"/>
          </w:tcPr>
          <w:p>
            <w:pPr>
              <w:pStyle w:val="85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(подпись/расшифровка подписи)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</w:trPr>
        <w:tc>
          <w:tcPr>
            <w:tcW w:w="170" w:type="dxa"/>
            <w:vAlign w:val="bottom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97" w:type="dxa"/>
            <w:vAlign w:val="bottom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" w:type="dxa"/>
            <w:vAlign w:val="bottom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1985" w:type="dxa"/>
            <w:vAlign w:val="bottom"/>
            <w:textDirection w:val="lrTb"/>
            <w:noWrap w:val="false"/>
          </w:tcPr>
          <w:p>
            <w:pPr>
              <w:pStyle w:val="850"/>
              <w:jc w:val="center"/>
              <w:rPr>
                <w:sz w:val="24"/>
                <w:szCs w:val="24"/>
              </w:rPr>
            </w:pPr>
            <w:r>
              <w:t xml:space="preserve">943-</w:t>
            </w:r>
            <w:r>
              <w:t xml:space="preserve">061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397" w:type="dxa"/>
            <w:vAlign w:val="bottom"/>
            <w:textDirection w:val="lrTb"/>
            <w:noWrap w:val="false"/>
          </w:tcPr>
          <w:p>
            <w:pPr>
              <w:pStyle w:val="85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none" w:color="FFFFFF" w:sz="255" w:space="0"/>
            </w:tcBorders>
            <w:tcW w:w="369" w:type="dxa"/>
            <w:vAlign w:val="bottom"/>
            <w:textDirection w:val="lrTb"/>
            <w:noWrap w:val="false"/>
          </w:tcPr>
          <w:p>
            <w:pPr>
              <w:pStyle w:val="8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W w:w="397" w:type="dxa"/>
            <w:vAlign w:val="bottom"/>
            <w:textDirection w:val="lrTb"/>
            <w:noWrap w:val="false"/>
          </w:tcPr>
          <w:p>
            <w:pPr>
              <w:pStyle w:val="850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p>
      <w:r/>
      <w:r/>
    </w:p>
    <w:sectPr>
      <w:headerReference w:type="default" r:id="rId8"/>
      <w:footnotePr/>
      <w:endnotePr/>
      <w:type w:val="nextPage"/>
      <w:pgSz w:w="16838" w:h="11906" w:orient="landscape"/>
      <w:pgMar w:top="1701" w:right="1134" w:bottom="850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Verdana">
    <w:panose1 w:val="020B0604030504040204"/>
  </w:font>
  <w:font w:name="Courier New">
    <w:panose1 w:val="02070309020205020404"/>
  </w:font>
  <w:font w:name="MS Mincho">
    <w:panose1 w:val="02020503050405090304"/>
  </w:font>
  <w:font w:name="Tahoma">
    <w:panose1 w:val="020B0604030504040204"/>
  </w:font>
  <w:font w:name="Lucida Sans">
    <w:panose1 w:val="020B0502040504020204"/>
  </w:font>
  <w:font w:name="Liberation Sans">
    <w:panose1 w:val="020B0604020202020204"/>
  </w:font>
  <w:font w:name="Microsoft YaHei">
    <w:panose1 w:val="020B0503020203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7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zh-CN" w:bidi="ar-SA"/>
    </w:rPr>
  </w:style>
  <w:style w:type="character" w:styleId="851">
    <w:name w:val="Основной шрифт абзаца"/>
    <w:next w:val="851"/>
    <w:link w:val="850"/>
    <w:uiPriority w:val="1"/>
    <w:unhideWhenUsed/>
  </w:style>
  <w:style w:type="table" w:styleId="852">
    <w:name w:val="Обычная таблица"/>
    <w:next w:val="852"/>
    <w:link w:val="850"/>
    <w:uiPriority w:val="99"/>
    <w:semiHidden/>
    <w:unhideWhenUsed/>
    <w:tblPr/>
  </w:style>
  <w:style w:type="numbering" w:styleId="853">
    <w:name w:val="Нет списка"/>
    <w:next w:val="853"/>
    <w:link w:val="850"/>
    <w:uiPriority w:val="99"/>
    <w:semiHidden/>
    <w:unhideWhenUsed/>
  </w:style>
  <w:style w:type="character" w:styleId="854">
    <w:name w:val="Основной шрифт абзаца1"/>
    <w:next w:val="854"/>
    <w:link w:val="850"/>
  </w:style>
  <w:style w:type="character" w:styleId="855">
    <w:name w:val="ConsNormal Знак"/>
    <w:next w:val="855"/>
    <w:link w:val="850"/>
    <w:rPr>
      <w:rFonts w:ascii="Arial" w:hAnsi="Arial" w:eastAsia="Calibri" w:cs="Arial"/>
      <w:sz w:val="22"/>
      <w:szCs w:val="22"/>
      <w:lang w:val="ru-RU" w:bidi="ar-SA"/>
    </w:rPr>
  </w:style>
  <w:style w:type="character" w:styleId="856">
    <w:name w:val="i-text-lowcase"/>
    <w:next w:val="856"/>
    <w:link w:val="850"/>
    <w:rPr>
      <w:rFonts w:cs="Times New Roman"/>
    </w:rPr>
  </w:style>
  <w:style w:type="paragraph" w:styleId="857">
    <w:name w:val="Заголовок1"/>
    <w:basedOn w:val="850"/>
    <w:next w:val="858"/>
    <w:link w:val="85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858">
    <w:name w:val="Основной текст"/>
    <w:basedOn w:val="850"/>
    <w:next w:val="858"/>
    <w:link w:val="850"/>
    <w:pPr>
      <w:spacing w:before="0" w:after="140" w:line="276" w:lineRule="auto"/>
    </w:pPr>
  </w:style>
  <w:style w:type="paragraph" w:styleId="859">
    <w:name w:val="Список"/>
    <w:basedOn w:val="858"/>
    <w:next w:val="859"/>
    <w:link w:val="850"/>
    <w:rPr>
      <w:rFonts w:cs="Lucida Sans"/>
    </w:rPr>
  </w:style>
  <w:style w:type="paragraph" w:styleId="860">
    <w:name w:val="Название объекта"/>
    <w:basedOn w:val="850"/>
    <w:next w:val="860"/>
    <w:link w:val="850"/>
    <w:qFormat/>
    <w:pPr>
      <w:spacing w:before="120" w:after="120"/>
      <w:suppressLineNumbers/>
    </w:pPr>
    <w:rPr>
      <w:rFonts w:cs="Lucida Sans"/>
      <w:i/>
      <w:iCs/>
      <w:sz w:val="24"/>
      <w:szCs w:val="24"/>
    </w:rPr>
  </w:style>
  <w:style w:type="paragraph" w:styleId="861">
    <w:name w:val="Указатель1"/>
    <w:basedOn w:val="850"/>
    <w:next w:val="861"/>
    <w:link w:val="850"/>
    <w:pPr>
      <w:suppressLineNumbers/>
    </w:pPr>
    <w:rPr>
      <w:rFonts w:cs="Lucida Sans"/>
    </w:rPr>
  </w:style>
  <w:style w:type="paragraph" w:styleId="862">
    <w:name w:val="LO-Normal"/>
    <w:next w:val="862"/>
    <w:link w:val="850"/>
    <w:rPr>
      <w:sz w:val="24"/>
      <w:lang w:val="ru-RU" w:eastAsia="zh-CN" w:bidi="ar-SA"/>
    </w:rPr>
  </w:style>
  <w:style w:type="paragraph" w:styleId="863">
    <w:name w:val="Текст выноски"/>
    <w:basedOn w:val="850"/>
    <w:next w:val="863"/>
    <w:link w:val="850"/>
    <w:rPr>
      <w:rFonts w:ascii="Tahoma" w:hAnsi="Tahoma" w:cs="Tahoma"/>
      <w:sz w:val="16"/>
      <w:szCs w:val="16"/>
    </w:rPr>
  </w:style>
  <w:style w:type="paragraph" w:styleId="864">
    <w:name w:val="ConsNormal"/>
    <w:next w:val="864"/>
    <w:link w:val="850"/>
    <w:pPr>
      <w:ind w:right="19772" w:firstLine="720"/>
    </w:pPr>
    <w:rPr>
      <w:rFonts w:ascii="Arial" w:hAnsi="Arial" w:eastAsia="Calibri" w:cs="Arial"/>
      <w:sz w:val="22"/>
      <w:szCs w:val="22"/>
      <w:lang w:val="ru-RU" w:eastAsia="zh-CN" w:bidi="ar-SA"/>
    </w:rPr>
  </w:style>
  <w:style w:type="paragraph" w:styleId="865">
    <w:name w:val="ConsNonformat"/>
    <w:next w:val="865"/>
    <w:link w:val="850"/>
    <w:pPr>
      <w:ind w:right="19772"/>
    </w:pPr>
    <w:rPr>
      <w:rFonts w:ascii="Courier New" w:hAnsi="Courier New" w:cs="Courier New"/>
      <w:lang w:val="ru-RU" w:eastAsia="zh-CN" w:bidi="ar-SA"/>
    </w:rPr>
  </w:style>
  <w:style w:type="paragraph" w:styleId="866">
    <w:name w:val=" Знак Знак Знак Знак"/>
    <w:basedOn w:val="850"/>
    <w:next w:val="866"/>
    <w:link w:val="850"/>
    <w:rPr>
      <w:rFonts w:ascii="Verdana" w:hAnsi="Verdana" w:cs="Verdana"/>
      <w:lang w:val="en-US"/>
    </w:rPr>
  </w:style>
  <w:style w:type="paragraph" w:styleId="867">
    <w:name w:val="Содержимое таблицы"/>
    <w:basedOn w:val="850"/>
    <w:next w:val="867"/>
    <w:link w:val="850"/>
    <w:pPr>
      <w:suppressLineNumbers/>
    </w:pPr>
  </w:style>
  <w:style w:type="paragraph" w:styleId="868">
    <w:name w:val="Заголовок таблицы"/>
    <w:basedOn w:val="867"/>
    <w:next w:val="868"/>
    <w:link w:val="850"/>
    <w:pPr>
      <w:jc w:val="center"/>
      <w:suppressLineNumbers/>
    </w:pPr>
    <w:rPr>
      <w:b/>
      <w:bCs/>
    </w:rPr>
  </w:style>
  <w:style w:type="table" w:styleId="869">
    <w:name w:val="Сетка таблицы1"/>
    <w:basedOn w:val="852"/>
    <w:next w:val="870"/>
    <w:link w:val="850"/>
    <w:uiPriority w:val="59"/>
    <w:rPr>
      <w:rFonts w:ascii="Calibri" w:hAnsi="Calibri" w:cs="Times New Roman"/>
      <w:sz w:val="22"/>
      <w:szCs w:val="22"/>
    </w:rPr>
    <w:tblPr/>
  </w:style>
  <w:style w:type="table" w:styleId="870">
    <w:name w:val="Сетка таблицы"/>
    <w:basedOn w:val="852"/>
    <w:next w:val="870"/>
    <w:link w:val="850"/>
    <w:uiPriority w:val="39"/>
    <w:tblPr/>
  </w:style>
  <w:style w:type="table" w:styleId="871">
    <w:name w:val="Сетка таблицы11"/>
    <w:basedOn w:val="852"/>
    <w:next w:val="870"/>
    <w:link w:val="850"/>
    <w:uiPriority w:val="59"/>
    <w:rPr>
      <w:rFonts w:ascii="Calibri" w:hAnsi="Calibri" w:cs="Times New Roman"/>
      <w:sz w:val="22"/>
      <w:szCs w:val="22"/>
    </w:rPr>
    <w:tblPr/>
  </w:style>
  <w:style w:type="paragraph" w:styleId="872">
    <w:name w:val="Обычный1"/>
    <w:next w:val="872"/>
    <w:link w:val="850"/>
    <w:rPr>
      <w:sz w:val="24"/>
      <w:lang w:val="ru-RU" w:eastAsia="ar-SA" w:bidi="ar-SA"/>
    </w:rPr>
  </w:style>
  <w:style w:type="paragraph" w:styleId="873">
    <w:name w:val="Normal1"/>
    <w:next w:val="873"/>
    <w:link w:val="850"/>
    <w:rPr>
      <w:sz w:val="24"/>
      <w:lang w:val="ru-RU" w:eastAsia="ar-SA" w:bidi="ar-SA"/>
    </w:rPr>
  </w:style>
  <w:style w:type="paragraph" w:styleId="874">
    <w:name w:val="Верхний колонтитул"/>
    <w:basedOn w:val="850"/>
    <w:next w:val="874"/>
    <w:link w:val="87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5">
    <w:name w:val="Верхний колонтитул Знак"/>
    <w:next w:val="875"/>
    <w:link w:val="874"/>
    <w:uiPriority w:val="99"/>
    <w:rPr>
      <w:lang w:eastAsia="zh-CN"/>
    </w:rPr>
  </w:style>
  <w:style w:type="paragraph" w:styleId="876">
    <w:name w:val="Нижний колонтитул"/>
    <w:basedOn w:val="850"/>
    <w:next w:val="876"/>
    <w:link w:val="877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7">
    <w:name w:val="Нижний колонтитул Знак"/>
    <w:next w:val="877"/>
    <w:link w:val="876"/>
    <w:uiPriority w:val="99"/>
    <w:rPr>
      <w:lang w:eastAsia="zh-CN"/>
    </w:rPr>
  </w:style>
  <w:style w:type="character" w:styleId="878" w:default="1">
    <w:name w:val="Default Paragraph Font"/>
    <w:uiPriority w:val="1"/>
    <w:semiHidden/>
    <w:unhideWhenUsed/>
  </w:style>
  <w:style w:type="numbering" w:styleId="879" w:default="1">
    <w:name w:val="No List"/>
    <w:uiPriority w:val="99"/>
    <w:semiHidden/>
    <w:unhideWhenUsed/>
  </w:style>
  <w:style w:type="table" w:styleId="880" w:default="1">
    <w:name w:val="Normal Table"/>
    <w:uiPriority w:val="99"/>
    <w:semiHidden/>
    <w:unhideWhenUsed/>
    <w:tblPr/>
  </w:style>
  <w:style w:type="paragraph" w:styleId="881" w:customStyle="1">
    <w:name w:val="Body Text"/>
    <w:basedOn w:val="837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882" w:customStyle="1">
    <w:name w:val="Table Paragraph"/>
    <w:basedOn w:val="837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Начальная (максимальная) цена государственного контракта,</dc:title>
  <dc:creator>NickOn</dc:creator>
  <cp:revision>39</cp:revision>
  <dcterms:created xsi:type="dcterms:W3CDTF">2024-08-12T12:02:00Z</dcterms:created>
  <dcterms:modified xsi:type="dcterms:W3CDTF">2026-05-15T09:49:27Z</dcterms:modified>
  <cp:version>1048576</cp:version>
</cp:coreProperties>
</file>