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  112/26</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xml:space="preserve">«   »     </w:t>
      </w:r>
      <w:r>
        <w:rPr/>
        <w:t>августа</w:t>
      </w:r>
      <w:r>
        <w:rPr/>
        <w:t xml:space="preserve">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______________________________, в лице __________________, действующего на основании __________________, лицензия на право осуществления фармацевтической деятельности</w:t>
      </w:r>
      <w:r>
        <w:rPr>
          <w:color w:val="000000"/>
        </w:rPr>
        <w:t xml:space="preserve">  с другой стороны, именуемое в дальнейшем </w:t>
      </w:r>
      <w:r>
        <w:rPr>
          <w:b/>
          <w:bCs/>
          <w:color w:val="000000"/>
        </w:rPr>
        <w:t>«Поставщик»</w:t>
      </w:r>
      <w:r>
        <w:rPr>
          <w:color w:val="000000"/>
        </w:rPr>
        <w:t>,</w:t>
      </w:r>
      <w:r>
        <w:rPr>
          <w:color w:val="000000"/>
          <w:shd w:fill="FFFF00" w:val="clear"/>
        </w:rPr>
        <w:t xml:space="preserve"> ___________</w:t>
      </w:r>
      <w:r>
        <w:rPr>
          <w:color w:val="000000"/>
        </w:rPr>
        <w:t>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w:t>
      </w:r>
      <w:r>
        <w:rPr>
          <w:color w:val="000000"/>
        </w:rPr>
        <w:t>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spacing w:before="0" w:after="60"/>
        <w:jc w:val="center"/>
        <w:rPr>
          <w:color w:val="000000"/>
        </w:rPr>
      </w:pPr>
      <w:r>
        <w:rPr>
          <w:b/>
          <w:color w:val="000000"/>
        </w:rPr>
        <w:t xml:space="preserve">1. Предмет </w:t>
      </w:r>
      <w:r>
        <w:rPr>
          <w:b/>
          <w:bCs/>
          <w:color w:val="000000"/>
        </w:rPr>
        <w:t>контракта</w:t>
      </w:r>
    </w:p>
    <w:p>
      <w:pPr>
        <w:pStyle w:val="Normal"/>
        <w:numPr>
          <w:ilvl w:val="0"/>
          <w:numId w:val="0"/>
        </w:numPr>
        <w:ind w:hanging="0" w:left="0"/>
        <w:jc w:val="both"/>
        <w:outlineLvl w:val="0"/>
        <w:rPr>
          <w:b/>
          <w:bCs/>
        </w:rPr>
      </w:pPr>
      <w:r>
        <w:rPr>
          <w:color w:val="000000"/>
        </w:rPr>
        <w:t xml:space="preserve">1.1. Поставщик по настоящему </w:t>
      </w:r>
      <w:r>
        <w:rPr>
          <w:bCs/>
          <w:color w:val="000000"/>
        </w:rPr>
        <w:t>контракту</w:t>
      </w:r>
      <w:r>
        <w:rPr>
          <w:color w:val="000000"/>
        </w:rPr>
        <w:t xml:space="preserve"> обязуется поставить товар: </w:t>
      </w:r>
      <w:r>
        <w:rPr>
          <w:b/>
          <w:bCs/>
          <w:color w:val="000000"/>
        </w:rPr>
        <w:t xml:space="preserve">лекарственные препараты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контракта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w:t>
      </w:r>
      <w:r>
        <w:rPr>
          <w:rFonts w:eastAsia="Times New Roman"/>
          <w:lang w:val="ru-RU"/>
        </w:rPr>
        <w:t>по форме ОКУД 0510452 (Приказ Минфина от 15.04.2021 г. №61н) (далее -ф. 0510452)</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w:t>
      </w:r>
    </w:p>
    <w:p>
      <w:pPr>
        <w:pStyle w:val="BodyTextIndent"/>
        <w:tabs>
          <w:tab w:val="clear" w:pos="708"/>
          <w:tab w:val="left" w:pos="0" w:leader="none"/>
        </w:tabs>
        <w:ind w:hanging="0"/>
        <w:rPr>
          <w:lang w:val="ru-RU"/>
        </w:rPr>
      </w:pPr>
      <w:r>
        <w:rPr>
          <w:lang w:val="ru-RU"/>
        </w:rPr>
        <w:t>3.2.4 Требовать уплаты неустойки (штрафа, пени) в соответствии с разделом 8 контракта.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день передачи Товара,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b w:val="false"/>
          <w:bCs w:val="false"/>
        </w:rPr>
      </w:pPr>
      <w:r>
        <w:rPr>
          <w:b w:val="false"/>
          <w:bCs w:val="false"/>
        </w:rPr>
        <w:t xml:space="preserve">4.1. Поставка товара осуществляется </w:t>
      </w:r>
      <w:r>
        <w:rPr>
          <w:b w:val="false"/>
          <w:bCs w:val="false"/>
        </w:rPr>
        <w:t xml:space="preserve">в период </w:t>
      </w:r>
      <w:r>
        <w:rPr>
          <w:b w:val="false"/>
          <w:bCs w:val="false"/>
        </w:rPr>
        <w:t xml:space="preserve">с даты, </w:t>
      </w:r>
      <w:r>
        <w:rPr>
          <w:b w:val="false"/>
          <w:bCs w:val="false"/>
        </w:rPr>
        <w:t xml:space="preserve">следующей за датой заключения контракта по </w:t>
      </w:r>
      <w:r>
        <w:rPr>
          <w:b w:val="false"/>
          <w:bCs w:val="false"/>
        </w:rPr>
        <w:t xml:space="preserve"> 28.08.2026. </w:t>
      </w:r>
      <w:r>
        <w:rPr>
          <w:b w:val="false"/>
          <w:bCs w:val="false"/>
        </w:rPr>
        <w:t xml:space="preserve">Поставка всего объема товара осуществляется единовременно.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универсальный передаточный документ (УПД)  или  товарная накладная–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w:t>
      </w:r>
      <w:r>
        <w:rPr>
          <w:lang w:val="ru-RU"/>
        </w:rPr>
        <w:t>3 ( трех)</w:t>
      </w:r>
      <w:r>
        <w:rPr>
          <w:lang w:val="ru-RU"/>
        </w:rPr>
        <w:t xml:space="preserve"> рабоч</w:t>
      </w:r>
      <w:r>
        <w:rPr>
          <w:lang w:val="ru-RU"/>
        </w:rPr>
        <w:t>их</w:t>
      </w:r>
      <w:r>
        <w:rPr>
          <w:lang w:val="ru-RU"/>
        </w:rPr>
        <w:t xml:space="preserve"> дн</w:t>
      </w:r>
      <w:r>
        <w:rPr>
          <w:lang w:val="ru-RU"/>
        </w:rPr>
        <w:t>ей</w:t>
      </w:r>
      <w:r>
        <w:rPr>
          <w:lang w:val="ru-RU"/>
        </w:rPr>
        <w:t xml:space="preserve">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Заказчика по приемке в месте поставки Товара, указанном в п. 4.2 настоящего контракта.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реквизиты контракта;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 xml:space="preserve">_____ руб (_____ руб. ____ коп.) </w:t>
      </w:r>
      <w:r>
        <w:rPr/>
        <w:t>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контракта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контракт вступает в силу </w:t>
      </w:r>
      <w:r>
        <w:rPr>
          <w:rFonts w:eastAsia="Times New Roman" w:ascii="Times New Roman" w:hAnsi="Times New Roman"/>
          <w:b/>
          <w:bCs/>
          <w:sz w:val="20"/>
          <w:szCs w:val="20"/>
        </w:rPr>
        <w:t>с момента заключения и действует до 30.09.2026 г</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8563"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widowControl/>
              <w:spacing w:before="0" w:after="0"/>
              <w:contextualSpacing/>
              <w:jc w:val="both"/>
              <w:rPr>
                <w:b/>
                <w:sz w:val="22"/>
                <w:szCs w:val="22"/>
              </w:rPr>
            </w:pPr>
            <w:r>
              <w:rPr>
                <w:rFonts w:cs="Times New Roman"/>
                <w:b/>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650002, г. Кемерово, бульвар имени академика</w:t>
            </w:r>
          </w:p>
          <w:p>
            <w:pPr>
              <w:pStyle w:val="Normal"/>
              <w:widowControl/>
              <w:spacing w:before="0" w:after="0"/>
              <w:contextualSpacing/>
              <w:jc w:val="both"/>
              <w:rPr>
                <w:sz w:val="22"/>
                <w:szCs w:val="22"/>
              </w:rPr>
            </w:pPr>
            <w:r>
              <w:rPr>
                <w:rFonts w:cs="Times New Roman"/>
                <w:kern w:val="0"/>
                <w:sz w:val="22"/>
                <w:szCs w:val="22"/>
                <w:lang w:val="ru-RU" w:eastAsia="ru-RU" w:bidi="ar-SA"/>
              </w:rPr>
              <w:t>Л.С. Барбараша, стр. 6</w:t>
            </w:r>
          </w:p>
          <w:p>
            <w:pPr>
              <w:pStyle w:val="Normal"/>
              <w:widowControl/>
              <w:spacing w:before="0" w:after="0"/>
              <w:contextualSpacing/>
              <w:jc w:val="both"/>
              <w:rPr>
                <w:sz w:val="22"/>
                <w:szCs w:val="22"/>
              </w:rPr>
            </w:pPr>
            <w:r>
              <w:rPr>
                <w:rFonts w:cs="Times New Roman"/>
                <w:kern w:val="0"/>
                <w:sz w:val="22"/>
                <w:szCs w:val="22"/>
                <w:lang w:val="ru-RU" w:eastAsia="ru-RU" w:bidi="ar-SA"/>
              </w:rPr>
              <w:t>Тел.: +7 (3842) 64-33-08</w:t>
            </w:r>
          </w:p>
          <w:p>
            <w:pPr>
              <w:pStyle w:val="Normal"/>
              <w:widowControl/>
              <w:spacing w:before="0" w:after="0"/>
              <w:contextualSpacing/>
              <w:jc w:val="both"/>
              <w:rPr>
                <w:sz w:val="22"/>
                <w:szCs w:val="22"/>
              </w:rPr>
            </w:pPr>
            <w:r>
              <w:rPr>
                <w:rFonts w:cs="Times New Roman"/>
                <w:kern w:val="0"/>
                <w:sz w:val="22"/>
                <w:szCs w:val="22"/>
                <w:lang w:val="ru-RU" w:eastAsia="ru-RU" w:bidi="ar-SA"/>
              </w:rPr>
              <w:t>Банковские реквизиты:</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Заказчик:</w:t>
            </w:r>
          </w:p>
          <w:p>
            <w:pPr>
              <w:pStyle w:val="Normal"/>
              <w:widowControl/>
              <w:spacing w:before="0" w:after="0"/>
              <w:contextualSpacing/>
              <w:jc w:val="both"/>
              <w:rPr>
                <w:sz w:val="22"/>
                <w:szCs w:val="22"/>
              </w:rPr>
            </w:pPr>
            <w:r>
              <w:rPr>
                <w:rFonts w:cs="Times New Roman"/>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20396Х66880)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22396Х66880)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21396Х66880)</w:t>
            </w:r>
          </w:p>
          <w:p>
            <w:pPr>
              <w:pStyle w:val="Normal"/>
              <w:widowControl/>
              <w:spacing w:before="0" w:after="0"/>
              <w:contextualSpacing/>
              <w:jc w:val="both"/>
              <w:rPr>
                <w:sz w:val="22"/>
                <w:szCs w:val="22"/>
              </w:rPr>
            </w:pPr>
            <w:r>
              <w:rPr>
                <w:rFonts w:cs="Times New Roman"/>
                <w:kern w:val="0"/>
                <w:sz w:val="22"/>
                <w:szCs w:val="22"/>
                <w:lang w:val="ru-RU" w:eastAsia="ru-RU" w:bidi="ar-SA"/>
              </w:rPr>
              <w:t>ИНН 4205012290  КПП 420501001</w:t>
            </w:r>
          </w:p>
          <w:p>
            <w:pPr>
              <w:pStyle w:val="Normal"/>
              <w:widowControl/>
              <w:spacing w:before="0" w:after="0"/>
              <w:contextualSpacing/>
              <w:jc w:val="both"/>
              <w:rPr>
                <w:sz w:val="22"/>
                <w:szCs w:val="22"/>
              </w:rPr>
            </w:pPr>
            <w:r>
              <w:rPr>
                <w:rFonts w:cs="Times New Roman"/>
                <w:kern w:val="0"/>
                <w:sz w:val="22"/>
                <w:szCs w:val="22"/>
                <w:lang w:val="ru-RU" w:eastAsia="ru-RU" w:bidi="ar-SA"/>
              </w:rPr>
              <w:t>р/с 03214643000000015106</w:t>
            </w:r>
          </w:p>
          <w:p>
            <w:pPr>
              <w:pStyle w:val="Normal"/>
              <w:widowControl/>
              <w:spacing w:before="0" w:after="0"/>
              <w:contextualSpacing/>
              <w:jc w:val="both"/>
              <w:rPr>
                <w:sz w:val="22"/>
                <w:szCs w:val="22"/>
              </w:rPr>
            </w:pPr>
            <w:r>
              <w:rPr>
                <w:rFonts w:cs="Times New Roman"/>
                <w:kern w:val="0"/>
                <w:sz w:val="22"/>
                <w:szCs w:val="22"/>
                <w:lang w:val="ru-RU" w:eastAsia="ru-RU" w:bidi="ar-SA"/>
              </w:rPr>
              <w:t>ОКЦ № 1 СибГУ Банка России//УФК по Новосибирской области, г. Новосибирск</w:t>
            </w:r>
          </w:p>
          <w:p>
            <w:pPr>
              <w:pStyle w:val="Normal"/>
              <w:widowControl/>
              <w:spacing w:before="0" w:after="0"/>
              <w:contextualSpacing/>
              <w:jc w:val="both"/>
              <w:rPr>
                <w:sz w:val="22"/>
                <w:szCs w:val="22"/>
              </w:rPr>
            </w:pPr>
            <w:r>
              <w:rPr>
                <w:rFonts w:cs="Times New Roman"/>
                <w:kern w:val="0"/>
                <w:sz w:val="22"/>
                <w:szCs w:val="22"/>
                <w:lang w:val="ru-RU" w:eastAsia="ru-RU" w:bidi="ar-SA"/>
              </w:rPr>
              <w:t>БИК 015004950</w:t>
            </w:r>
          </w:p>
          <w:p>
            <w:pPr>
              <w:pStyle w:val="Normal"/>
              <w:widowControl/>
              <w:spacing w:before="0" w:after="0"/>
              <w:contextualSpacing/>
              <w:jc w:val="both"/>
              <w:rPr>
                <w:sz w:val="22"/>
                <w:szCs w:val="22"/>
              </w:rPr>
            </w:pPr>
            <w:r>
              <w:rPr>
                <w:rFonts w:cs="Times New Roman"/>
                <w:kern w:val="0"/>
                <w:sz w:val="22"/>
                <w:szCs w:val="22"/>
                <w:lang w:val="ru-RU" w:eastAsia="ru-RU" w:bidi="ar-SA"/>
              </w:rPr>
              <w:t>к/с 40102810445370000043</w:t>
            </w:r>
          </w:p>
          <w:p>
            <w:pPr>
              <w:pStyle w:val="Normal"/>
              <w:widowControl/>
              <w:spacing w:before="0" w:after="0"/>
              <w:contextualSpacing/>
              <w:jc w:val="both"/>
              <w:rPr>
                <w:sz w:val="22"/>
                <w:szCs w:val="22"/>
              </w:rPr>
            </w:pPr>
            <w:r>
              <w:rPr>
                <w:rFonts w:cs="Times New Roman"/>
                <w:kern w:val="0"/>
                <w:sz w:val="22"/>
                <w:szCs w:val="22"/>
                <w:lang w:val="ru-RU" w:eastAsia="ru-RU" w:bidi="ar-SA"/>
              </w:rPr>
              <w:t>КБК 00000000000000000130</w:t>
            </w:r>
          </w:p>
          <w:p>
            <w:pPr>
              <w:pStyle w:val="Normal"/>
              <w:widowControl/>
              <w:spacing w:before="0" w:after="0"/>
              <w:contextualSpacing/>
              <w:jc w:val="both"/>
              <w:rPr>
                <w:sz w:val="22"/>
                <w:szCs w:val="22"/>
              </w:rPr>
            </w:pPr>
            <w:r>
              <w:rPr>
                <w:rFonts w:cs="Times New Roman"/>
                <w:kern w:val="0"/>
                <w:sz w:val="22"/>
                <w:szCs w:val="22"/>
                <w:lang w:val="ru-RU" w:eastAsia="ru-RU" w:bidi="ar-SA"/>
              </w:rPr>
              <w:t>ОГРН 1034205024479</w:t>
            </w:r>
          </w:p>
          <w:p>
            <w:pPr>
              <w:pStyle w:val="Normal"/>
              <w:widowControl/>
              <w:spacing w:before="0" w:after="0"/>
              <w:contextualSpacing/>
              <w:jc w:val="both"/>
              <w:rPr>
                <w:sz w:val="22"/>
                <w:szCs w:val="22"/>
              </w:rPr>
            </w:pPr>
            <w:r>
              <w:rPr>
                <w:rFonts w:cs="Times New Roman"/>
                <w:kern w:val="0"/>
                <w:sz w:val="22"/>
                <w:szCs w:val="22"/>
                <w:lang w:val="ru-RU" w:eastAsia="ru-RU" w:bidi="ar-SA"/>
              </w:rPr>
              <w:t>ОКПО 55608705</w:t>
            </w:r>
          </w:p>
          <w:p>
            <w:pPr>
              <w:pStyle w:val="Normal"/>
              <w:widowControl/>
              <w:spacing w:before="0" w:after="0"/>
              <w:contextualSpacing/>
              <w:jc w:val="both"/>
              <w:rPr>
                <w:sz w:val="22"/>
                <w:szCs w:val="22"/>
              </w:rPr>
            </w:pPr>
            <w:r>
              <w:rPr>
                <w:rFonts w:cs="Times New Roman"/>
                <w:kern w:val="0"/>
                <w:sz w:val="22"/>
                <w:szCs w:val="22"/>
                <w:lang w:val="ru-RU" w:eastAsia="ru-RU" w:bidi="ar-SA"/>
              </w:rPr>
              <w:t>ОКАТО 32401000000</w:t>
            </w:r>
          </w:p>
          <w:p>
            <w:pPr>
              <w:pStyle w:val="Normal"/>
              <w:widowControl/>
              <w:spacing w:before="0" w:after="0"/>
              <w:contextualSpacing/>
              <w:jc w:val="both"/>
              <w:rPr>
                <w:sz w:val="22"/>
                <w:szCs w:val="22"/>
              </w:rPr>
            </w:pPr>
            <w:r>
              <w:rPr>
                <w:rFonts w:cs="Times New Roman"/>
                <w:kern w:val="0"/>
                <w:sz w:val="22"/>
                <w:szCs w:val="22"/>
                <w:lang w:val="ru-RU" w:eastAsia="ru-RU" w:bidi="ar-SA"/>
              </w:rPr>
              <w:t>ОКТМО 32701000</w:t>
            </w:r>
          </w:p>
          <w:p>
            <w:pPr>
              <w:pStyle w:val="Normal"/>
              <w:widowControl/>
              <w:spacing w:before="0" w:after="0"/>
              <w:contextualSpacing/>
              <w:jc w:val="both"/>
              <w:rPr>
                <w:sz w:val="22"/>
                <w:szCs w:val="22"/>
              </w:rPr>
            </w:pPr>
            <w:r>
              <w:rPr>
                <w:rFonts w:cs="Times New Roman"/>
                <w:kern w:val="0"/>
                <w:sz w:val="22"/>
                <w:szCs w:val="22"/>
                <w:lang w:val="ru-RU" w:eastAsia="ru-RU" w:bidi="ar-SA"/>
              </w:rPr>
              <w:t>ОКОГУ 1330612</w:t>
            </w:r>
          </w:p>
          <w:p>
            <w:pPr>
              <w:pStyle w:val="Normal"/>
              <w:widowControl/>
              <w:spacing w:before="0" w:after="0"/>
              <w:contextualSpacing/>
              <w:jc w:val="both"/>
              <w:rPr>
                <w:sz w:val="22"/>
                <w:szCs w:val="22"/>
              </w:rPr>
            </w:pPr>
            <w:r>
              <w:rPr>
                <w:rFonts w:cs="Times New Roman"/>
                <w:kern w:val="0"/>
                <w:sz w:val="22"/>
                <w:szCs w:val="22"/>
                <w:lang w:val="ru-RU" w:eastAsia="ru-RU" w:bidi="ar-SA"/>
              </w:rPr>
              <w:t>ОКФС 12</w:t>
            </w:r>
          </w:p>
          <w:p>
            <w:pPr>
              <w:pStyle w:val="Normal"/>
              <w:widowControl/>
              <w:spacing w:before="0" w:after="0"/>
              <w:contextualSpacing/>
              <w:jc w:val="both"/>
              <w:rPr>
                <w:sz w:val="22"/>
                <w:szCs w:val="22"/>
              </w:rPr>
            </w:pPr>
            <w:r>
              <w:rPr>
                <w:rFonts w:cs="Times New Roman"/>
                <w:kern w:val="0"/>
                <w:sz w:val="22"/>
                <w:szCs w:val="22"/>
                <w:lang w:val="ru-RU" w:eastAsia="ru-RU" w:bidi="ar-SA"/>
              </w:rPr>
              <w:t>ОКОПФ 75103</w:t>
            </w:r>
          </w:p>
          <w:p>
            <w:pPr>
              <w:pStyle w:val="Normal"/>
              <w:widowControl/>
              <w:spacing w:before="0" w:after="0"/>
              <w:contextualSpacing/>
              <w:jc w:val="both"/>
              <w:rPr>
                <w:sz w:val="22"/>
                <w:szCs w:val="22"/>
              </w:rPr>
            </w:pPr>
            <w:r>
              <w:rPr>
                <w:rFonts w:cs="Times New Roman"/>
                <w:kern w:val="0"/>
                <w:sz w:val="22"/>
                <w:szCs w:val="22"/>
                <w:lang w:val="ru-RU" w:eastAsia="ru-RU" w:bidi="ar-SA"/>
              </w:rPr>
              <w:t>тел. 8(3842)345394 доб. 6132</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Начальник отдела обеспечения</w:t>
            </w:r>
          </w:p>
          <w:p>
            <w:pPr>
              <w:pStyle w:val="Normal"/>
              <w:widowControl/>
              <w:spacing w:before="0" w:after="0"/>
              <w:contextualSpacing/>
              <w:jc w:val="both"/>
              <w:rPr>
                <w:sz w:val="22"/>
                <w:szCs w:val="22"/>
              </w:rPr>
            </w:pPr>
            <w:r>
              <w:rPr>
                <w:rFonts w:cs="Times New Roman"/>
                <w:kern w:val="0"/>
                <w:sz w:val="22"/>
                <w:szCs w:val="22"/>
                <w:lang w:val="ru-RU" w:eastAsia="ru-RU" w:bidi="ar-SA"/>
              </w:rPr>
              <w:t>лекарственными изделиями и</w:t>
            </w:r>
          </w:p>
          <w:p>
            <w:pPr>
              <w:pStyle w:val="Normal"/>
              <w:widowControl/>
              <w:spacing w:before="0" w:after="0"/>
              <w:contextualSpacing/>
              <w:jc w:val="both"/>
              <w:rPr>
                <w:sz w:val="22"/>
                <w:szCs w:val="22"/>
              </w:rPr>
            </w:pPr>
            <w:r>
              <w:rPr>
                <w:rFonts w:cs="Times New Roman"/>
                <w:kern w:val="0"/>
                <w:sz w:val="22"/>
                <w:szCs w:val="22"/>
                <w:lang w:val="ru-RU" w:eastAsia="ru-RU" w:bidi="ar-SA"/>
              </w:rPr>
              <w:t>медицинскими изделиями</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Ковжун Наталья Васильевна</w:t>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bCs/>
        </w:rPr>
        <w:t>№ 112/26</w:t>
      </w:r>
    </w:p>
    <w:p>
      <w:pPr>
        <w:pStyle w:val="Normal"/>
        <w:spacing w:before="0" w:after="60"/>
        <w:jc w:val="right"/>
        <w:rPr>
          <w:b/>
          <w:bCs/>
        </w:rPr>
      </w:pPr>
      <w:r>
        <w:rPr/>
        <w:t xml:space="preserve">                                                                                                                               </w:t>
      </w:r>
      <w:r>
        <w:rPr/>
        <w:t xml:space="preserve">от </w:t>
      </w:r>
      <w:r>
        <w:rPr>
          <w:rFonts w:eastAsia="Calibri"/>
          <w:lang w:eastAsia="en-US"/>
        </w:rPr>
        <w:t xml:space="preserve">«   »    </w:t>
      </w:r>
      <w:r>
        <w:rPr>
          <w:rFonts w:eastAsia="Calibri"/>
          <w:lang w:eastAsia="en-US"/>
        </w:rPr>
        <w:t>августа</w:t>
      </w:r>
      <w:r>
        <w:rPr>
          <w:rFonts w:eastAsia="Calibri"/>
          <w:lang w:eastAsia="en-US"/>
        </w:rPr>
        <w:t xml:space="preserve">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4100"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503"/>
        <w:gridCol w:w="2635"/>
        <w:gridCol w:w="3387"/>
        <w:gridCol w:w="1060"/>
        <w:gridCol w:w="1221"/>
        <w:gridCol w:w="1998"/>
        <w:gridCol w:w="1149"/>
        <w:gridCol w:w="1158"/>
        <w:gridCol w:w="987"/>
      </w:tblGrid>
      <w:tr>
        <w:trPr>
          <w:trHeight w:val="244" w:hRule="atLeast"/>
        </w:trPr>
        <w:tc>
          <w:tcPr>
            <w:tcW w:w="503"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2635"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3387" w:type="dxa"/>
            <w:tcBorders>
              <w:top w:val="single" w:sz="4" w:space="0" w:color="000000"/>
              <w:left w:val="single" w:sz="4" w:space="0" w:color="000000"/>
              <w:bottom w:val="single" w:sz="4" w:space="0" w:color="000000"/>
            </w:tcBorders>
          </w:tcPr>
          <w:p>
            <w:pPr>
              <w:pStyle w:val="Normal"/>
              <w:rPr>
                <w:lang w:eastAsia="zh-CN"/>
              </w:rPr>
            </w:pPr>
            <w:r>
              <w:rPr/>
              <w:t>Торговое наименование, лекарственная форма,  дозировка</w:t>
            </w:r>
            <w:r>
              <w:rPr>
                <w:lang w:eastAsia="zh-CN"/>
              </w:rPr>
              <w:t>, страна происхождения товара</w:t>
            </w:r>
          </w:p>
        </w:tc>
        <w:tc>
          <w:tcPr>
            <w:tcW w:w="1060"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1"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8"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49"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8"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987"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color w:val="000000"/>
                <w:lang w:val="en-US" w:eastAsia="zh-CN"/>
              </w:rPr>
              <w:t>1</w:t>
            </w:r>
          </w:p>
        </w:tc>
        <w:tc>
          <w:tcPr>
            <w:tcW w:w="2635"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ПИОБАКТЕРИОФАГ, РАСТВОР ДЛЯ ПРИЕМА ВНУТРЬ, МЕСТНОГО И НАРУЖНОГО ПРИМЕНЕНИЯ, ~</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Упаковка: флакон 20 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мл</w:t>
            </w:r>
          </w:p>
        </w:tc>
        <w:tc>
          <w:tcPr>
            <w:tcW w:w="1221"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4800</w:t>
            </w:r>
          </w:p>
        </w:tc>
        <w:tc>
          <w:tcPr>
            <w:tcW w:w="1998"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21.20.23.190-000013-1-00035-0000000000000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49" w:type="dxa"/>
            <w:tcBorders>
              <w:top w:val="single" w:sz="4" w:space="0" w:color="000000"/>
              <w:left w:val="single" w:sz="4" w:space="0" w:color="000000"/>
              <w:bottom w:val="single" w:sz="4" w:space="0" w:color="000000"/>
            </w:tcBorders>
          </w:tcPr>
          <w:p>
            <w:pPr>
              <w:pStyle w:val="Normal"/>
              <w:snapToGrid w:val="false"/>
              <w:rPr/>
            </w:pPr>
            <w:r>
              <w:rPr/>
            </w:r>
          </w:p>
        </w:tc>
        <w:tc>
          <w:tcPr>
            <w:tcW w:w="1158" w:type="dxa"/>
            <w:tcBorders>
              <w:top w:val="single" w:sz="4" w:space="0" w:color="000000"/>
              <w:left w:val="single" w:sz="4" w:space="0" w:color="000000"/>
              <w:bottom w:val="single" w:sz="4" w:space="0" w:color="000000"/>
            </w:tcBorders>
          </w:tcPr>
          <w:p>
            <w:pPr>
              <w:pStyle w:val="Normal"/>
              <w:snapToGrid w:val="false"/>
              <w:rPr/>
            </w:pPr>
            <w:r>
              <w:rPr/>
            </w:r>
          </w:p>
        </w:tc>
        <w:tc>
          <w:tcPr>
            <w:tcW w:w="987"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user4">
    <w:name w:val="Колонтитулы (user)"/>
    <w:basedOn w:val="Normal"/>
    <w:qFormat/>
    <w:pPr/>
    <w:rPr/>
  </w:style>
  <w:style w:type="paragraph" w:styleId="Style22">
    <w:name w:val="Колонтитулы"/>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customStyle="1">
    <w:name w:val="Содержимое врезки (user)"/>
    <w:basedOn w:val="Normal"/>
    <w:qFormat/>
    <w:pPr/>
    <w:rPr/>
  </w:style>
  <w:style w:type="paragraph" w:styleId="user6" w:customStyle="1">
    <w:name w:val="Содержимое таблицы (user)"/>
    <w:basedOn w:val="Normal"/>
    <w:qFormat/>
    <w:pPr>
      <w:widowControl w:val="false"/>
      <w:suppressLineNumbers/>
    </w:pPr>
    <w:rPr/>
  </w:style>
  <w:style w:type="paragraph" w:styleId="user7" w:customStyle="1">
    <w:name w:val="Заголовок таблицы (user)"/>
    <w:basedOn w:val="user6"/>
    <w:qFormat/>
    <w:pPr>
      <w:jc w:val="center"/>
    </w:pPr>
    <w:rPr>
      <w:b/>
      <w:bCs/>
    </w:rPr>
  </w:style>
  <w:style w:type="numbering" w:styleId="user8"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1453</TotalTime>
  <Application>LibreOffice/25.2.6.2$Linux_X86_64 LibreOffice_project/520$Build-2</Application>
  <AppVersion>15.0000</AppVersion>
  <Pages>7</Pages>
  <Words>3278</Words>
  <Characters>23785</Characters>
  <CharactersWithSpaces>27769</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2026-07-29T08:36:28Z</dcterms:modified>
  <cp:revision>66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