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/>
      </w:pPr>
      <w:r>
        <w:t xml:space="preserve"> </w:t>
      </w:r>
      <w:r>
        <w:t xml:space="preserve">(проект)</w:t>
      </w:r>
      <w:r/>
    </w:p>
    <w:p>
      <w:pPr>
        <w:pBdr/>
        <w:spacing/>
        <w:ind w:hanging="5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hanging="540"/>
        <w:jc w:val="center"/>
        <w:rPr>
          <w:b/>
        </w:rPr>
      </w:pPr>
      <w:r>
        <w:rPr>
          <w:b/>
        </w:rPr>
        <w:t xml:space="preserve">Государственный контракт №_____________</w:t>
      </w:r>
      <w:r>
        <w:rPr>
          <w:b/>
        </w:rPr>
      </w:r>
      <w:r>
        <w:rPr>
          <w:b/>
        </w:rPr>
      </w:r>
    </w:p>
    <w:p>
      <w:pPr>
        <w:pBdr/>
        <w:spacing/>
        <w:ind w:hanging="540"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Bdr/>
        <w:spacing w:line="240" w:lineRule="exact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14"/>
        <w:pBdr/>
        <w:tabs>
          <w:tab w:val="left" w:leader="none" w:pos="6521"/>
        </w:tabs>
        <w:spacing/>
        <w:ind w:right="-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Магадан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«__</w:t>
      </w:r>
      <w:r>
        <w:rPr>
          <w:b/>
          <w:sz w:val="24"/>
          <w:szCs w:val="24"/>
        </w:rPr>
        <w:t xml:space="preserve">_»_</w:t>
      </w:r>
      <w:r>
        <w:rPr>
          <w:b/>
          <w:sz w:val="24"/>
          <w:szCs w:val="24"/>
        </w:rPr>
        <w:t xml:space="preserve">___________20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240" w:lineRule="exact"/>
        <w:ind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</w:r>
      <w:r>
        <w:rPr>
          <w:b/>
          <w:bCs/>
        </w:rPr>
      </w:r>
    </w:p>
    <w:p>
      <w:pPr>
        <w:pStyle w:val="1006"/>
        <w:pBdr/>
        <w:spacing w:after="0" w:before="120"/>
        <w:ind/>
        <w:jc w:val="both"/>
        <w:rPr/>
      </w:pPr>
      <w:r>
        <w:rPr>
          <w:color w:val="000000"/>
        </w:rPr>
        <w:t xml:space="preserve">Управление Федеральной службы исполнения на</w:t>
      </w:r>
      <w:r>
        <w:rPr>
          <w:color w:val="000000"/>
        </w:rPr>
        <w:t xml:space="preserve">казаний по Магаданской области,</w:t>
      </w:r>
      <w:r>
        <w:rPr>
          <w:color w:val="000000"/>
        </w:rPr>
        <w:br/>
      </w:r>
      <w:r>
        <w:rPr>
          <w:color w:val="000000"/>
        </w:rPr>
        <w:t xml:space="preserve">от имени Российской Федерации, именуемое в дальнейшем «Государственный заказчик», внесенное в Единый государственный реестр юридических лиц за основным регистрационным номером 1024900950909, на основании свидетельства серии 49</w:t>
      </w:r>
      <w:r>
        <w:rPr>
          <w:color w:val="000000"/>
        </w:rPr>
        <w:br/>
      </w:r>
      <w:r>
        <w:rPr>
          <w:color w:val="000000"/>
        </w:rPr>
        <w:t xml:space="preserve">№ 000022953 от 06.04.2005, выданного МРИ ФНС Рос</w:t>
      </w:r>
      <w:r>
        <w:rPr>
          <w:color w:val="000000"/>
        </w:rPr>
        <w:t xml:space="preserve">сии № 1 по Магаданской области,</w:t>
      </w:r>
      <w:r>
        <w:rPr>
          <w:color w:val="000000"/>
        </w:rPr>
        <w:br/>
      </w:r>
      <w:r>
        <w:rPr>
          <w:color w:val="000000"/>
        </w:rPr>
        <w:t xml:space="preserve">в </w:t>
      </w:r>
      <w:r>
        <w:rPr>
          <w:color w:val="000000"/>
        </w:rPr>
        <w:t xml:space="preserve">лице</w:t>
      </w:r>
      <w:r>
        <w:t xml:space="preserve"> заместителя </w:t>
      </w:r>
      <w:r>
        <w:t xml:space="preserve">начальника Набеева Нияза Мансурович</w:t>
      </w:r>
      <w:r>
        <w:rPr>
          <w:color w:val="000000"/>
        </w:rPr>
        <w:t xml:space="preserve">а</w:t>
      </w:r>
      <w: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действующего</w:t>
      </w:r>
      <w:r>
        <w:rPr>
          <w:color w:val="000000"/>
        </w:rPr>
        <w:t xml:space="preserve"> </w:t>
      </w:r>
      <w:r>
        <w:rPr>
          <w:color w:val="000000"/>
        </w:rPr>
        <w:t xml:space="preserve">на основании доверенности от </w:t>
      </w:r>
      <w:r>
        <w:rPr>
          <w:color w:val="000000"/>
        </w:rPr>
        <w:t xml:space="preserve">____________</w:t>
      </w:r>
      <w:r>
        <w:rPr>
          <w:color w:val="000000"/>
        </w:rPr>
        <w:t xml:space="preserve"> № </w:t>
      </w:r>
      <w:r>
        <w:rPr>
          <w:color w:val="000000"/>
        </w:rPr>
        <w:t xml:space="preserve">________</w:t>
      </w:r>
      <w:r>
        <w:rPr>
          <w:color w:val="000000"/>
        </w:rPr>
        <w:t xml:space="preserve">,</w:t>
      </w:r>
      <w:r>
        <w:rPr>
          <w:color w:val="000000"/>
        </w:rPr>
        <w:t xml:space="preserve"> и ________</w:t>
      </w:r>
      <w:r>
        <w:rPr>
          <w:color w:val="000000"/>
        </w:rPr>
        <w:t xml:space="preserve">________</w:t>
      </w:r>
      <w:r>
        <w:rPr>
          <w:color w:val="000000"/>
        </w:rPr>
        <w:t xml:space="preserve">_,</w:t>
      </w:r>
      <w:r>
        <w:rPr>
          <w:color w:val="000000"/>
        </w:rPr>
        <w:br/>
      </w:r>
      <w:r>
        <w:rPr>
          <w:color w:val="000000"/>
        </w:rPr>
        <w:t xml:space="preserve">именуемое в дальнейшем «</w:t>
      </w:r>
      <w:r>
        <w:rPr>
          <w:color w:val="000000"/>
        </w:rPr>
        <w:t xml:space="preserve">Исполнитель</w:t>
      </w:r>
      <w:r>
        <w:rPr>
          <w:color w:val="000000"/>
        </w:rPr>
        <w:t xml:space="preserve">», внесенное в Единый государственный реестр юридических лиц за основным регистрационным номером _______, на основании св</w:t>
      </w:r>
      <w:r>
        <w:rPr>
          <w:color w:val="000000"/>
        </w:rPr>
        <w:t xml:space="preserve">идетельства серии ___ № ____ от __.__.____г., выданного ______, в лице ___________, действующего на основании ________, зарегистрированного _________, с другой стороны, в дальнейшем именуемые «Стороны», руководствуясь протоколом _____________ от ___.___.20</w:t>
      </w:r>
      <w:r>
        <w:rPr>
          <w:color w:val="000000"/>
        </w:rPr>
        <w:t xml:space="preserve">2</w:t>
      </w:r>
      <w:r>
        <w:rPr>
          <w:color w:val="000000"/>
        </w:rPr>
        <w:t xml:space="preserve">6</w:t>
      </w:r>
      <w:r>
        <w:rPr>
          <w:color w:val="000000"/>
        </w:rPr>
        <w:t xml:space="preserve"> № ___, заключили настоящий государственный контракт (далее - Контракт) о нижеследующем:</w:t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1. Предмет контракта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Bdr/>
        <w:tabs>
          <w:tab w:val="left" w:leader="none" w:pos="993"/>
        </w:tabs>
        <w:spacing/>
        <w:ind w:right="-6" w:firstLine="720"/>
        <w:jc w:val="both"/>
        <w:rPr/>
      </w:pPr>
      <w:r>
        <w:t xml:space="preserve">1.1. </w:t>
      </w:r>
      <w:r>
        <w:t xml:space="preserve">П</w:t>
      </w:r>
      <w:r>
        <w:t xml:space="preserve">о настоящему Контракту Испол</w:t>
      </w:r>
      <w:r>
        <w:t xml:space="preserve">нитель обязуется оказать услуги</w:t>
      </w:r>
      <w:r>
        <w:br/>
      </w:r>
      <w:r>
        <w:t xml:space="preserve">по предоставлению доступа к </w:t>
      </w:r>
      <w:r>
        <w:t xml:space="preserve">информационно-коммуникационной</w:t>
      </w:r>
      <w:r>
        <w:t xml:space="preserve"> </w:t>
      </w:r>
      <w:r>
        <w:t xml:space="preserve">сети </w:t>
      </w:r>
      <w:r>
        <w:t xml:space="preserve">И</w:t>
      </w:r>
      <w:r>
        <w:t xml:space="preserve">нтернет</w:t>
      </w:r>
      <w:r>
        <w:t xml:space="preserve"> (закупка товаров, </w:t>
      </w:r>
      <w:r>
        <w:t xml:space="preserve">работ, услуг в сфере информационно-коммуникационных технологий)</w:t>
      </w:r>
      <w:r>
        <w:t xml:space="preserve">,</w:t>
      </w:r>
      <w:r>
        <w:br/>
      </w:r>
      <w:r>
        <w:t xml:space="preserve">в соответствии с Техническим заданием (Приложе</w:t>
      </w:r>
      <w:r>
        <w:t xml:space="preserve">ние № 1 к настоящему Контракту)</w:t>
      </w:r>
      <w:r>
        <w:br/>
      </w:r>
      <w:r>
        <w:t xml:space="preserve">в объеме, указанном в Техническом задании, а Государственный заказчик обязуется принять и оплатить оказанные Исполнителем услуги.</w:t>
      </w:r>
      <w:r/>
    </w:p>
    <w:p>
      <w:pPr>
        <w:pBdr/>
        <w:tabs>
          <w:tab w:val="left" w:leader="none" w:pos="993"/>
        </w:tabs>
        <w:spacing w:after="240"/>
        <w:ind w:right="-6" w:firstLine="720"/>
        <w:jc w:val="both"/>
        <w:rPr/>
      </w:pPr>
      <w:r>
        <w:t xml:space="preserve">1.2. </w:t>
      </w:r>
      <w:r>
        <w:t xml:space="preserve">Идентификационный код закупки:</w:t>
      </w:r>
      <w:r>
        <w:t xml:space="preserve"> </w:t>
      </w:r>
      <w:r>
        <w:t xml:space="preserve">__________________________________.</w:t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2. Сроки и порядок оказания услуг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1051"/>
        <w:pBdr/>
        <w:spacing w:after="0" w:before="0"/>
        <w:ind w:right="7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2.1. «Исполнитель» обязуется оказать услуги по настоящему контракту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1051"/>
        <w:pBdr/>
        <w:spacing w:after="0" w:before="0"/>
        <w:ind w:right="7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ru-RU"/>
        </w:rPr>
        <w:t xml:space="preserve">- срок начала оказания услуг – с 01.05.2026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51"/>
        <w:pBdr/>
        <w:spacing w:before="0"/>
        <w:ind w:right="74"/>
        <w:jc w:val="both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- срок окончания оказания услу</w:t>
      </w:r>
      <w:r>
        <w:rPr>
          <w:rFonts w:ascii="Times New Roman" w:hAnsi="Times New Roman"/>
          <w:lang w:eastAsia="ru-RU"/>
        </w:rPr>
        <w:t xml:space="preserve">г - </w:t>
      </w:r>
      <w:r>
        <w:rPr>
          <w:rFonts w:ascii="Times New Roman" w:hAnsi="Times New Roman"/>
          <w:lang w:eastAsia="ru-RU"/>
        </w:rPr>
        <w:t xml:space="preserve">д</w:t>
      </w:r>
      <w:r>
        <w:rPr>
          <w:rFonts w:ascii="Times New Roman" w:hAnsi="Times New Roman"/>
          <w:lang w:eastAsia="ru-RU"/>
        </w:rPr>
        <w:t xml:space="preserve">о </w:t>
      </w:r>
      <w:r>
        <w:rPr>
          <w:rFonts w:ascii="Times New Roman" w:hAnsi="Times New Roman"/>
          <w:lang w:eastAsia="ru-RU"/>
        </w:rPr>
        <w:t xml:space="preserve">31.12.</w:t>
      </w:r>
      <w:r>
        <w:rPr>
          <w:rFonts w:ascii="Times New Roman" w:hAnsi="Times New Roman"/>
          <w:lang w:eastAsia="ru-RU"/>
        </w:rPr>
        <w:t xml:space="preserve">20</w:t>
      </w: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6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numPr>
          <w:ilvl w:val="0"/>
          <w:numId w:val="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Права и обязанности Сторон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3.1. Исполнитель обязан: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3.1.1. Оказывать Государственному заказчику услуги в соответствии с законодательством РФ, лицензиями, настоящим Контрактом.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3.1.2. Вести учет оказываемых услуг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Предоставлять услуги исключительно в пределах установленных лимитов бюджетных обязательств. Незамедлительно прекращать предоставление услуг при полном расходованииустановленных Контрактом лимитов бюджетных обязательств.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3.1.3. Устранять неисправности, препятствующие пользованию услугами, по заявке Государственного заказчика с учетом технических возможностей в сроки, установленные действующими нормативными актами, а неисправности, возникшие по вине Государственного заказчи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ка, устранять с учетом технических возможностей за дополнительную плату в соответствии</w:t>
      </w:r>
      <w:r>
        <w:rPr>
          <w:rFonts w:ascii="Times New Roman" w:hAnsi="Times New Roman" w:eastAsia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 действующими тарифами Исполнителя.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638"/>
          <w:tab w:val="left" w:leader="none" w:pos="10602"/>
        </w:tabs>
        <w:spacing w:after="0" w:before="0"/>
        <w:ind w:right="-30" w:firstLine="567" w:left="15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3.1.4. Исполнитель несет ответственность за сервисное, техническое обслуживание оборудования, линий связи и качество предоставляемых услуг только в границах зоны ответственности Исполнителя.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3.1.5. Извещать Государственного заказчика об изменении Исполнителем тарифов на услуги в сроки и в порядке, предусмотренные действующим законодательством и настоящим Контрактом.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160"/>
        </w:tabs>
        <w:spacing w:after="0" w:before="0"/>
        <w:ind w:right="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3.1.6.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Оформлять и направлять Государственному заказчику ежеквартально до 10 (десятого) числа месяца следующего за прошедшим кварталом, а также в случае расторжения настоящего контракта Акты сверки взаиморасчетов, а также ежемесячно Акты оказанных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услуг (далее именуемые – Акты).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3.2. Исполнитель имеет право: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3.2.1. В одностороннем порядке путем направления Государственному заказчику письменного уведомления вносить изменения в подп.8.2 п.8 настоящего Контракта, в срок не превышающий 10 (десять) календарных дней с даты введения в действие соответствующих изменен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3.2.2. Требовать от Государственного заказчика исполнения обязательств по настоящему Контракту, в т.ч. неисполненных перед Исполнителем денежных обязательств. Передавать (уступать) третьим лицам право требования исполнения денежных обязательств с представл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ением им необходимых для этого сведений об Государственном заказчике и его неисполненных денежных обязательствах, при этом не требуется согласие Государственного заказчика для передачи (уступки) другому лицу указанного права требования 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3.2.3. Приостанавливать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 с письменного согласия Государственного заказчика или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решению суда.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3.2.4. Приостанавливать оказание услуг при возникновении чрезвычайных ситуаций природного и техногенного характера, в соответствии со ст.66 Федерального закона «О связи».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3.2.5. Приостанавливать оказание услуг в случае нарушения Государственным заказчиком требований, связанных с оказанием этих услуг и установленных Федеральным законом  «О связи», иными нормативными правовыми актами и настоящим Контрактом, в том числе наруше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сроков оплаты оказанных Государственному заказчику услуг, до устранения нарушения или предоставления документов, подтверждающих оплату Исполнителю стоимости оказанных услуг. Приостановление оказания услуг производится Исполнителем с письменного согласи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Государственного заказчика или по решению суда. При этом сохраняется доступ к сети связи и возможность вызова Государственным заказчиком экстренных (оперативных) служб.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3.2.6. Требовать возмещения Государственным заказчиком убытков (в виде упущенной выгоды) за период вынужденного приостановления оказания услуги, возникшего из-за повреждений оборудования Исполнителя по вине Государственного заказчика, из расчета тарифа за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соответствующую услугу пропорционально времени приостановления ее оказания.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3.2.7. Предоставлять Государственному заказчику информацию, в том числе рекламного характера, об услугах Исполнителя, способах и условиях их предоставления и заказа в соответствии с требованиями действующего законодательства.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51"/>
        <w:pBdr/>
        <w:spacing w:after="0" w:before="0"/>
        <w:ind w:right="74"/>
        <w:jc w:val="lef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3.3. Государственный заказчик обязан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3.3.1. Оплачивать услуги в полном объеме и в сроки, определенные в настоящем Контракте, согласно действующим на момент оказания услуг тарифам Исполнителя. В случае возникновения риска увеличения цены Контракта, указанной в п. 1.4. Контракта, в связи с увел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ичением объема потребляемых услуг, инициировать расторжение Контракта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основании выставленных Опер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атором счетов.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3.3.2. Письменно уведомлять Исполнителя и направить в адрес Исполнителя 2 (два) экземпляра подписанного Дополнительного соглашения об изменении наименования юридического лица, юридического и почтового адреса Абонента в срок, не превышающий 60 календарных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ней с даты введения в действие соответствующих изменений. Письменно уведомить Исполнителя и направить в адрес Исполнителя 2 (два) экземпляра подписанного Дополнительного соглашения об изменении банковских реквизитов Государственного заказчика в течение 5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пяти) календарных дней с момента изменения. Уведомление производится по факсу, указанному в п.8.2. Контракта, с последующей доставкой оригинала уведомления Исполнителю. Уведомление должно быть подписано лицом, уполномоченным на внесение изменения в Контрак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переименования или реорганизации Государственного заказчика с сохранением правопреемства настоящий Контракт подлежит переоформлению в соответствии с разделительным балансом (передаточным актом), с взиманием платы в соответствии с Прейскурантом Исп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олнителя.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3.3.3. Извещать Исполнителя обо всех случаях перерывов связи в предоставляемых Государственному заказчику услугах.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3.3.4. Возвращать Исполнителю подписанные со своей стороны уполномоченными лицами оригиналы Актов в течение 10 (десяти) рабочих дней с момента получения. Копии Актов направляются Государственному заказчику Исполнителю по факсу, указанному в п.8.2. Контракт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а. В том случае если в течение 10 (десяти) рабочих дней со дня предоставления доступа к сети местной телефонной связи и (или) окончания Отчетного периода (месяц оказания услуг) Государственный заказчик не подписывает предоставленные Исполнителем Акты и не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предоставляет Исполнителю письменного мотивированного отказа в признании надлежащего исполнения обязательств Исполнителем, Государственный заказчик считается согласившимся с датой, объемом и качеством услуг, указанных в Актах. При этом Исполнитель вправе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ребовать оплату счетов на суммы, указанные в Актах, а Государственный заказчик обязан оплачивать эти счета в соответствии с условиями Контракта.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3.3.5. В рабочее время обеспечить беспрепятственный доступ работников Исполнителя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предъявивших соответствующее удостоверение, для выполнения работ, необходимых во исполнение настоящего Контракта, а также для проведения осмотра, ремонта и технического обслуживания средств, сооружений, линий связи в помещениях, находящихся во владении и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или) пользовании Государственного заказчика. В случае необходимости проведения работ по организации абонентской линии  обеспечить получение необходимых разрешений и согласований от владельца территории (помещения), на которой расположено оборудование Испол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нителя и (или) оборудование Государственного заказчика, на проведение работ по прокладке кабеля, строительству кабельной канализации и организации кабельного ввода, а также по размещению и электропитанию оборудования Исполнителя.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3.3.6. В случае одностороннего полного (частичного) отказа от услуг по настоящему Контракту письменно уведомить об этом Исполнителя, а также оплатить Исполнителю фактически понесенные расходы за предоставление доступа к сети местной связи и стоимость оказа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нных услуг в размере, предусмотренном действующими на момент их оказания тарифами Исполнителя. Оплата должна быть произведена в течение 5 рабочих дней с момента </w:t>
      </w:r>
      <w:r>
        <w:rPr>
          <w:rFonts w:ascii="Times New Roman" w:hAnsi="Times New Roman" w:eastAsia="Times New Roman" w:cs="Times New Roman"/>
          <w:color w:val="000000"/>
          <w:sz w:val="23"/>
        </w:rPr>
        <w:t xml:space="preserve">получения счета.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3.3.7. Не допускать самовольного  подключения к сети пользовательских (оконечных) 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 выделенными абонентскими номерами сверх количества, оговоренного в соответствующем Приложении к настоящему Контракту.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3.3.8. Не допускать использования средств связи для преднамеренного создания другим абонентам условий, затрудняющих пользование услугами, а также создания помех для нормального функционирования сети связи.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3.3.9.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IP-телефонии и т.п.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3.3.10. В соответствии с Федеральным законом от 07 августа 2001 года № 115-ФЗ «О противодействии легализации (отмыванию) доходов, полученных преступным путем, и финансированию терроризма» (далее — Федеральный закон № 115-ФЗ) Государственный заказчик, подпи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сывая Контракт, при наличии у него сведений о бенефициарных владельцах, подтверждает, что бенефициарные владельцы Государственного заказчика не являются должностными лицами публичных международных организаций; иностранными публичными должностными лицами,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сестрами, усыновителями и усыновленны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ми); лицами, замещающими (занимающими)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включенные в перечни должностей, определяемые Президентом Российской Федерации.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бенефициарные владельцы Государственного заказчика являются кем- либо из вышеперечисленных лиц, Государственный заказчик уведомляет Исполнителя о данном факте при заключении Контракта и сообщает Исполнителю более подробные сведения, касающиес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данного факта.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Помимо этого, при заключении Контракта Государственный заказчик предоставляет Исполнителю сведения о представителях, бенефициарных владельцах и выгодоприобретателях в следующем объеме: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физических лиц — фамилию, имя, а также отчество (если иное не вытекает из закона или национального обычая), гражданство, дату рождения, реквизиты документа, удостоверяющего личность (наименование, серия и номер документа, дата выдачи документ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а, наименование органа, выдавшего документ, и код подразделения (если имеется), данные миграционной карты (серия, номер карты, дата начала срока пребывания и дата окончания срока пребывания), данные документа, подтверждающего право иностранного гражданина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лица без гражданства на пребывание (проживание) в Российской Федерации (серия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сведения (адрес) о 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гистрации по месту жительства и о фактическом месте жительства (месте пребывания), идентификационный номер налогоплательщика (при его наличии);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юридических лиц — наименование (полное, сокращенное (если имеется) и наименование на иностранном языке (если имеется), организационно-правовая форма, идентификационный номер налогоплательщика или код иностранной организации, сведения о госуда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рственной регистрации: основной государственный регистрационный номер (для нерезидента — регистрационный номер в стране регистрации), серия и номер документа, подтверждающего государственную регистрацию, адрес (место нахождения), указанный в Едином государ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ственном реестре юридических лиц, место нахождения, указанное в учредительных документах, адрес (место нахождения) представительства, отделения, иного обособленного подразделения нерезидента на территории Российской Федерации либо сведения о регистрации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месту жительства и о фактическом месте жительства (месте пребывания) физического лица — уполномоченного представителя нерезидента на территории Российской Федерации (при наличии);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иностранной структуры без образования юридического лица — наименование,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ии) при регистрации (инкорпорации),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их аналоги), место ведения основной деятельно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сти, а 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(собственности), фамилию, имя, отчество (при наличии) (наименование) и адрес 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 жительства (места нахождения) учредителей и доверительного собственника (управляющего).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3.3.11. Государственный заказчик обязуется на регулярной основе, но не реже одного раза в год, обновлять и предоставлять Исполнителю сведения, подлежащие установлению при приеме на обслуживании, а в случае изменения таких сведений или возникновения у Испол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нителя сомнений в достоверности и точности предоставленной Государственным заказчиком информации, Государственный заказчик обязуется предоставить Исполнителю измененные сведения или информацию, подтверждающую действительность имеющихся у Исполнителя сведен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ий, в течение 7 (семи) рабочих дней с даты таких изменений или получения от Исполнителя соответствующего запроса. В случае непредставления Государственным заказчиком информации Исполнителю, информация по Государственному заказчику считается обновленной.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Положения пунктов 3.3.10. и 3.3.11, не применяются в случае, если ГО является лицом, указанным в подпункте 2 пункта 1 статьи 7 Федерального закона № 115-ФЗ, за исключением случаев направления уполномоченным органом запросов в соответствии с подпунктом 5 пу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нкта 1 статьи 7 Федерального закона № 115-ФЗ.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3.3.12.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  <w:t xml:space="preserve">Для проверки оказанных Исполнителем услуг, в части их соответствия условиям Контракта, Технического задания (приложение № 1, являющееся неотъемлемой частью настоящего Контракта) Государственный заказчик проводит экспертизу. Экспертиза оказанных Услуг, пров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  <w:t xml:space="preserve">одится Государственным заказчиком своими силами или к ее проведению могут привлекаться эксперты, экспертные организации.</w:t>
      </w:r>
      <w:r/>
      <w:r>
        <w:rPr>
          <w:rFonts w:ascii="Times New Roman" w:hAnsi="Times New Roman" w:eastAsia="Times New Roman" w:cs="Times New Roman"/>
          <w:color w:val="000000"/>
          <w:spacing w:val="-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3.3.13.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t xml:space="preserve">Направлять поставщику (подрядчику, исполнителю) требования об уплате неустоек (штрафов, пеней) в случае просрочки исполнения поставщиком (</w:t>
      </w:r>
      <w:r>
        <w:t xml:space="preserve">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контрактом.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bCs/>
          <w:highlight w:val="none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3.4 Цена контракта и порядок расчетов.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bCs/>
          <w:highlight w:val="none"/>
          <w:lang w:eastAsia="ru-RU"/>
        </w:rPr>
      </w:r>
    </w:p>
    <w:p>
      <w:pPr>
        <w:pBdr/>
        <w:spacing/>
        <w:ind w:firstLine="540"/>
        <w:jc w:val="both"/>
        <w:rPr>
          <w:b/>
        </w:rPr>
      </w:pPr>
      <w:r>
        <w:t xml:space="preserve">3.4.1. Цена настоящего Контракта составляет </w:t>
      </w:r>
      <w:r>
        <w:rPr>
          <w:b/>
        </w:rPr>
        <w:t xml:space="preserve">____</w:t>
      </w:r>
      <w:r>
        <w:rPr>
          <w:b/>
        </w:rPr>
        <w:t xml:space="preserve">__</w:t>
      </w:r>
      <w:r>
        <w:rPr>
          <w:b/>
        </w:rPr>
        <w:t xml:space="preserve">_____ (_____________________) рублей _____ копейки</w:t>
      </w:r>
      <w:r>
        <w:rPr>
          <w:b/>
        </w:rPr>
        <w:t xml:space="preserve"> </w:t>
      </w:r>
      <w:r>
        <w:rPr>
          <w:color w:val="000000"/>
        </w:rPr>
        <w:t xml:space="preserve">с учетом НДС (при наличии).</w:t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num" w:leader="none" w:pos="540"/>
        </w:tabs>
        <w:spacing/>
        <w:ind w:firstLine="567"/>
        <w:jc w:val="both"/>
        <w:rPr/>
      </w:pPr>
      <w:r>
        <w:t xml:space="preserve">Цена контракта будет уменьшена на сумму, подлежащей уплате заказчиком юридическому лицу или физическому ли</w:t>
      </w:r>
      <w:r>
        <w:t xml:space="preserve">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t xml:space="preserve">Российской Федерации о  налогах</w:t>
      </w:r>
      <w:r>
        <w:br/>
      </w:r>
      <w:r>
        <w:t xml:space="preserve">и сборах, такие налоги и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3.4.2. Цена Контракта включает в себя все расходы Исполнителя по предмету Контракта, </w:t>
      </w:r>
      <w:r>
        <w:rPr>
          <w:lang w:eastAsia="en-US"/>
        </w:rPr>
        <w:t xml:space="preserve">затраты на страхование, </w:t>
      </w:r>
      <w:r>
        <w:rPr>
          <w:lang w:eastAsia="en-US"/>
        </w:rPr>
        <w:t xml:space="preserve">уплату налогов, сборов и другие обязательные платежи.</w:t>
      </w:r>
      <w:r/>
    </w:p>
    <w:p>
      <w:pPr>
        <w:widowControl w:val="false"/>
        <w:pBdr/>
        <w:tabs>
          <w:tab w:val="num" w:leader="none" w:pos="540"/>
        </w:tabs>
        <w:spacing/>
        <w:ind w:firstLine="0"/>
        <w:jc w:val="both"/>
        <w:rPr/>
      </w:pPr>
      <w:r>
        <w:t xml:space="preserve">        3.4.</w:t>
      </w:r>
      <w:r>
        <w:t xml:space="preserve">3</w:t>
      </w:r>
      <w:r>
        <w:t xml:space="preserve">. Источник финансирования настоящего Контракта: федеральный бюджет</w:t>
      </w:r>
      <w:r>
        <w:br/>
      </w:r>
      <w:r>
        <w:t xml:space="preserve">на 20</w:t>
      </w:r>
      <w:r>
        <w:t xml:space="preserve">2</w:t>
      </w:r>
      <w:r>
        <w:t xml:space="preserve">6</w:t>
      </w:r>
      <w:r>
        <w:t xml:space="preserve"> год.</w:t>
      </w:r>
      <w:r/>
    </w:p>
    <w:p>
      <w:pPr>
        <w:pBdr/>
        <w:spacing/>
        <w:ind w:firstLine="567"/>
        <w:jc w:val="both"/>
        <w:rPr/>
      </w:pPr>
      <w:r>
        <w:t xml:space="preserve">3.</w:t>
      </w:r>
      <w:r>
        <w:t xml:space="preserve">4</w:t>
      </w:r>
      <w:r>
        <w:t xml:space="preserve">.4 Исполнитель не позднее 5 числа месяца, следующего за отчетным (отчетный месяц – месяц предоставлен</w:t>
      </w:r>
      <w:r>
        <w:t xml:space="preserve">ия услуги связи) предоставляет </w:t>
      </w:r>
      <w:r>
        <w:t xml:space="preserve">Государственному заказчику </w:t>
      </w:r>
      <w:r>
        <w:t xml:space="preserve">счёт, счет–фактуру и акт сдачи – приёма услуг связи</w:t>
      </w:r>
      <w:r>
        <w:t xml:space="preserve"> </w:t>
      </w:r>
      <w:r>
        <w:t xml:space="preserve">(приложение № 2 к Контракту)</w:t>
      </w:r>
      <w:r>
        <w:t xml:space="preserve">.</w:t>
      </w:r>
      <w:r>
        <w:t xml:space="preserve"> </w:t>
      </w:r>
      <w:r>
        <w:t xml:space="preserve">Отчетный период устанавливается</w:t>
      </w:r>
      <w:r>
        <w:t xml:space="preserve"> </w:t>
      </w:r>
      <w:r>
        <w:t xml:space="preserve">с первого до последнего числа (включительно) месяца оказания Исполнителем услуг, подлежащих оплате.</w:t>
      </w:r>
      <w:r/>
    </w:p>
    <w:p>
      <w:pPr>
        <w:pBdr/>
        <w:spacing/>
        <w:ind w:firstLine="567"/>
        <w:jc w:val="both"/>
        <w:rPr/>
      </w:pPr>
      <w:r>
        <w:t xml:space="preserve">Документы направляются </w:t>
      </w:r>
      <w:r>
        <w:t xml:space="preserve">Государственному з</w:t>
      </w:r>
      <w:r>
        <w:t xml:space="preserve">аказчику почтовой связью или нарочно.</w:t>
      </w:r>
      <w:r>
        <w:t xml:space="preserve"> Утеря, неполучение Государственный заказчиком выставленного Исполнителем</w:t>
      </w:r>
      <w:r>
        <w:t xml:space="preserve"> счета, счетов-фактур и Актов, </w:t>
      </w:r>
      <w:r>
        <w:t xml:space="preserve">в т.ч. в </w:t>
      </w:r>
      <w:r>
        <w:t xml:space="preserve">связи с невыполнением условий, </w:t>
      </w:r>
      <w:r>
        <w:t xml:space="preserve">не освобождает Государственного заказчика от обязанности своевременной оплаты услуг.</w:t>
      </w:r>
      <w:r/>
    </w:p>
    <w:p>
      <w:pPr>
        <w:pBdr/>
        <w:spacing/>
        <w:ind w:firstLine="567"/>
        <w:jc w:val="both"/>
        <w:rPr/>
      </w:pPr>
      <w:r>
        <w:t xml:space="preserve">3.</w:t>
      </w:r>
      <w:r>
        <w:t xml:space="preserve">4.5</w:t>
      </w:r>
      <w:r>
        <w:t xml:space="preserve">. </w:t>
      </w:r>
      <w:r>
        <w:t xml:space="preserve">Оплата услуг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Исполнителя, в следующем порядке: </w:t>
      </w:r>
      <w:r>
        <w:t xml:space="preserve">в течение </w:t>
      </w:r>
      <w:r>
        <w:t xml:space="preserve">7</w:t>
      </w:r>
      <w:r>
        <w:t xml:space="preserve"> рабочих</w:t>
      </w:r>
      <w:r>
        <w:t xml:space="preserve"> дней</w:t>
      </w:r>
      <w:r>
        <w:t xml:space="preserve"> с момента подписания Акта сдачи-приемки услуг. </w:t>
      </w:r>
      <w:r>
        <w:t xml:space="preserve">Порядок оплаты-последующий.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 xml:space="preserve">          3.4.</w:t>
      </w:r>
      <w:r>
        <w:t xml:space="preserve">6</w:t>
      </w:r>
      <w:r>
        <w:t xml:space="preserve">. Цен</w:t>
      </w:r>
      <w:r>
        <w:t xml:space="preserve">а Контракта является твердой и изменению не подлежит,</w:t>
      </w:r>
      <w:r>
        <w:t xml:space="preserve"> за исключением случаев, предусмотренных настоящим Контрактом.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 xml:space="preserve">3.</w:t>
      </w:r>
      <w:r>
        <w:t xml:space="preserve">7</w:t>
      </w:r>
      <w:r>
        <w:t xml:space="preserve">. Обязательства по оплате оказанных услуг связи считаются выполненными в день списания денежных средств со счетов Государственного заказчика.</w:t>
      </w:r>
      <w:r/>
    </w:p>
    <w:p>
      <w:pPr>
        <w:pBdr/>
        <w:spacing/>
        <w:ind w:firstLine="567"/>
        <w:jc w:val="both"/>
        <w:rPr/>
      </w:pPr>
      <w:r>
        <w:t xml:space="preserve">3.4.</w:t>
      </w:r>
      <w:r>
        <w:t xml:space="preserve">8</w:t>
      </w:r>
      <w:r>
        <w:t xml:space="preserve">. </w:t>
      </w:r>
      <w:r>
        <w:t xml:space="preserve">Счет на платеж з</w:t>
      </w:r>
      <w:r>
        <w:t xml:space="preserve">а декабрь 20</w:t>
      </w:r>
      <w:r>
        <w:t xml:space="preserve">2</w:t>
      </w:r>
      <w:r>
        <w:t xml:space="preserve">6</w:t>
      </w:r>
      <w:r>
        <w:t xml:space="preserve"> </w:t>
      </w:r>
      <w:r>
        <w:t xml:space="preserve">Исполнитель выставляет до 15 декабря 202</w:t>
      </w:r>
      <w:r>
        <w:t xml:space="preserve">6 </w:t>
      </w:r>
      <w:r>
        <w:t xml:space="preserve">года. При этом счет-фактура и подписанный со стороны Исполнителя Акт сдачи-приема услуг предоставляются Исполнителем до 15 января 202</w:t>
      </w:r>
      <w:r>
        <w:t xml:space="preserve">7</w:t>
      </w:r>
      <w:r>
        <w:t xml:space="preserve"> года.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</w:r>
      <w:r>
        <w:t xml:space="preserve">3.</w:t>
      </w:r>
      <w:r>
        <w:t xml:space="preserve">9</w:t>
      </w:r>
      <w:r>
        <w:t xml:space="preserve">.</w:t>
      </w:r>
      <w:r>
        <w:t xml:space="preserve"> </w:t>
      </w:r>
      <w:r>
        <w:t xml:space="preserve">Излишне оплаченные Государственным заказчиком суммы подлежат возврату либо учитываются при последующих расчетах.</w:t>
      </w:r>
      <w:r/>
    </w:p>
    <w:p>
      <w:pPr>
        <w:pBdr/>
        <w:shd w:val="clear" w:color="auto" w:fill="ffffff"/>
        <w:spacing/>
        <w:ind w:right="14" w:firstLine="567"/>
        <w:jc w:val="both"/>
        <w:rPr/>
      </w:pPr>
      <w:r>
        <w:t xml:space="preserve">3.4.1</w:t>
      </w:r>
      <w:r>
        <w:t xml:space="preserve">0</w:t>
      </w:r>
      <w:r>
        <w:t xml:space="preserve">.</w:t>
      </w:r>
      <w:r>
        <w:t xml:space="preserve"> </w:t>
      </w:r>
      <w:r>
        <w:t xml:space="preserve">Выставление счета-фактуры, счета, акта выполненных работ Исполните</w:t>
      </w:r>
      <w:r>
        <w:t xml:space="preserve">лем Государственным заказчиком </w:t>
      </w:r>
      <w:r>
        <w:t xml:space="preserve">производится в соответствии с налоговым законодательством РФ.</w:t>
      </w:r>
      <w:r/>
    </w:p>
    <w:p>
      <w:pPr>
        <w:pBdr/>
        <w:tabs>
          <w:tab w:val="left" w:leader="none" w:pos="-142"/>
        </w:tabs>
        <w:spacing/>
        <w:ind w:firstLine="567"/>
        <w:jc w:val="both"/>
        <w:rPr/>
      </w:pPr>
      <w:r>
        <w:t xml:space="preserve">3.4.1</w:t>
      </w:r>
      <w:r>
        <w:t xml:space="preserve">1</w:t>
      </w:r>
      <w:r>
        <w:t xml:space="preserve">. </w:t>
      </w:r>
      <w:r>
        <w:t xml:space="preserve">По мере необходимости, Стороны осуществляют сверку расчетов за оказанные Усл</w:t>
      </w:r>
      <w:r>
        <w:t xml:space="preserve">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с уведомлением</w:t>
      </w:r>
      <w:r>
        <w:t xml:space="preserve">. В течение 20 (двадцати) календарных дней с момента </w:t>
      </w:r>
      <w:r>
        <w:t xml:space="preserve">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3.4.1</w:t>
      </w:r>
      <w:r>
        <w:t xml:space="preserve">2</w:t>
      </w:r>
      <w:r>
        <w:t xml:space="preserve">. </w:t>
      </w:r>
      <w:r>
        <w:t xml:space="preserve">В случае если в течение 20 (двадцати) календарных дней с даты получения Акта сверки Сторона-Получатель не направл</w:t>
      </w:r>
      <w:r>
        <w:t xml:space="preserve">яет в адрес Стороны-Инициатора подписанный Акт сверки расчетов или мотивированные возражения по поводу достоверности содержащейся в ней информации, Акт сверки расчетов считается признанным Стороной-Получателем без расхождений в редакции Стороны-Инициатора.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3.4.1</w:t>
      </w:r>
      <w:r>
        <w:t xml:space="preserve">3</w:t>
      </w:r>
      <w:r>
        <w:t xml:space="preserve">. </w:t>
      </w:r>
      <w:r>
        <w:t xml:space="preserve">Обязательства по оплате оказанных услуг считаются выполненными в день списания денежных средств со счетов Государственного заказчика.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</w:t>
      </w:r>
      <w:r>
        <w:t xml:space="preserve">4.1</w:t>
      </w:r>
      <w:r>
        <w:t xml:space="preserve">4</w:t>
      </w:r>
      <w:r>
        <w:t xml:space="preserve">. </w:t>
      </w:r>
      <w:r>
        <w:t xml:space="preserve">При изменении тарифа</w:t>
      </w:r>
      <w:r>
        <w:t xml:space="preserve"> в течение периода, за который Государственный заказчиком уже была внесена плата за услуги Исполнителя перед введением указанных изменений, Исполнитель производит с Государственным заказчиком перерасчет с даты введения в действие соответствующих изменений.</w:t>
      </w:r>
      <w:r/>
    </w:p>
    <w:p>
      <w:pPr>
        <w:pBdr/>
        <w:tabs>
          <w:tab w:val="num" w:leader="none" w:pos="0"/>
        </w:tabs>
        <w:spacing/>
        <w:ind w:firstLine="567"/>
        <w:jc w:val="both"/>
        <w:rPr>
          <w:spacing w:val="-5"/>
        </w:rPr>
      </w:pPr>
      <w:r>
        <w:t xml:space="preserve">3.</w:t>
      </w:r>
      <w:r>
        <w:t xml:space="preserve">4.1</w:t>
      </w:r>
      <w:r>
        <w:t xml:space="preserve">5</w:t>
      </w:r>
      <w:r>
        <w:t xml:space="preserve">. </w:t>
      </w:r>
      <w:r>
        <w:rPr>
          <w:spacing w:val="-5"/>
        </w:rPr>
        <w:t xml:space="preserve">Для проверки оказанных Исполнителем услуг, в части их соответствия условиям Контракта, Технического задания (приложение № 1, являющееся неотъемлемой частью настоящего контракта) Гос</w:t>
      </w:r>
      <w:r>
        <w:rPr>
          <w:spacing w:val="-5"/>
        </w:rPr>
        <w:t xml:space="preserve">ударственный заказчик проводит экспертизу. Экспертиза оказанных Услуг, проводится Государственным заказчиком своими силами или к ее проведению могут привлекаться эксперты, экспертные организации. Расходы по проведению экспертизы возлагаются на Исполнителя.</w:t>
      </w:r>
      <w:r>
        <w:rPr>
          <w:spacing w:val="-5"/>
        </w:rPr>
      </w:r>
      <w:r>
        <w:rPr>
          <w:spacing w:val="-5"/>
        </w:rPr>
      </w:r>
    </w:p>
    <w:p>
      <w:pPr>
        <w:pBdr/>
        <w:spacing/>
        <w:ind w:firstLine="708"/>
        <w:jc w:val="both"/>
        <w:rPr>
          <w:color w:val="000000"/>
          <w:lang w:eastAsia="en-US"/>
        </w:rPr>
      </w:pPr>
      <w:r/>
      <w:bookmarkStart w:id="0" w:name="sub_9523"/>
      <w:r>
        <w:rPr>
          <w:color w:val="000000"/>
          <w:lang w:eastAsia="en-US"/>
        </w:rPr>
        <w:t xml:space="preserve">3.4.1</w:t>
      </w:r>
      <w:r>
        <w:rPr>
          <w:color w:val="000000"/>
          <w:lang w:eastAsia="en-US"/>
        </w:rPr>
        <w:t xml:space="preserve">6</w:t>
      </w:r>
      <w:r>
        <w:rPr>
          <w:color w:val="000000"/>
          <w:lang w:eastAsia="en-US"/>
        </w:rPr>
        <w:t xml:space="preserve">. </w:t>
      </w:r>
      <w:r>
        <w:t xml:space="preserve">Приёмка результата исполнения контракта осуществляется в порядке, установленном законодательством Российской Федерации и настоящим контрактом</w:t>
      </w:r>
      <w:r>
        <w:t xml:space="preserve"> </w:t>
      </w:r>
      <w:r>
        <w:t xml:space="preserve">и (или) </w:t>
      </w:r>
      <w:r>
        <w:t xml:space="preserve">в виде электронных документов, сформированных в единой информационной системе (далее – ЕИС) в электронной форме и подписанных электронной подписью</w:t>
      </w:r>
      <w:r>
        <w:rPr>
          <w:color w:val="000000"/>
          <w:lang w:eastAsia="en-US"/>
        </w:rPr>
        <w:t xml:space="preserve">.</w:t>
      </w:r>
      <w:bookmarkEnd w:id="0"/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Bdr/>
        <w:tabs>
          <w:tab w:val="left" w:leader="none" w:pos="1276"/>
          <w:tab w:val="left" w:leader="none" w:pos="4661"/>
        </w:tabs>
        <w:spacing/>
        <w:ind w:firstLine="680"/>
        <w:rPr>
          <w:sz w:val="25"/>
          <w:szCs w:val="25"/>
        </w:rPr>
      </w:pPr>
      <w:r>
        <w:rPr>
          <w:sz w:val="25"/>
          <w:szCs w:val="25"/>
        </w:rPr>
        <w:t xml:space="preserve">Без выше указанных документов приемка товара производиться не будет.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3.4.</w:t>
      </w:r>
      <w:r>
        <w:t xml:space="preserve">17</w:t>
      </w:r>
      <w:r>
        <w:t xml:space="preserve">. В случае организации электронного документооборота по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</w:t>
      </w:r>
      <w:r>
        <w:t xml:space="preserve">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Электронные документы, отправляемы</w:t>
      </w:r>
      <w:r>
        <w:t xml:space="preserve">е Стороной посредством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эквивалентны документам на бумажных носителях, заверенным соответствующими подписями.</w:t>
      </w:r>
      <w:r/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Стороны обязаны заблаговременно информировать друг друга о невозможно</w:t>
      </w:r>
      <w:r>
        <w:t xml:space="preserve">сти обмена документами в электронном виде, подписанными ЭЦП, в случаях технического сбоя внутренних систем Сторон. В этом случае в период действия такого сбоя, Стороны производят обмен документами на бумажном носителе подписанных собственноручной подписью.</w:t>
      </w:r>
      <w:r/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  <w:r/>
    </w:p>
    <w:p>
      <w:pPr>
        <w:pBdr/>
        <w:tabs>
          <w:tab w:val="num" w:leader="none" w:pos="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4. Ответственность Сторон. Условия изменения и расторжения Контракта.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num" w:leader="none" w:pos="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Прочие условия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567"/>
        <w:jc w:val="both"/>
        <w:rPr>
          <w:color w:val="ff0000"/>
        </w:rPr>
      </w:pPr>
      <w:r>
        <w:t xml:space="preserve">4.1.</w:t>
      </w:r>
      <w:r>
        <w:t xml:space="preserve">В случае просрочки исполнения Сторонами обязательств, предусмотренных Государственным контрактом, а также в случаях ненадлежащего исполнения </w:t>
      </w:r>
      <w:r>
        <w:t xml:space="preserve">Государственным заказчиком</w:t>
      </w:r>
      <w:r>
        <w:t xml:space="preserve">, неисполнения или ненадлежащего исполнения </w:t>
      </w:r>
      <w:r>
        <w:t xml:space="preserve">Исполнителем</w:t>
      </w:r>
      <w:r>
        <w:t xml:space="preserve"> обязательств размеры штрафа и пени определяются в соответствии </w:t>
      </w:r>
      <w:r>
        <w:t xml:space="preserve">со статьей 34 Федерального закона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30 августа 2017 г. № 1042 "Об утверждении Правил опр</w:t>
      </w:r>
      <w: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4.2.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4.3. Неустойка по Контракту выплачивается только на основании обоснованного письменного требования Стороны.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случае просрочки исполнения Государственным заказчиком обязательств, пре</w:t>
      </w:r>
      <w:r>
        <w:rPr>
          <w:bCs/>
          <w:iCs/>
        </w:rPr>
        <w:t xml:space="preserve">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 Пеня начисляется за каждый день </w:t>
      </w:r>
      <w:r>
        <w:rPr>
          <w:bCs/>
          <w:iCs/>
        </w:rPr>
        <w:t xml:space="preserve">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hyperlink r:id="rId12" w:tooltip="consultantplus://offline/ref=FD8FBD3DF6CEA3F4A5C30E2B90F192AA493E52BEEB340553B3C13076A8804A6018E094827D9349781B97A825C28AC88614523DFC7D3A16P3K3A" w:history="1">
        <w:r>
          <w:rPr>
            <w:rStyle w:val="1009"/>
            <w:bCs/>
            <w:iCs/>
          </w:rPr>
          <w:t xml:space="preserve">ключевой ставки</w:t>
        </w:r>
      </w:hyperlink>
      <w:r>
        <w:rPr>
          <w:bCs/>
          <w:iCs/>
        </w:rPr>
        <w:t xml:space="preserve"> Центрального банка РФ от не уплаченной в срок суммы. 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3 Правил, утвержденных постановлением Правительства РФ от 30.08.2017 № 1042, за каждый факт неисполнения или ненадлежащего </w:t>
      </w:r>
      <w:r>
        <w:rPr>
          <w:bCs/>
          <w:iCs/>
        </w:rPr>
        <w:t xml:space="preserve">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в размере 10% цены Контракта (этапа) в случае, если цена Контракта (этапа)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в размере 5% цены Контракта (этапа) в случае, если цена Контракта (этапа) составляет от 3 млн. рублей до 50 млн. рублей (включительно).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5 Правил, утвержденных постановлением Правительства РФ от 30.08.2017 № 1042, за каждый факт неисполнения или ненадлежащего исполнения Исполнителем обязательств, предусмотренных Контрактом, заключенным </w:t>
      </w:r>
      <w:r>
        <w:rPr>
          <w:bCs/>
          <w:iCs/>
        </w:rPr>
        <w:br/>
      </w:r>
      <w:r>
        <w:rPr>
          <w:bCs/>
          <w:iCs/>
        </w:rPr>
        <w:t xml:space="preserve">с победителем закупки (или с иным участником закупки), предложившим наиболее высокую цену за право заключения Контракта,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в случае, если цена Контракта не превышает начальную НМЦК: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- 10% НМЦК,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- 5% НМЦК,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в случае, если цена Контракта превышает НМЦК: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- 10% цены Контракта,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- 5% цены Контракта, если цена Контракта составляет от 3 млн. рублей до 50 млн. рублей.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6 Правил, утвержденных пос</w:t>
      </w:r>
      <w:r>
        <w:rPr>
          <w:bCs/>
          <w:iCs/>
        </w:rPr>
        <w:t xml:space="preserve">тановлением Правительства РФ от 30.08.2017 № 1042,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1000,00 рублей,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5000,00 рублей,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9 Правил, утвержденных постановлением Правител</w:t>
      </w:r>
      <w:r>
        <w:rPr>
          <w:bCs/>
          <w:iCs/>
        </w:rPr>
        <w:t xml:space="preserve">ьства РФ от 30.08.2017 № 1042,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1000,00 рублей, если цена контракта не превышает 3 млн. рублей (включительно);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5000,00 рублей,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9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Уплата пени, штрафа и возмещение убытков не освобождает Стороны</w:t>
      </w:r>
      <w:r>
        <w:rPr>
          <w:bCs/>
          <w:iCs/>
        </w:rPr>
        <w:br/>
        <w:t xml:space="preserve">от обязанности выполнения обязательств по настоящему Контракту.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10</w:t>
      </w:r>
      <w:r>
        <w:rPr>
          <w:bCs/>
          <w:iCs/>
        </w:rPr>
        <w:t xml:space="preserve">. При расторжении Контракта в связи с односторонним отказом стороны Контракта от</w:t>
      </w:r>
      <w:r>
        <w:rPr>
          <w:bCs/>
          <w:iCs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11</w:t>
      </w:r>
      <w:r>
        <w:rPr>
          <w:bCs/>
          <w:iCs/>
        </w:rPr>
        <w:t xml:space="preserve">. Исполнитель не несет ответственности за содержание информации, передаваемой Государственный заказчиком по сетям электросвязи.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.1</w:t>
      </w:r>
      <w:r>
        <w:rPr>
          <w:bCs/>
          <w:iCs/>
        </w:rPr>
        <w:t xml:space="preserve">2</w:t>
      </w:r>
      <w:r>
        <w:rPr>
          <w:bCs/>
          <w:iCs/>
        </w:rPr>
        <w:t xml:space="preserve">. Стороны несут ответственность за несоблюдение условий</w:t>
      </w:r>
      <w:r>
        <w:rPr>
          <w:bCs/>
          <w:iCs/>
        </w:rPr>
        <w:br/>
        <w:t xml:space="preserve">о конфиденциальности в случаях, предусмотренных действующим законодательством.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/>
      <w:bookmarkStart w:id="1" w:name="_Hlk164851556"/>
      <w:r>
        <w:rPr>
          <w:bCs/>
          <w:iCs/>
        </w:rPr>
        <w:t xml:space="preserve">4.13</w:t>
      </w:r>
      <w:r>
        <w:rPr>
          <w:bCs/>
          <w:iCs/>
        </w:rPr>
        <w:t xml:space="preserve">. Общая сумма начисленной неустойки (штрафов, пени) за неисполнение или ненадлежащее исполнение Исполнителем, Государственным заказчиком обязательств, предусмотренных Контрактом, не может превышать цену Контракта.</w:t>
      </w:r>
      <w:bookmarkEnd w:id="1"/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</w:t>
      </w:r>
      <w:r>
        <w:rPr>
          <w:bCs/>
          <w:iCs/>
        </w:rPr>
        <w:t xml:space="preserve">14</w:t>
      </w:r>
      <w:r>
        <w:rPr>
          <w:bCs/>
          <w:iCs/>
        </w:rPr>
        <w:t xml:space="preserve">. В случае несвоевременного выполнения </w:t>
      </w:r>
      <w:r>
        <w:rPr>
          <w:bCs/>
          <w:iCs/>
        </w:rPr>
        <w:t xml:space="preserve">Исполнителем</w:t>
      </w:r>
      <w:r>
        <w:rPr>
          <w:bCs/>
          <w:iCs/>
        </w:rPr>
        <w:t xml:space="preserve"> обязательств, предусмотренных в Контракте, </w:t>
      </w:r>
      <w:r>
        <w:rPr>
          <w:bCs/>
          <w:iCs/>
        </w:rPr>
        <w:t xml:space="preserve">Исполнитель</w:t>
      </w:r>
      <w:r>
        <w:rPr>
          <w:bCs/>
          <w:iCs/>
        </w:rPr>
        <w:t xml:space="preserve"> обязуется выплатить </w:t>
      </w:r>
      <w:r>
        <w:rPr>
          <w:bCs/>
          <w:iCs/>
        </w:rPr>
        <w:t xml:space="preserve">Государственному заказчику</w:t>
      </w:r>
      <w:r>
        <w:rPr>
          <w:bCs/>
          <w:iCs/>
        </w:rPr>
        <w:t xml:space="preserve"> пени.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Пеня начисляется за каждый день просрочки исполнения </w:t>
      </w:r>
      <w:r>
        <w:rPr>
          <w:bCs/>
          <w:iCs/>
        </w:rPr>
        <w:t xml:space="preserve">Исполнителем</w:t>
      </w:r>
      <w:r>
        <w:rPr>
          <w:bCs/>
          <w:iCs/>
        </w:rPr>
        <w:t xml:space="preserve"> обязател</w:t>
      </w:r>
      <w:r>
        <w:rPr>
          <w:bCs/>
          <w:iCs/>
        </w:rPr>
        <w:t xml:space="preserve">ьства, предусмотренного Контрактом, в размере 1/300 действующей на дату уплаты пени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4.</w:t>
      </w:r>
      <w:r>
        <w:rPr>
          <w:color w:val="000000"/>
        </w:rPr>
        <w:t xml:space="preserve">15</w:t>
      </w:r>
      <w:r>
        <w:rPr>
          <w:color w:val="000000"/>
        </w:rPr>
        <w:t xml:space="preserve">. Сторона, для которой в связи с названными обстоятельствами создалась невозможность выполнения своих обязательств по Контракту, в трехдневный срок письменно извещает другую Сторону о наступлении таких обстоятельств</w:t>
      </w:r>
      <w:r>
        <w:t xml:space="preserve">.</w:t>
      </w:r>
      <w:r>
        <w:t xml:space="preserve">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6. Все споры и разногласия, которые могут возникнуть из настоящего Контрак</w:t>
      </w:r>
      <w:r>
        <w:t xml:space="preserve">та или в связи с ним, Стороны рассматривают предварительно в претензионном порядке. </w:t>
      </w:r>
      <w:r>
        <w:t xml:space="preserve">Срок рассмотрения претензии – 7 рабочих дней с момента ее получения.</w:t>
      </w:r>
      <w:r/>
    </w:p>
    <w:p>
      <w:pPr>
        <w:pBdr/>
        <w:spacing/>
        <w:ind w:firstLine="567"/>
        <w:jc w:val="both"/>
        <w:rPr/>
      </w:pPr>
      <w:r>
        <w:t xml:space="preserve">В случае если споры и разногласия не урегулированы в претензионном порядке в сроки, определенные в настоящем пункте, </w:t>
      </w:r>
      <w:r>
        <w:t xml:space="preserve">Стороны передают их на рассмотрение в Арбитражный суд Магаданской области в порядке, установленном законодательством Российской Федерации</w:t>
      </w:r>
      <w:r>
        <w:t xml:space="preserve">. </w:t>
      </w:r>
      <w:r/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7. Если иное не предусмотрено законом или настоящим Контрактом Стороны освобождаются от ответственности за нару</w:t>
      </w:r>
      <w:r>
        <w:t xml:space="preserve">шение обязательств по настоящему Контракту, если надлежащее исполнение оказалось невозможным вследствие непреодолимой силы. Стороны несут ответственность за несоблюдение условий о конфиденциальности в случаях, предусмотренных действующим законодательством.</w:t>
      </w:r>
      <w:r/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8. При подписании настоящего Контракта </w:t>
      </w:r>
      <w:r>
        <w:t xml:space="preserve">Государственный заказчик</w:t>
      </w:r>
      <w:r>
        <w:t xml:space="preserve"> ознакомлен </w:t>
      </w:r>
      <w:r>
        <w:br/>
      </w:r>
      <w:r>
        <w:t xml:space="preserve">с действующими тарифами </w:t>
      </w:r>
      <w:r>
        <w:t xml:space="preserve">Исполнителя</w:t>
      </w:r>
      <w:r>
        <w:t xml:space="preserve"> и согласен с их применением при оказании </w:t>
      </w:r>
      <w:r>
        <w:t xml:space="preserve">Исполнителем</w:t>
      </w:r>
      <w:r>
        <w:t xml:space="preserve"> услуг. Тарифы </w:t>
      </w:r>
      <w:r>
        <w:t xml:space="preserve">Исполнителя</w:t>
      </w:r>
      <w:r>
        <w:t xml:space="preserve"> на услуги размещены на сайте </w:t>
      </w:r>
      <w:r>
        <w:t xml:space="preserve">Исполнителя</w:t>
      </w:r>
      <w:r>
        <w:t xml:space="preserve">, являющемся зарегистрированным средством массовой информации, по адресу, указанному </w:t>
      </w:r>
      <w:r>
        <w:br/>
      </w:r>
      <w:r>
        <w:t xml:space="preserve">в п.8.2. настоящего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19. Изменение существенных условий Контракта допускается по соглашению сторон. Все изменения и дополнения к настоящему Контракту действительны, если они оформлены </w:t>
      </w:r>
      <w:r>
        <w:br/>
      </w:r>
      <w:r>
        <w:t xml:space="preserve">в письменной форме и подписаны обеими Сторонами, за исключением изменений </w:t>
      </w:r>
      <w:r>
        <w:br/>
      </w:r>
      <w:r>
        <w:t xml:space="preserve">и дополнений, осуществляемых Сторонами в одностороннем порядке в соответствии </w:t>
      </w:r>
      <w:r>
        <w:br/>
      </w:r>
      <w:r>
        <w:t xml:space="preserve">с настоящим Контрактом или законодательством РФ. </w:t>
      </w:r>
      <w:r/>
    </w:p>
    <w:p>
      <w:pPr>
        <w:pBdr/>
        <w:spacing/>
        <w:ind w:firstLine="567"/>
        <w:jc w:val="both"/>
        <w:rPr/>
      </w:pPr>
      <w:r>
        <w:t xml:space="preserve">Изменения и дополнения к настоящему Контракту вносятся путем подписания Дополнительных соглашений к настоящему Контракту. </w:t>
      </w:r>
      <w:r/>
    </w:p>
    <w:p>
      <w:pPr>
        <w:pBdr/>
        <w:spacing/>
        <w:ind w:firstLine="567"/>
        <w:jc w:val="both"/>
        <w:rPr/>
      </w:pPr>
      <w:r>
        <w:t xml:space="preserve">Изменения и дополнения в ранее подписанные Дополнительные соглашения </w:t>
      </w:r>
      <w:r>
        <w:br/>
      </w:r>
      <w:r>
        <w:t xml:space="preserve">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соглашений, если в Дополнительных соглашениях не указан иной порядок внесения изменений </w:t>
      </w:r>
      <w:r>
        <w:br/>
      </w:r>
      <w:r>
        <w:t xml:space="preserve">и дополнений.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20</w:t>
      </w:r>
      <w:r>
        <w:t xml:space="preserve">. Настоящий Контракт всту</w:t>
      </w:r>
      <w:r>
        <w:rPr>
          <w:highlight w:val="white"/>
        </w:rPr>
        <w:t xml:space="preserve">пает в силу с 01.05.2026 до полного исполнения Сторонами своих обязательств по нему, в части оказания у</w:t>
      </w:r>
      <w:r>
        <w:rPr>
          <w:highlight w:val="white"/>
        </w:rPr>
        <w:t xml:space="preserve">с</w:t>
      </w:r>
      <w:r>
        <w:t xml:space="preserve">луг </w:t>
      </w:r>
      <w:r>
        <w:rPr>
          <w:b/>
        </w:rPr>
        <w:t xml:space="preserve">Контракт действует с </w:t>
      </w:r>
      <w:r>
        <w:rPr>
          <w:b/>
        </w:rPr>
        <w:t xml:space="preserve">________ </w:t>
      </w:r>
      <w:r>
        <w:rPr>
          <w:b/>
        </w:rPr>
        <w:t xml:space="preserve">202</w:t>
      </w:r>
      <w:r>
        <w:rPr>
          <w:b/>
        </w:rPr>
        <w:t xml:space="preserve">6</w:t>
      </w:r>
      <w:r>
        <w:rPr>
          <w:b/>
        </w:rPr>
        <w:t xml:space="preserve"> года по 31 декабря 202</w:t>
      </w:r>
      <w:r>
        <w:rPr>
          <w:b/>
        </w:rPr>
        <w:t xml:space="preserve">6</w:t>
      </w:r>
      <w:r>
        <w:rPr>
          <w:b/>
        </w:rPr>
        <w:t xml:space="preserve"> года,</w:t>
      </w:r>
      <w:r>
        <w:t xml:space="preserve"> за исключением предусмотренных действующим законодательством случаев расторжения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21</w:t>
      </w:r>
      <w:r>
        <w:t xml:space="preserve">. Досрочное расторжение настоящего Контракта допускается по решению суда, по соглашению Сторон или в связи с односторонним отказом одной из Стороны настоящего Контракта от его исполнения в случаях, предусмотренных гражданским законодательством.  </w:t>
      </w:r>
      <w:r/>
    </w:p>
    <w:p>
      <w:pPr>
        <w:pBdr/>
        <w:spacing/>
        <w:ind w:firstLine="567"/>
        <w:jc w:val="both"/>
        <w:rPr/>
      </w:pPr>
      <w:r>
        <w:t xml:space="preserve">В случае принятия Государственным заказчиком предусмотренного частью </w:t>
      </w:r>
      <w:r>
        <w:t xml:space="preserve">9 статьи 95 Федерального закона №44-ФЗ от 05.04.2013   решения об одностороннем отказе от исполнения контракта,  такое решение передается лицу, имеющему право действовать от имени Государственного заказчика, лично под расписку или направляется Исполнителю </w:t>
      </w:r>
      <w:r>
        <w:br/>
        <w:t xml:space="preserve">с соблюдением требований законодательства Российской Федерации о государственной тайн</w:t>
      </w:r>
      <w:r>
        <w:t xml:space="preserve">е по адресу Исполнителя, указанному в контракте.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считается:</w:t>
      </w:r>
      <w:r/>
    </w:p>
    <w:p>
      <w:pPr>
        <w:pBdr/>
        <w:spacing/>
        <w:ind w:firstLine="567"/>
        <w:jc w:val="both"/>
        <w:rPr/>
      </w:pPr>
      <w:r>
        <w:t xml:space="preserve">1) дата, указанная ли</w:t>
      </w:r>
      <w:r>
        <w:t xml:space="preserve">цом, имеющим право действовать от имени Государственного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  <w:r/>
    </w:p>
    <w:p>
      <w:pPr>
        <w:pBdr/>
        <w:spacing/>
        <w:ind w:firstLine="567"/>
        <w:jc w:val="both"/>
        <w:rPr/>
      </w:pPr>
      <w:r>
        <w:t xml:space="preserve">2) дата получения Государственным заказчиком подтверждения о вручении Исполнителю заказного письма, предусмотренного настоящей частью, либо да</w:t>
      </w:r>
      <w:r>
        <w:t xml:space="preserve">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  <w:r/>
    </w:p>
    <w:p>
      <w:pPr>
        <w:pBdr/>
        <w:spacing/>
        <w:ind w:firstLine="567"/>
        <w:jc w:val="both"/>
        <w:rPr/>
      </w:pPr>
      <w:r>
        <w:t xml:space="preserve">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</w:t>
      </w:r>
      <w:r>
        <w:br/>
        <w:t xml:space="preserve">от исполнения контракта.</w:t>
      </w:r>
      <w:r/>
    </w:p>
    <w:p>
      <w:pPr>
        <w:pBdr/>
        <w:spacing/>
        <w:ind w:firstLine="567"/>
        <w:jc w:val="both"/>
        <w:rPr/>
      </w:pPr>
      <w:r>
        <w:t xml:space="preserve">В случае принятия Исполнителем предусмотренного частью 19 статьи 95 Федеральн</w:t>
      </w:r>
      <w:r>
        <w:t xml:space="preserve">ого закона №44-ФЗ от 05.04.2013 решения об одностороннем отказе от исполнения контракта, такое решение передается лицу, имеющему право действовать от имени Государственного заказчика, лично под расписку или направляется заказчику по почте заказным письмом </w:t>
      </w:r>
      <w:r>
        <w:br/>
        <w:t xml:space="preserve">с уведомлением о вручен</w:t>
      </w:r>
      <w:r>
        <w:t xml:space="preserve">ии по адресу заказчика, указанному в контракте. Выполнение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контракта. Датой такого надлежащего уведомления считается:</w:t>
      </w:r>
      <w:r/>
    </w:p>
    <w:p>
      <w:pPr>
        <w:pBdr/>
        <w:spacing/>
        <w:ind w:firstLine="567"/>
        <w:jc w:val="both"/>
        <w:rPr/>
      </w:pPr>
      <w:r>
        <w:t xml:space="preserve">1) дата, указанная лицом, имеющим пр</w:t>
      </w:r>
      <w:r>
        <w:t xml:space="preserve">аво действовать от имени Государственного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Государственного заказчика, лично под расписку);</w:t>
      </w:r>
      <w:r/>
    </w:p>
    <w:p>
      <w:pPr>
        <w:pBdr/>
        <w:spacing/>
        <w:ind w:firstLine="567"/>
        <w:jc w:val="both"/>
        <w:rPr/>
      </w:pPr>
      <w:r>
        <w:t xml:space="preserve">2) дата получения Исполнителем подтверждения о вручении Государственному заказчику заказного письма, предусмотренного настоящей частью, либо дата получения Испо</w:t>
      </w:r>
      <w:r>
        <w:t xml:space="preserve">лнителем информации об отсутствии Государственного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  <w:r/>
    </w:p>
    <w:p>
      <w:pPr>
        <w:pBdr/>
        <w:spacing/>
        <w:ind w:firstLine="567"/>
        <w:jc w:val="both"/>
        <w:rPr/>
      </w:pPr>
      <w:r>
        <w:t xml:space="preserve">Решение Исполнителя об одностороннем отказе от исполнения контракта вступает </w:t>
      </w:r>
      <w:r>
        <w:br/>
        <w:t xml:space="preserve">в силу и контракт считается расторгнутым через десять дней с даты надлежащего </w:t>
      </w:r>
      <w:r>
        <w:t xml:space="preserve">уведомления Исполнителем Государственного заказчика об одностороннем отказе от исполнения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24</w:t>
      </w:r>
      <w:r>
        <w:t xml:space="preserve">.Во всем остальном, что не урегулировано Контрактом, Стороны руководствуются действующим законодательством, в т.ч. Федеральным законом «О связи» № 126-ФЗ от 07.07.2003 г, Правилами оказания услуг связи и иными нормативными правовыми актами.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25</w:t>
      </w:r>
      <w:r>
        <w:t xml:space="preserve">. Контракт составлен в двух идентичных экземплярах, имеющих одинаковую юридическую силу.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widowControl w:val="false"/>
        <w:pBdr/>
        <w:spacing w:before="30" w:line="162" w:lineRule="exact"/>
        <w:ind/>
        <w:jc w:val="center"/>
        <w:rPr>
          <w:b/>
          <w:bCs/>
        </w:rPr>
      </w:pPr>
      <w:r>
        <w:rPr>
          <w:b/>
          <w:bCs/>
        </w:rPr>
        <w:t xml:space="preserve">5. Приложения и дополнения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 w:before="30"/>
        <w:ind w:firstLine="709"/>
        <w:jc w:val="both"/>
        <w:rPr>
          <w:bCs/>
          <w:color w:val="000000"/>
        </w:rPr>
      </w:pPr>
      <w:r>
        <w:rPr>
          <w:bCs/>
        </w:rPr>
        <w:t xml:space="preserve">5.1.</w:t>
      </w:r>
      <w:r>
        <w:rPr>
          <w:bCs/>
        </w:rPr>
        <w:t xml:space="preserve"> </w:t>
      </w:r>
      <w:r>
        <w:rPr>
          <w:bCs/>
          <w:color w:val="000000"/>
        </w:rPr>
        <w:t xml:space="preserve">Приложения к настоящему Контракту являются его неотъемлемой частью: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highlight w:val="none"/>
        </w:rPr>
      </w:pPr>
      <w:r>
        <w:tab/>
        <w:t xml:space="preserve">- </w:t>
      </w:r>
      <w:r>
        <w:t xml:space="preserve">Приложение 1</w:t>
      </w:r>
      <w:r>
        <w:t xml:space="preserve">: </w:t>
      </w:r>
      <w:r>
        <w:t xml:space="preserve">Техническое задание </w:t>
      </w:r>
      <w:r>
        <w:t xml:space="preserve">на оказание услуги по предоставлению доступа к информационно-коммуникационной сети интернет;</w:t>
      </w:r>
      <w:r>
        <w:rPr>
          <w:highlight w:val="none"/>
        </w:rPr>
      </w:r>
    </w:p>
    <w:p>
      <w:pPr>
        <w:pBdr/>
        <w:spacing/>
        <w:ind/>
        <w:jc w:val="both"/>
        <w:rPr/>
      </w:pPr>
      <w:r>
        <w:rPr>
          <w:highlight w:val="none"/>
        </w:rPr>
        <w:tab/>
        <w:t xml:space="preserve">- </w:t>
      </w:r>
      <w:r>
        <w:rPr>
          <w:highlight w:val="none"/>
        </w:rPr>
        <w:t xml:space="preserve">Приложение  2</w:t>
      </w:r>
      <w:r>
        <w:rPr>
          <w:highlight w:val="none"/>
        </w:rPr>
        <w:t xml:space="preserve">: </w:t>
      </w:r>
      <w:r>
        <w:rPr>
          <w:highlight w:val="none"/>
        </w:rPr>
        <w:t xml:space="preserve">АКТ </w:t>
      </w:r>
      <w:r>
        <w:rPr>
          <w:highlight w:val="none"/>
        </w:rPr>
        <w:t xml:space="preserve">сдачи-приема услуг</w:t>
      </w:r>
      <w:r>
        <w:t xml:space="preserve">.</w:t>
      </w:r>
      <w:r>
        <w:rPr>
          <w:highlight w:val="none"/>
        </w:rPr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2</w:t>
      </w:r>
      <w:r>
        <w:rPr>
          <w:b/>
        </w:rPr>
        <w:t xml:space="preserve">. </w:t>
      </w:r>
      <w:r>
        <w:rPr>
          <w:b/>
        </w:rPr>
        <w:t xml:space="preserve">Местонахождение</w:t>
      </w:r>
      <w:r>
        <w:rPr>
          <w:b/>
        </w:rPr>
        <w:t xml:space="preserve">, банковские реквизиты</w:t>
      </w:r>
      <w:r>
        <w:rPr>
          <w:b/>
        </w:rPr>
        <w:t xml:space="preserve"> и подписи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Сторон на момент заключения контракта.</w:t>
      </w:r>
      <w:r>
        <w:rPr>
          <w:b/>
        </w:rPr>
      </w:r>
      <w:r>
        <w:rPr>
          <w:b/>
        </w:rPr>
      </w:r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8.1 Государственный заказчик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Управление Федеральной службы исполнения наказаний по Магаданской области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Сокращенное название УФСИН России по Магаданской области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Юр.  адрес: 685000, г. Магадан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Пролетарская ул., 25/2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Фактический адрес: 685000, г. Магадан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Пролетарская ул., 25/2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ИНН 4909008188КПП 490901001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л/с 03471246950  УФК по Приморскому краю 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Казначейский счет 03211643000000012005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ЕКС 40102810545370000012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Банк: ОКЦ № 1 Д ГУ Банка России//УФК по Приморскому краю, г. Владивосток БИК 010507002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ОКПО 08555803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ОКТМО 44701000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Телефон/ факс: 4132 69-00-17/62-58-52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e-mail: ufsin@49.fsin.gov.ru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  <w:color w:val="000000"/>
          <w:spacing w:val="-2"/>
        </w:rPr>
        <w:t xml:space="preserve">Реквизиты для оплаты требований об уплате неустойки (штрафы, пени):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УФСИН России по Магаданской области</w:t>
      </w:r>
      <w:r/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ИНН 4909008188 КПП 490901001</w:t>
      </w:r>
      <w:r/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л/сч 04471246950 УФК по Магаданской области</w:t>
      </w:r>
      <w:r/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Казначейский счет 03100643000000014700</w:t>
      </w:r>
      <w:r/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Единый казначейский счет 40102810945370000040 ОКЦ №12 ДГУ Банка России // УФК по Магаданской области г. Магадан</w:t>
      </w:r>
      <w:r/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БИК 014442501</w:t>
      </w:r>
      <w:r/>
      <w:r/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КБК 320 116 07 01 001 9000 140</w:t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rPr/>
      </w:pPr>
      <w:r>
        <w:rPr>
          <w:b/>
          <w:bCs/>
        </w:rPr>
        <w:t xml:space="preserve">Исполнитель</w:t>
      </w:r>
      <w:r>
        <w:t xml:space="preserve">:</w:t>
      </w:r>
      <w:r>
        <w:t xml:space="preserve"> </w:t>
      </w:r>
      <w:r>
        <w:rPr>
          <w:b/>
          <w:bCs/>
        </w:rPr>
        <w:t xml:space="preserve">___________</w:t>
      </w:r>
      <w:r>
        <w:t xml:space="preserve">__________________________________________________________________</w:t>
      </w:r>
      <w:r/>
      <w:r/>
    </w:p>
    <w:p>
      <w:pPr>
        <w:pBdr/>
        <w:spacing w:line="264" w:lineRule="auto"/>
        <w:ind/>
        <w:jc w:val="center"/>
        <w:rPr/>
      </w:pPr>
      <w:r>
        <w:t xml:space="preserve">(полное наименование)</w:t>
      </w:r>
      <w:r/>
      <w:r/>
    </w:p>
    <w:p>
      <w:pPr>
        <w:pBdr/>
        <w:spacing w:line="264" w:lineRule="auto"/>
        <w:ind/>
        <w:rPr/>
      </w:pPr>
      <w:r>
        <w:t xml:space="preserve">_____________________________________________________________________________</w:t>
      </w:r>
      <w:r/>
      <w:r/>
    </w:p>
    <w:p>
      <w:pPr>
        <w:pBdr/>
        <w:spacing w:line="264" w:lineRule="auto"/>
        <w:ind/>
        <w:jc w:val="center"/>
        <w:rPr/>
      </w:pPr>
      <w:r>
        <w:t xml:space="preserve">(местонахождение, телефон)</w:t>
      </w:r>
      <w:r/>
      <w:r/>
    </w:p>
    <w:p>
      <w:pPr>
        <w:pBdr/>
        <w:spacing w:line="264" w:lineRule="auto"/>
        <w:ind/>
        <w:rPr/>
      </w:pPr>
      <w:r>
        <w:t xml:space="preserve">ИНН______________, КПП_______________, р/с __________________, ОКПО____________</w:t>
      </w:r>
      <w:r/>
      <w:r/>
    </w:p>
    <w:p>
      <w:pPr>
        <w:pBdr/>
        <w:spacing w:line="264" w:lineRule="auto"/>
        <w:ind/>
        <w:rPr/>
      </w:pPr>
      <w:r>
        <w:t xml:space="preserve">____________________________, к/с __________________, БИК_____________</w:t>
      </w:r>
      <w:r/>
      <w:r/>
    </w:p>
    <w:p>
      <w:pPr>
        <w:pBdr/>
        <w:spacing w:line="264" w:lineRule="auto"/>
        <w:ind w:firstLine="540"/>
        <w:rPr/>
      </w:pPr>
      <w:r>
        <w:t xml:space="preserve">(наименование банка)</w:t>
      </w:r>
      <w:r/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before="120" w:line="264" w:lineRule="auto"/>
        <w:ind/>
        <w:jc w:val="center"/>
        <w:rPr>
          <w:b/>
          <w:bCs/>
        </w:rPr>
      </w:pPr>
      <w:r>
        <w:rPr>
          <w:b/>
          <w:bCs/>
        </w:rPr>
        <w:t xml:space="preserve">12. Подписи сторон:</w:t>
      </w:r>
      <w:r>
        <w:rPr>
          <w:b/>
          <w:bCs/>
        </w:rPr>
      </w:r>
      <w:r>
        <w:rPr>
          <w:b/>
          <w:bCs/>
        </w:rPr>
      </w:r>
    </w:p>
    <w:tbl>
      <w:tblPr>
        <w:tblW w:w="9540" w:type="dxa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>
        <w:trPr>
          <w:trHeight w:val="239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Государственный заказчик</w:t>
            </w:r>
            <w:r/>
            <w:r/>
          </w:p>
        </w:tc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Исполнитель</w:t>
            </w:r>
            <w:r/>
            <w:r/>
          </w:p>
        </w:tc>
      </w:tr>
      <w:tr>
        <w:trPr>
          <w:trHeight w:val="1238"/>
        </w:trPr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Врио</w:t>
            </w:r>
            <w:r>
              <w:t xml:space="preserve"> н</w:t>
            </w:r>
            <w:r>
              <w:t xml:space="preserve">ачальник</w:t>
            </w:r>
            <w:r>
              <w:t xml:space="preserve">а</w:t>
            </w:r>
            <w:r>
              <w:br/>
            </w:r>
            <w:r>
              <w:t xml:space="preserve">УФСИН России</w:t>
            </w:r>
            <w:r>
              <w:t xml:space="preserve"> </w:t>
            </w:r>
            <w:r>
              <w:t xml:space="preserve">по Магаданской области</w:t>
            </w:r>
            <w:r/>
            <w:r/>
          </w:p>
          <w:p>
            <w:pPr>
              <w:pBdr/>
              <w:spacing w:before="240"/>
              <w:ind/>
              <w:jc w:val="center"/>
              <w:rPr/>
            </w:pPr>
            <w:r>
              <w:t xml:space="preserve">_______________</w:t>
            </w:r>
            <w:r>
              <w:t xml:space="preserve">Н.М. Набеев</w:t>
            </w:r>
            <w:r/>
            <w:r/>
          </w:p>
        </w:tc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before="240"/>
              <w:ind/>
              <w:jc w:val="center"/>
              <w:rPr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/>
            <w:r/>
          </w:p>
        </w:tc>
      </w:tr>
    </w:tbl>
    <w:p>
      <w:pPr>
        <w:pBdr/>
        <w:spacing/>
        <w:ind w:firstLine="1620"/>
        <w:rPr/>
      </w:pPr>
      <w:r>
        <w:t xml:space="preserve"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М.П.</w:t>
      </w:r>
      <w:r/>
      <w:r/>
    </w:p>
    <w:p>
      <w:pPr>
        <w:pBdr/>
        <w:spacing/>
        <w:ind/>
        <w:rPr/>
      </w:pPr>
      <w:r>
        <w:br w:type="page" w:clear="all"/>
      </w:r>
      <w:r/>
      <w:r/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rPr/>
      </w:pPr>
      <w:r>
        <w:rPr>
          <w:b/>
          <w:bCs/>
        </w:rPr>
        <w:t xml:space="preserve">Исполнитель</w:t>
      </w:r>
      <w:r>
        <w:t xml:space="preserve">:</w:t>
      </w:r>
      <w:r>
        <w:t xml:space="preserve"> </w:t>
      </w:r>
      <w:r>
        <w:rPr>
          <w:b/>
          <w:bCs/>
        </w:rPr>
        <w:t xml:space="preserve">___________</w:t>
      </w:r>
      <w:r>
        <w:t xml:space="preserve">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(полное наименование)</w:t>
      </w:r>
      <w:r/>
    </w:p>
    <w:p>
      <w:pPr>
        <w:pBdr/>
        <w:spacing w:line="264" w:lineRule="auto"/>
        <w:ind/>
        <w:rPr/>
      </w:pPr>
      <w:r>
        <w:t xml:space="preserve">_____________________________________________________________________________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(местонахождение, телефон)</w:t>
      </w:r>
      <w:r/>
    </w:p>
    <w:p>
      <w:pPr>
        <w:pBdr/>
        <w:spacing w:line="264" w:lineRule="auto"/>
        <w:ind/>
        <w:rPr/>
      </w:pPr>
      <w:r>
        <w:t xml:space="preserve">ИНН______________, КПП_______________, р/с __________________, ОКПО____________</w:t>
      </w:r>
      <w:r/>
    </w:p>
    <w:p>
      <w:pPr>
        <w:pBdr/>
        <w:spacing w:line="264" w:lineRule="auto"/>
        <w:ind/>
        <w:rPr/>
      </w:pPr>
      <w:r>
        <w:t xml:space="preserve">____________________________, к/с __________________, БИК_____________</w:t>
      </w:r>
      <w:r/>
    </w:p>
    <w:p>
      <w:pPr>
        <w:pBdr/>
        <w:spacing w:line="264" w:lineRule="auto"/>
        <w:ind w:firstLine="540"/>
        <w:rPr/>
      </w:pPr>
      <w:r>
        <w:t xml:space="preserve">(наименование банка)</w:t>
      </w:r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before="120" w:line="264" w:lineRule="auto"/>
        <w:ind/>
        <w:jc w:val="center"/>
        <w:rPr>
          <w:b/>
          <w:bCs/>
        </w:rPr>
      </w:pPr>
      <w:r>
        <w:rPr>
          <w:b/>
          <w:bCs/>
        </w:rPr>
        <w:t xml:space="preserve">12. Подписи сторон:</w:t>
      </w:r>
      <w:r>
        <w:rPr>
          <w:b/>
          <w:bCs/>
        </w:rPr>
      </w:r>
      <w:r>
        <w:rPr>
          <w:b/>
          <w:bCs/>
        </w:rPr>
      </w:r>
    </w:p>
    <w:tbl>
      <w:tblPr>
        <w:tblW w:w="9540" w:type="dxa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>
        <w:trPr>
          <w:trHeight w:val="239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Государственный заказчик</w:t>
            </w:r>
            <w:r/>
          </w:p>
        </w:tc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Исполнитель</w:t>
            </w:r>
            <w:r/>
          </w:p>
        </w:tc>
      </w:tr>
      <w:tr>
        <w:trPr>
          <w:trHeight w:val="1238"/>
        </w:trPr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Врио</w:t>
            </w:r>
            <w:r>
              <w:t xml:space="preserve"> н</w:t>
            </w:r>
            <w:r>
              <w:t xml:space="preserve">ачальник</w:t>
            </w:r>
            <w:r>
              <w:t xml:space="preserve">а</w:t>
            </w:r>
            <w:r>
              <w:br/>
            </w:r>
            <w:r>
              <w:t xml:space="preserve">УФСИН России</w:t>
            </w:r>
            <w:r>
              <w:t xml:space="preserve"> </w:t>
            </w:r>
            <w:r>
              <w:t xml:space="preserve">по Магаданской области</w:t>
            </w:r>
            <w:r/>
          </w:p>
          <w:p>
            <w:pPr>
              <w:pBdr/>
              <w:spacing w:before="240"/>
              <w:ind/>
              <w:jc w:val="center"/>
              <w:rPr/>
            </w:pPr>
            <w:r>
              <w:t xml:space="preserve">_______________</w:t>
            </w:r>
            <w:r>
              <w:t xml:space="preserve">Н.М. Набеев</w:t>
            </w:r>
            <w:r/>
          </w:p>
        </w:tc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before="240"/>
              <w:ind/>
              <w:jc w:val="center"/>
              <w:rPr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/>
          </w:p>
        </w:tc>
      </w:tr>
    </w:tbl>
    <w:p>
      <w:pPr>
        <w:pBdr/>
        <w:spacing/>
        <w:ind w:firstLine="1620"/>
        <w:rPr/>
      </w:pPr>
      <w:r>
        <w:t xml:space="preserve"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М.П.</w:t>
      </w:r>
      <w:r>
        <w:rPr>
          <w:color w:val="000000"/>
        </w:rPr>
      </w:r>
      <w:r/>
    </w:p>
    <w:p>
      <w:pPr>
        <w:pBdr/>
        <w:spacing/>
        <w:ind/>
        <w:rPr/>
      </w:pPr>
      <w:r>
        <w:br w:type="page" w:clear="all"/>
      </w:r>
      <w:r/>
    </w:p>
    <w:tbl>
      <w:tblPr>
        <w:tblW w:w="9498" w:type="dxa"/>
        <w:tblBorders/>
        <w:tblLook w:val="04A0" w:firstRow="1" w:lastRow="0" w:firstColumn="1" w:lastColumn="0" w:noHBand="0" w:noVBand="1"/>
      </w:tblPr>
      <w:tblGrid>
        <w:gridCol w:w="4395"/>
        <w:gridCol w:w="5103"/>
      </w:tblGrid>
      <w:tr>
        <w:trPr/>
        <w:tc>
          <w:tcPr>
            <w:shd w:val="clear" w:color="auto" w:fill="auto"/>
            <w:tcBorders/>
            <w:tcW w:w="439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Приложение 1</w:t>
            </w:r>
            <w:r/>
          </w:p>
          <w:p>
            <w:pPr>
              <w:pBdr/>
              <w:spacing/>
              <w:ind/>
              <w:rPr/>
            </w:pPr>
            <w:r>
              <w:t xml:space="preserve">к Государственному контракту №__________ </w:t>
            </w:r>
            <w:r/>
          </w:p>
          <w:p>
            <w:pPr>
              <w:pBdr/>
              <w:spacing/>
              <w:ind/>
              <w:rPr/>
            </w:pPr>
            <w:r>
              <w:t xml:space="preserve">от «____» _____________20</w:t>
            </w:r>
            <w:r>
              <w:t xml:space="preserve">__</w:t>
            </w:r>
            <w:r>
              <w:t xml:space="preserve"> г.</w:t>
            </w:r>
            <w:r/>
          </w:p>
          <w:p>
            <w:pPr>
              <w:pBdr/>
              <w:spacing/>
              <w:ind/>
              <w:rPr/>
            </w:pPr>
            <w:r>
              <w:t xml:space="preserve">(является неотъемлемой частью Контракта</w:t>
            </w:r>
            <w:r>
              <w:t xml:space="preserve">)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услуги по предоставлению доступа к </w:t>
      </w:r>
      <w:r>
        <w:rPr>
          <w:b/>
          <w:sz w:val="28"/>
          <w:szCs w:val="28"/>
        </w:rPr>
        <w:t xml:space="preserve">информационно-коммуникационной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сети </w:t>
      </w:r>
      <w:r>
        <w:rPr>
          <w:b/>
          <w:sz w:val="28"/>
          <w:szCs w:val="28"/>
        </w:rPr>
        <w:t xml:space="preserve">интернет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86"/>
        <w:pBdr/>
        <w:shd w:val="clear" w:color="auto" w:fill="auto"/>
        <w:spacing/>
        <w:ind w:firstLine="0" w:left="720"/>
        <w:jc w:val="center"/>
        <w:rPr/>
      </w:pPr>
      <w:r/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Последняя миля должна быть организована по наземным каналам связи (по проводным линиям связи, ВОЛС</w:t>
      </w:r>
      <w:r>
        <w:t xml:space="preserve">, РРС</w:t>
      </w:r>
      <w:r>
        <w:t xml:space="preserve">) и осуществляться посредством имеющихся коммуникационных сооружений, с предоставлением каналообразующего оборудования Исполнителя.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Подключение с использованием оконечной аппаратуры маршрутизации Исполнителя для сопряжения оборудования заказчика и сети интернет.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>
          <w:lang w:val="en-US"/>
        </w:rPr>
      </w:pPr>
      <w:r>
        <w:t xml:space="preserve">Стык</w:t>
      </w:r>
      <w:r>
        <w:rPr>
          <w:lang w:val="en-US"/>
        </w:rPr>
        <w:t xml:space="preserve"> </w:t>
      </w:r>
      <w:r>
        <w:t xml:space="preserve">порта</w:t>
      </w:r>
      <w:r>
        <w:rPr>
          <w:lang w:val="en-US"/>
        </w:rPr>
        <w:t xml:space="preserve"> Ethernet – </w:t>
      </w:r>
      <w:r>
        <w:rPr>
          <w:lang w:val="en-US" w:eastAsia="en-US" w:bidi="en-US"/>
        </w:rPr>
        <w:t xml:space="preserve">10 BASE-T (100BASE-TX);</w:t>
      </w:r>
      <w:r>
        <w:rPr>
          <w:lang w:val="en-US"/>
        </w:rPr>
      </w:r>
      <w:r>
        <w:rPr>
          <w:lang w:val="en-US"/>
        </w:rPr>
      </w:r>
    </w:p>
    <w:p>
      <w:pPr>
        <w:numPr>
          <w:ilvl w:val="0"/>
          <w:numId w:val="44"/>
        </w:numPr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Передача данных по технологии </w:t>
      </w:r>
      <w:r>
        <w:rPr>
          <w:sz w:val="26"/>
          <w:szCs w:val="26"/>
        </w:rPr>
        <w:t xml:space="preserve">FullDuplex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4"/>
        </w:numPr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 ограничения объема передаваемого трафика;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Процент потерянных пакетов за месяц - не более 1%;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Доступность сети в месяц не менее 99,7%;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rPr>
          <w:spacing w:val="2"/>
        </w:rPr>
        <w:t xml:space="preserve">Среднее время отклика (</w:t>
      </w:r>
      <w:r>
        <w:rPr>
          <w:spacing w:val="2"/>
        </w:rPr>
        <w:t xml:space="preserve">RoundTripTime</w:t>
      </w:r>
      <w:r>
        <w:rPr>
          <w:spacing w:val="2"/>
        </w:rPr>
        <w:t xml:space="preserve">) на ICMP запросы для малых пакетов (64 байта) на точках подключения </w:t>
      </w:r>
      <w:r>
        <w:t xml:space="preserve">не более </w:t>
      </w:r>
      <w:r>
        <w:t xml:space="preserve">15</w:t>
      </w:r>
      <w:r>
        <w:t xml:space="preserve">0 </w:t>
      </w:r>
      <w:r>
        <w:t xml:space="preserve">мс</w:t>
      </w:r>
      <w:r>
        <w:t xml:space="preserve">. до сайтов </w:t>
      </w:r>
      <w:hyperlink r:id="rId13" w:tooltip="http://zakupki.gov.ru/" w:history="1">
        <w:r>
          <w:rPr>
            <w:rStyle w:val="1009"/>
            <w:color w:val="auto"/>
          </w:rPr>
          <w:t xml:space="preserve">http://zakupki.gov.ru/</w:t>
        </w:r>
      </w:hyperlink>
      <w:r>
        <w:t xml:space="preserve">, </w:t>
      </w:r>
      <w:hyperlink r:id="rId14" w:tooltip="http://www.sberbank-ast.ru/" w:history="1">
        <w:r>
          <w:rPr>
            <w:rStyle w:val="1009"/>
            <w:color w:val="auto"/>
          </w:rPr>
          <w:t xml:space="preserve">http://www.sberbank-ast.ru/</w:t>
        </w:r>
      </w:hyperlink>
      <w:r>
        <w:t xml:space="preserve">, </w:t>
      </w:r>
      <w:hyperlink r:id="rId15" w:tooltip="https://www.roseltorg.ru/" w:history="1">
        <w:r>
          <w:rPr>
            <w:rStyle w:val="1009"/>
            <w:color w:val="auto"/>
          </w:rPr>
          <w:t xml:space="preserve">https://www.roseltorg.ru/</w:t>
        </w:r>
      </w:hyperlink>
      <w:r>
        <w:t xml:space="preserve">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Скорость подключения к </w:t>
      </w:r>
      <w:r>
        <w:t xml:space="preserve">информационно-коммуникационной</w:t>
      </w:r>
      <w:r>
        <w:t xml:space="preserve"> </w:t>
      </w:r>
      <w:r>
        <w:t xml:space="preserve">сети Интернет в точках подключения должна гарантировано соответствовать параметрам, приведенным в таблице и быть одинаковой как на </w:t>
      </w:r>
      <w:r>
        <w:t xml:space="preserve">прием,</w:t>
      </w:r>
      <w:r>
        <w:t xml:space="preserve"> так и на передачу;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Не допускается снижение скорости подключения к </w:t>
      </w:r>
      <w:r>
        <w:t xml:space="preserve">информационно-коммуникационной</w:t>
      </w:r>
      <w:r>
        <w:t xml:space="preserve"> </w:t>
      </w:r>
      <w:r>
        <w:t xml:space="preserve">сети Интернет в точках подключения;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Граница ответственности за канал доступа должна проходить в точках подключения канала связи Исполнителя к оборудованию Государственного заказчика;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Предоставление услуги осуществляется 24 часа в су</w:t>
      </w:r>
      <w:r>
        <w:t xml:space="preserve">тки, 7 дней неделю</w:t>
      </w:r>
      <w:r>
        <w:t xml:space="preserve">,                 за исключением времени, необходимого для проведения неотложных ремонтных работ и времени для проведения плановых (про</w:t>
      </w:r>
      <w:r>
        <w:t xml:space="preserve">филактических) ремонтных работ,</w:t>
      </w:r>
      <w:r>
        <w:br/>
      </w:r>
      <w:r>
        <w:t xml:space="preserve">в том числе и ремонтно-настроечных работ, </w:t>
      </w:r>
      <w:r>
        <w:t xml:space="preserve">осуществляемых преимущественно</w:t>
      </w:r>
      <w:r>
        <w:br/>
      </w:r>
      <w:r>
        <w:t xml:space="preserve">в часы наименьшей нагрузки, предварительно уведомив Государственного заказчика, не менее чем за 24 часа до начала работ с указанием их продолжительности;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Время восстановления рабочего режима предоставления услуги (точек подключения) в случае прерывания оказания услуги – не более 4-х часов в любое время суток;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Исполнитель должен оказывать Услуги в соответствии с требованиями законодательства, а именно, федеральног</w:t>
      </w:r>
      <w:r>
        <w:t xml:space="preserve">о закона от 07.07.2003 № 126-ФЗ</w:t>
      </w:r>
      <w:r>
        <w:br/>
      </w:r>
      <w:r>
        <w:t xml:space="preserve">«О связи»</w:t>
      </w:r>
      <w:r>
        <w:t xml:space="preserve"> </w:t>
      </w:r>
      <w:r>
        <w:t xml:space="preserve">и</w:t>
      </w:r>
      <w:r>
        <w:rPr>
          <w:bCs/>
        </w:rPr>
        <w:t xml:space="preserve"> Постановления Правительства РФ </w:t>
      </w:r>
      <w:r>
        <w:rPr>
          <w:bCs/>
        </w:rPr>
        <w:t xml:space="preserve">31.12.2021</w:t>
      </w:r>
      <w:r>
        <w:rPr>
          <w:bCs/>
        </w:rPr>
        <w:t xml:space="preserve">«Об </w:t>
      </w:r>
      <w:r>
        <w:rPr>
          <w:bCs/>
        </w:rPr>
        <w:t xml:space="preserve">утверждении Правил ок</w:t>
      </w:r>
      <w:r>
        <w:rPr>
          <w:bCs/>
        </w:rPr>
        <w:t xml:space="preserve">азания услуг связи по передаче </w:t>
      </w:r>
      <w:r>
        <w:rPr>
          <w:bCs/>
        </w:rPr>
        <w:t xml:space="preserve">данных»</w:t>
      </w:r>
      <w:r>
        <w:t xml:space="preserve">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Срок оказания услуг: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с даты подписания контрак</w:t>
      </w:r>
      <w:bookmarkStart w:id="2" w:name="_GoBack"/>
      <w:r/>
      <w:bookmarkEnd w:id="2"/>
      <w:r>
        <w:rPr>
          <w:rFonts w:ascii="XO Thames" w:hAnsi="XO Thames"/>
        </w:rPr>
        <w:t xml:space="preserve">та</w:t>
      </w:r>
      <w:r>
        <w:t xml:space="preserve"> до 31.12.20</w:t>
      </w:r>
      <w:r>
        <w:t xml:space="preserve">2</w:t>
      </w:r>
      <w:r>
        <w:t xml:space="preserve">6</w:t>
      </w:r>
      <w:r>
        <w:t xml:space="preserve">.</w:t>
      </w:r>
      <w:r/>
    </w:p>
    <w:p>
      <w:pPr>
        <w:pStyle w:val="1085"/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/>
      <w:r/>
    </w:p>
    <w:p>
      <w:pPr>
        <w:pStyle w:val="1085"/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jc w:val="right"/>
        <w:rPr/>
      </w:pPr>
      <w:r/>
      <w:r/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1418"/>
        <w:gridCol w:w="1276"/>
        <w:gridCol w:w="1134"/>
        <w:gridCol w:w="1134"/>
      </w:tblGrid>
      <w:tr>
        <w:trPr/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 w:right="-108"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Адрес точки подключения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Кол</w:t>
            </w:r>
            <w:r>
              <w:t xml:space="preserve">-во</w:t>
            </w:r>
            <w:r>
              <w:t xml:space="preserve"> точек подключения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right="-67" w:left="-60"/>
              <w:jc w:val="center"/>
              <w:rPr/>
            </w:pPr>
            <w:r>
              <w:t xml:space="preserve">П</w:t>
            </w:r>
            <w:r>
              <w:t xml:space="preserve">ропускная способность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Ежемесячная плата, руб./мес.</w:t>
            </w:r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с НДС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Кол</w:t>
            </w:r>
            <w:r>
              <w:t xml:space="preserve">-</w:t>
            </w:r>
            <w:r>
              <w:t xml:space="preserve">во месяцев предоставления услуг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Всего за услугу связи</w:t>
            </w:r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УФСИН г. Магадан,</w:t>
            </w:r>
            <w:r>
              <w:br/>
            </w:r>
            <w:r>
              <w:t xml:space="preserve">ул. Пролетарская 25, к. 2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УОДОП г. Магадан, пер. Гаражный 6-А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СИЗО – 1 г. Магадан, пер. Гаражный 6-А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ИК – 3 г. Магадан,</w:t>
            </w:r>
            <w:r>
              <w:br/>
            </w:r>
            <w:r>
              <w:t xml:space="preserve">ул. Пролетарская 130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5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ОК г. Магадан,</w:t>
            </w:r>
            <w:r>
              <w:br/>
            </w:r>
            <w:r>
              <w:t xml:space="preserve">4 км. Основной трассы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6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ИК – 4 п. </w:t>
            </w:r>
            <w:r>
              <w:t xml:space="preserve">Уптар</w:t>
            </w:r>
            <w:r>
              <w:t xml:space="preserve">,</w:t>
            </w:r>
            <w:r>
              <w:br/>
            </w:r>
            <w:r>
              <w:t xml:space="preserve">ул. Центральная 3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7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rPr>
                <w:color w:val="000000" w:themeColor="text1"/>
              </w:rPr>
              <w:t xml:space="preserve">УФИЦ №1 ФКУ ИК – 4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п. </w:t>
            </w:r>
            <w:r>
              <w:rPr>
                <w:color w:val="000000" w:themeColor="text1"/>
              </w:rPr>
              <w:t xml:space="preserve">Уптар</w:t>
            </w:r>
            <w:r>
              <w:rPr>
                <w:color w:val="000000" w:themeColor="text1"/>
              </w:rPr>
              <w:t xml:space="preserve">, ул. Центральная 3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rPr>
                <w:color w:val="000000" w:themeColor="text1"/>
              </w:rPr>
              <w:t xml:space="preserve">УФИЦ №2 ФКУ ИК – 4 г. Магадан, ул. Кольцевая 17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9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КП – 2 Хасынский городской округ, с. Сплавная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4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 w:right="-49" w:left="-64"/>
              <w:jc w:val="center"/>
              <w:rPr/>
            </w:pPr>
            <w:r>
              <w:t xml:space="preserve">ФКУ УИИ г. Магадан,</w:t>
            </w:r>
            <w:r>
              <w:br/>
              <w:t xml:space="preserve">ул. Берзина 11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Безлимит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</w:t>
            </w:r>
            <w:r>
              <w:t xml:space="preserve"> Мбит/с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15"/>
        </w:trPr>
        <w:tc>
          <w:tcPr>
            <w:gridSpan w:val="6"/>
            <w:tcBorders/>
            <w:tcW w:w="8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ИТОГО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заказчик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Врио н</w:t>
            </w:r>
            <w:r>
              <w:rPr>
                <w:lang w:eastAsia="en-US"/>
              </w:rPr>
              <w:t xml:space="preserve">ачальник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УФСИН</w:t>
            </w:r>
            <w:r>
              <w:rPr>
                <w:lang w:eastAsia="en-US"/>
              </w:rPr>
              <w:t xml:space="preserve"> России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 Магаданской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</w:t>
            </w:r>
            <w:r>
              <w:rPr>
                <w:lang w:eastAsia="en-US"/>
              </w:rPr>
              <w:t xml:space="preserve">Н.М, Набеев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 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04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49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pBdr/>
        <w:spacing/>
        <w:ind/>
        <w:rPr>
          <w:b/>
          <w:sz w:val="24"/>
          <w:szCs w:val="24"/>
        </w:rPr>
        <w:sectPr>
          <w:headerReference w:type="even" r:id="rId9"/>
          <w:footerReference w:type="even" r:id="rId10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9"/>
        <w:pBdr/>
        <w:spacing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4395"/>
        <w:rPr/>
      </w:pPr>
      <w:r>
        <w:t xml:space="preserve">к Государственному контракту №__________ </w:t>
      </w:r>
      <w:r/>
    </w:p>
    <w:p>
      <w:pPr>
        <w:pBdr/>
        <w:spacing/>
        <w:ind w:left="4395"/>
        <w:rPr/>
      </w:pPr>
      <w:r>
        <w:t xml:space="preserve">от «____» _____________20</w:t>
      </w:r>
      <w:r>
        <w:t xml:space="preserve">___</w:t>
      </w:r>
      <w:r>
        <w:t xml:space="preserve">г</w:t>
      </w:r>
      <w:r>
        <w:t xml:space="preserve">.</w:t>
      </w:r>
      <w:r/>
    </w:p>
    <w:p>
      <w:pPr>
        <w:pBdr/>
        <w:spacing/>
        <w:ind w:left="4395"/>
        <w:rPr/>
      </w:pPr>
      <w:r>
        <w:t xml:space="preserve">(является неотъемлемой частью Контракта)</w:t>
      </w:r>
      <w:r/>
    </w:p>
    <w:p>
      <w:pPr>
        <w:pStyle w:val="1069"/>
        <w:widowControl w:val="true"/>
        <w:pBdr/>
        <w:tabs>
          <w:tab w:val="left" w:leader="underscore" w:pos="1696"/>
        </w:tabs>
        <w:spacing w:before="61" w:line="240" w:lineRule="auto"/>
        <w:ind/>
        <w:jc w:val="right"/>
        <w:rPr>
          <w:rStyle w:val="1064"/>
          <w:b/>
          <w:bCs/>
          <w:i/>
          <w:iCs/>
          <w:u w:val="single"/>
        </w:rPr>
      </w:pPr>
      <w:r>
        <w:rPr>
          <w:rStyle w:val="1064"/>
          <w:b/>
          <w:bCs/>
          <w:i/>
          <w:iCs/>
          <w:u w:val="single"/>
        </w:rPr>
        <w:t xml:space="preserve">ФОРМА</w:t>
      </w:r>
      <w:r>
        <w:rPr>
          <w:rStyle w:val="1064"/>
          <w:b/>
          <w:bCs/>
          <w:i/>
          <w:iCs/>
          <w:u w:val="single"/>
        </w:rPr>
      </w:r>
      <w:r>
        <w:rPr>
          <w:rStyle w:val="1064"/>
          <w:b/>
          <w:bCs/>
          <w:i/>
          <w:iCs/>
          <w:u w:val="single"/>
        </w:rPr>
      </w:r>
    </w:p>
    <w:p>
      <w:pPr>
        <w:pStyle w:val="1007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69"/>
        <w:widowControl w:val="true"/>
        <w:pBdr/>
        <w:tabs>
          <w:tab w:val="left" w:leader="underscore" w:pos="1696"/>
        </w:tabs>
        <w:spacing w:before="61" w:line="240" w:lineRule="auto"/>
        <w:ind/>
        <w:jc w:val="center"/>
        <w:rPr>
          <w:rStyle w:val="1064"/>
          <w:b/>
        </w:rPr>
      </w:pPr>
      <w:r>
        <w:rPr>
          <w:rStyle w:val="1064"/>
          <w:b/>
        </w:rPr>
        <w:t xml:space="preserve">АКТ № __________</w:t>
      </w:r>
      <w:r>
        <w:rPr>
          <w:rStyle w:val="1064"/>
          <w:b/>
        </w:rPr>
      </w:r>
      <w:r>
        <w:rPr>
          <w:rStyle w:val="1064"/>
          <w:b/>
        </w:rPr>
      </w:r>
    </w:p>
    <w:p>
      <w:pPr>
        <w:pStyle w:val="1061"/>
        <w:widowControl w:val="true"/>
        <w:pBdr/>
        <w:tabs>
          <w:tab w:val="left" w:leader="underscore" w:pos="4234"/>
          <w:tab w:val="left" w:leader="underscore" w:pos="5598"/>
          <w:tab w:val="left" w:leader="underscore" w:pos="6379"/>
        </w:tabs>
        <w:spacing/>
        <w:ind w:right="3172" w:left="2977"/>
        <w:rPr>
          <w:lang w:eastAsia="en-US"/>
        </w:rPr>
      </w:pPr>
      <w:r>
        <w:rPr>
          <w:lang w:eastAsia="en-US"/>
        </w:rPr>
        <w:t xml:space="preserve">сдачи-приема услуг</w:t>
      </w:r>
      <w:r>
        <w:rPr>
          <w:lang w:eastAsia="en-US"/>
        </w:rPr>
      </w:r>
      <w:r>
        <w:rPr>
          <w:lang w:eastAsia="en-US"/>
        </w:rPr>
      </w:r>
    </w:p>
    <w:p>
      <w:pPr>
        <w:pStyle w:val="1061"/>
        <w:widowControl w:val="true"/>
        <w:pBdr/>
        <w:tabs>
          <w:tab w:val="left" w:leader="underscore" w:pos="4234"/>
          <w:tab w:val="left" w:leader="underscore" w:pos="5598"/>
          <w:tab w:val="left" w:leader="underscore" w:pos="6379"/>
        </w:tabs>
        <w:spacing/>
        <w:ind w:right="3172" w:left="2977"/>
        <w:rPr>
          <w:lang w:eastAsia="en-US"/>
        </w:rPr>
      </w:pPr>
      <w:r>
        <w:rPr>
          <w:lang w:eastAsia="en-US"/>
        </w:rPr>
        <w:t xml:space="preserve">от «__» ________20__ г.</w:t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line="240" w:lineRule="exact"/>
        <w:ind w:firstLine="713"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line="240" w:lineRule="exact"/>
        <w:ind w:firstLine="713"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before="70"/>
        <w:ind w:firstLine="713"/>
        <w:rPr>
          <w:lang w:eastAsia="en-US"/>
        </w:rPr>
      </w:pPr>
      <w:r>
        <w:rPr>
          <w:lang w:eastAsia="en-US"/>
        </w:rPr>
        <w:t xml:space="preserve">Настоящий Акт составлен в том, что в соответствии с Государственным контрактом на оказание </w:t>
      </w:r>
      <w:r>
        <w:rPr>
          <w:lang w:eastAsia="en-US"/>
        </w:rPr>
        <w:t xml:space="preserve">услуг</w:t>
      </w:r>
      <w:r>
        <w:rPr>
          <w:lang w:eastAsia="en-US"/>
        </w:rPr>
        <w:t xml:space="preserve"> </w:t>
      </w:r>
      <w:r>
        <w:rPr>
          <w:lang w:eastAsia="en-US"/>
        </w:rPr>
        <w:t xml:space="preserve">№ ________, заключенным «___» ___________ 20__ г. Исполнитель оказал Государственному заказчику </w:t>
      </w:r>
      <w:r>
        <w:rPr>
          <w:lang w:eastAsia="en-US"/>
        </w:rPr>
        <w:t xml:space="preserve">услуги</w:t>
      </w:r>
      <w:r>
        <w:rPr>
          <w:lang w:eastAsia="en-US"/>
        </w:rPr>
        <w:t xml:space="preserve"> за период</w:t>
      </w:r>
      <w:r>
        <w:rPr>
          <w:lang w:eastAsia="en-US"/>
        </w:rPr>
        <w:br/>
      </w:r>
      <w:r>
        <w:rPr>
          <w:lang w:eastAsia="en-US"/>
        </w:rPr>
        <w:t xml:space="preserve">с «___»____________20___г. по «___» ____________20___г.  на сумму _____________________ ру</w:t>
      </w:r>
      <w:r>
        <w:rPr>
          <w:lang w:eastAsia="en-US"/>
        </w:rPr>
        <w:t xml:space="preserve">б. (сумма прописью)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 w:after="292" w:line="1" w:lineRule="exact"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9379" w:type="dxa"/>
        <w:tblInd w:w="40" w:type="dxa"/>
        <w:tblBorders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134"/>
        <w:gridCol w:w="2149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услуг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2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услуг всего без налога(руб.)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6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Сумма налога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067"/>
              <w:widowControl w:val="true"/>
              <w:pBdr/>
              <w:spacing w:line="306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2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услуг, всего с учетом налога 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5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Всего: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9405" w:type="dxa"/>
        <w:tblBorders/>
        <w:tblLayout w:type="fixed"/>
        <w:tblLook w:val="01E0" w:firstRow="1" w:lastRow="1" w:firstColumn="1" w:lastColumn="1" w:noHBand="0" w:noVBand="0"/>
      </w:tblPr>
      <w:tblGrid>
        <w:gridCol w:w="4536"/>
        <w:gridCol w:w="4869"/>
      </w:tblGrid>
      <w:tr>
        <w:trPr>
          <w:trHeight w:val="1511"/>
        </w:trPr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8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041"/>
        <w:pBdr/>
        <w:spacing/>
        <w:ind/>
        <w:rPr>
          <w:b/>
        </w:rPr>
      </w:pPr>
      <w:r>
        <w:rPr>
          <w:b/>
        </w:rPr>
        <w:t xml:space="preserve">ФОРМА СОГЛАСОВАНА:</w:t>
      </w:r>
      <w:r>
        <w:rPr>
          <w:b/>
        </w:rPr>
      </w:r>
      <w:r>
        <w:rPr>
          <w:b/>
        </w:rPr>
      </w:r>
    </w:p>
    <w:p>
      <w:pPr>
        <w:pStyle w:val="1007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4667"/>
        <w:gridCol w:w="4688"/>
      </w:tblGrid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заказчик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Врио н</w:t>
            </w:r>
            <w:r>
              <w:rPr>
                <w:lang w:eastAsia="en-US"/>
              </w:rPr>
              <w:t xml:space="preserve">ачальник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УФСИН</w:t>
            </w:r>
            <w:r>
              <w:rPr>
                <w:lang w:eastAsia="en-US"/>
              </w:rPr>
              <w:t xml:space="preserve"> России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 Магаданской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</w:t>
            </w:r>
            <w:r>
              <w:rPr>
                <w:lang w:eastAsia="en-US"/>
              </w:rPr>
              <w:t xml:space="preserve">Н.М, Набеев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    ФИО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________________</w:t>
            </w:r>
            <w:r>
              <w:rPr>
                <w:lang w:eastAsia="en-US"/>
              </w:rPr>
              <w:t xml:space="preserve">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007"/>
              <w:pBdr/>
              <w:tabs>
                <w:tab w:val="center" w:leader="none" w:pos="2285"/>
              </w:tabs>
              <w:spacing/>
              <w: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М.П.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1034"/>
        <w:pBdr/>
        <w:tabs>
          <w:tab w:val="left" w:leader="none" w:pos="6480"/>
        </w:tabs>
        <w:spacing w:line="240" w:lineRule="auto"/>
        <w:ind w:right="-74" w:firstLine="0"/>
        <w:contextualSpacing w:val="true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_Timer">
    <w:panose1 w:val="0200000000000000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framePr w:hAnchor="margin" w:vAnchor="text" w:wrap="around" w:xAlign="center" w:y="1"/>
      <w:pBdr/>
      <w:spacing/>
      <w:ind/>
      <w:rPr>
        <w:rStyle w:val="1017"/>
      </w:rPr>
    </w:pPr>
    <w:r>
      <w:rPr>
        <w:rStyle w:val="1017"/>
      </w:rPr>
      <w:fldChar w:fldCharType="begin"/>
    </w:r>
    <w:r>
      <w:rPr>
        <w:rStyle w:val="1017"/>
      </w:rPr>
      <w:instrText xml:space="preserve">PAGE  </w:instrText>
    </w:r>
    <w:r>
      <w:rPr>
        <w:rStyle w:val="1017"/>
      </w:rPr>
      <w:fldChar w:fldCharType="end"/>
    </w:r>
    <w:r>
      <w:rPr>
        <w:rStyle w:val="1017"/>
      </w:rPr>
    </w:r>
    <w:r>
      <w:rPr>
        <w:rStyle w:val="1017"/>
      </w:rPr>
    </w:r>
  </w:p>
  <w:p>
    <w:pPr>
      <w:pStyle w:val="10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framePr w:hAnchor="margin" w:vAnchor="text" w:wrap="around" w:xAlign="center" w:y="1"/>
      <w:pBdr/>
      <w:spacing/>
      <w:ind/>
      <w:rPr>
        <w:rStyle w:val="1017"/>
      </w:rPr>
    </w:pPr>
    <w:r>
      <w:rPr>
        <w:rStyle w:val="1017"/>
      </w:rPr>
      <w:fldChar w:fldCharType="begin"/>
    </w:r>
    <w:r>
      <w:rPr>
        <w:rStyle w:val="1017"/>
      </w:rPr>
      <w:instrText xml:space="preserve">PAGE  </w:instrText>
    </w:r>
    <w:r>
      <w:rPr>
        <w:rStyle w:val="1017"/>
      </w:rPr>
      <w:fldChar w:fldCharType="end"/>
    </w:r>
    <w:r>
      <w:rPr>
        <w:rStyle w:val="1017"/>
      </w:rPr>
    </w:r>
    <w:r>
      <w:rPr>
        <w:rStyle w:val="1017"/>
      </w:rPr>
    </w:r>
  </w:p>
  <w:p>
    <w:pPr>
      <w:pStyle w:val="10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●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Tahoma" w:hAnsi="Tahoma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Tahoma" w:hAnsi="Tahoma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●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Tahoma" w:hAnsi="Tahoma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Tahoma" w:hAnsi="Tahoma"/>
      </w:rPr>
      <w:start w:val="1"/>
      <w:suff w:val="tab"/>
    </w:lvl>
    <w:lvl w:ilvl="4">
      <w:isLgl w:val="false"/>
      <w:lvlJc w:val="left"/>
      <w:lvlText w:val="●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Tahoma" w:hAnsi="Tahoma"/>
      </w:rPr>
      <w:start w:val="1"/>
      <w:suff w:val="tab"/>
    </w:lvl>
    <w:lvl w:ilvl="5">
      <w:isLgl w:val="false"/>
      <w:lvlJc w:val="left"/>
      <w:lvlText w:val="●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Tahoma" w:hAnsi="Tahoma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Tahoma" w:hAnsi="Tahoma"/>
      </w:rPr>
      <w:start w:val="1"/>
      <w:suff w:val="tab"/>
    </w:lvl>
    <w:lvl w:ilvl="7">
      <w:isLgl w:val="false"/>
      <w:lvlJc w:val="left"/>
      <w:lvlText w:val="●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Tahoma" w:hAnsi="Tahoma"/>
      </w:rPr>
      <w:start w:val="1"/>
      <w:suff w:val="tab"/>
    </w:lvl>
    <w:lvl w:ilvl="8">
      <w:isLgl w:val="false"/>
      <w:lvlJc w:val="left"/>
      <w:lvlText w:val="●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Tahoma" w:hAnsi="Tahoma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6">
    <w:lvl w:ilvl="0">
      <w:isLgl w:val="false"/>
      <w:lvlJc w:val="left"/>
      <w:lvlText/>
      <w:numFmt w:val="none"/>
      <w:pPr>
        <w:pBdr/>
        <w:tabs>
          <w:tab w:val="num" w:leader="none" w:pos="432"/>
        </w:tabs>
        <w:spacing/>
        <w:ind w:hanging="432" w:left="432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576"/>
        </w:tabs>
        <w:spacing/>
        <w:ind w:hanging="576" w:left="576"/>
      </w:pPr>
      <w:rPr>
        <w:rFonts w:cs="Times New Roman"/>
      </w:rPr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864"/>
        </w:tabs>
        <w:spacing/>
        <w:ind w:hanging="864" w:left="864"/>
      </w:pPr>
      <w:rPr>
        <w:rFonts w:cs="Times New Roman"/>
      </w:rPr>
      <w:start w:val="1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1008"/>
        </w:tabs>
        <w:spacing/>
        <w:ind w:hanging="1008" w:left="1008"/>
      </w:pPr>
      <w:rPr>
        <w:rFonts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1152"/>
        </w:tabs>
        <w:spacing/>
        <w:ind w:hanging="1152" w:left="1152"/>
      </w:pPr>
      <w:rPr>
        <w:rFonts w:cs="Times New Roman"/>
      </w:rPr>
      <w:start w:val="1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1296"/>
        </w:tabs>
        <w:spacing/>
        <w:ind w:hanging="1296" w:left="1296"/>
      </w:pPr>
      <w:rPr>
        <w:rFonts w:cs="Times New Roman"/>
      </w:rPr>
      <w:start w:val="1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1584"/>
        </w:tabs>
        <w:spacing/>
        <w:ind w:hanging="1584" w:left="1584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 w:cs="Times New Roman"/>
        <w:i w:val="0"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129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49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09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69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89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 w:eastAsia="Times New Roman" w:cs="Times New Roman"/>
        <w:b/>
      </w:rPr>
      <w:start w:val="8"/>
      <w:suff w:val="tab"/>
    </w:lvl>
    <w:lvl w:ilvl="1">
      <w:isLgl w:val="false"/>
      <w:lvlJc w:val="left"/>
      <w:lvlText w:val="5.%2."/>
      <w:numFmt w:val="decimal"/>
      <w:pPr>
        <w:pBdr/>
        <w:spacing/>
        <w:ind w:hanging="360" w:left="1211"/>
      </w:pPr>
      <w:rPr>
        <w:rFonts w:hint="default" w:cs="Times New Roman"/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 w:eastAsia="Times New Roman" w:cs="Times New Roman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3273"/>
      </w:pPr>
      <w:rPr>
        <w:rFonts w:hint="default" w:eastAsia="Times New Roman" w:cs="Times New Roman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 w:eastAsia="Times New Roman" w:cs="Times New Roman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5335"/>
      </w:pPr>
      <w:rPr>
        <w:rFonts w:hint="default" w:eastAsia="Times New Roman" w:cs="Times New Roman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6546"/>
      </w:pPr>
      <w:rPr>
        <w:rFonts w:hint="default" w:eastAsia="Times New Roman" w:cs="Times New Roman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7397"/>
      </w:pPr>
      <w:rPr>
        <w:rFonts w:hint="default" w:eastAsia="Times New Roman" w:cs="Times New Roman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8608"/>
      </w:pPr>
      <w:rPr>
        <w:rFonts w:hint="default" w:eastAsia="Times New Roman" w:cs="Times New Roman"/>
        <w:b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-142"/>
        </w:tabs>
        <w:spacing/>
        <w:ind w:hanging="360" w:left="928"/>
      </w:pPr>
      <w:rPr>
        <w:rFonts w:hint="default" w:cs="Times New Roman"/>
        <w:b/>
        <w:bCs/>
        <w:sz w:val="26"/>
        <w:szCs w:val="26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8"/>
      </w:pPr>
      <w:rPr>
        <w:rFonts w:cs="Times New Roman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1729"/>
        </w:tabs>
        <w:spacing/>
        <w:ind w:hanging="1020" w:left="17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9"/>
        </w:tabs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9"/>
        </w:tabs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9"/>
        </w:tabs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9"/>
        </w:tabs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9"/>
        </w:tabs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9"/>
        </w:tabs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9"/>
        </w:tabs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9"/>
        </w:tabs>
        <w:spacing/>
        <w:ind w:hanging="180" w:left="6829"/>
      </w:pPr>
      <w:rPr>
        <w:rFonts w:cs="Times New Roman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660"/>
        </w:tabs>
        <w:spacing/>
        <w:ind w:hanging="660" w:left="660"/>
      </w:pPr>
      <w:rPr>
        <w:rFonts w:hint="default" w:cs="Times New Roman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20"/>
        </w:tabs>
        <w:spacing/>
        <w:ind w:hanging="660" w:left="1020"/>
      </w:pPr>
      <w:rPr>
        <w:rFonts w:hint="default"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hint="default" w:cs="Times New Roman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720" w:left="180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hanging="1080" w:left="252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880"/>
        </w:tabs>
        <w:spacing/>
        <w:ind w:hanging="1080" w:left="28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600"/>
        </w:tabs>
        <w:spacing/>
        <w:ind w:hanging="1440" w:left="36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60"/>
        </w:tabs>
        <w:spacing/>
        <w:ind w:hanging="1440" w:left="396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80"/>
        </w:tabs>
        <w:spacing/>
        <w:ind w:hanging="1800" w:left="4680"/>
      </w:pPr>
      <w:rPr>
        <w:rFonts w:hint="default" w:cs="Times New Roman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14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50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2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58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43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66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389"/>
      </w:pPr>
      <w:rPr>
        <w:rFonts w:hint="default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4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49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24"/>
  </w:num>
  <w:num w:numId="2">
    <w:abstractNumId w:val="22"/>
  </w:num>
  <w:num w:numId="3">
    <w:abstractNumId w:val="35"/>
  </w:num>
  <w:num w:numId="4">
    <w:abstractNumId w:val="34"/>
  </w:num>
  <w:num w:numId="5">
    <w:abstractNumId w:val="39"/>
  </w:num>
  <w:num w:numId="6">
    <w:abstractNumId w:val="17"/>
  </w:num>
  <w:num w:numId="7">
    <w:abstractNumId w:val="20"/>
  </w:num>
  <w:num w:numId="8">
    <w:abstractNumId w:val="40"/>
  </w:num>
  <w:num w:numId="9">
    <w:abstractNumId w:val="43"/>
  </w:num>
  <w:num w:numId="10">
    <w:abstractNumId w:val="41"/>
  </w:num>
  <w:num w:numId="11">
    <w:abstractNumId w:val="26"/>
  </w:num>
  <w:num w:numId="12">
    <w:abstractNumId w:val="25"/>
  </w:num>
  <w:num w:numId="13">
    <w:abstractNumId w:val="38"/>
  </w:num>
  <w:num w:numId="14">
    <w:abstractNumId w:val="23"/>
  </w:num>
  <w:num w:numId="15">
    <w:abstractNumId w:val="28"/>
  </w:num>
  <w:num w:numId="16">
    <w:abstractNumId w:val="1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30"/>
  </w:num>
  <w:num w:numId="34">
    <w:abstractNumId w:val="27"/>
  </w:num>
  <w:num w:numId="35">
    <w:abstractNumId w:val="18"/>
  </w:num>
  <w:num w:numId="36">
    <w:abstractNumId w:val="31"/>
  </w:num>
  <w:num w:numId="37">
    <w:abstractNumId w:val="21"/>
  </w:num>
  <w:num w:numId="38">
    <w:abstractNumId w:val="37"/>
  </w:num>
  <w:num w:numId="39">
    <w:abstractNumId w:val="36"/>
  </w:num>
  <w:num w:numId="40">
    <w:abstractNumId w:val="42"/>
  </w:num>
  <w:num w:numId="41">
    <w:abstractNumId w:val="32"/>
  </w:num>
  <w:num w:numId="42">
    <w:abstractNumId w:val="29"/>
  </w:num>
  <w:num w:numId="43">
    <w:abstractNumId w:val="33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3">
    <w:name w:val="Table Grid Light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1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2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3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5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6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1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2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3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4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5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6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2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3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4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5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6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Heading 6"/>
    <w:basedOn w:val="992"/>
    <w:next w:val="992"/>
    <w:link w:val="9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9">
    <w:name w:val="Heading 7"/>
    <w:basedOn w:val="992"/>
    <w:next w:val="992"/>
    <w:link w:val="9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0">
    <w:name w:val="Heading 8"/>
    <w:basedOn w:val="992"/>
    <w:next w:val="992"/>
    <w:link w:val="9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1">
    <w:name w:val="Heading 9"/>
    <w:basedOn w:val="992"/>
    <w:next w:val="992"/>
    <w:link w:val="9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Heading 1 Char"/>
    <w:basedOn w:val="998"/>
    <w:link w:val="9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3">
    <w:name w:val="Heading 2 Char"/>
    <w:basedOn w:val="998"/>
    <w:link w:val="9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4">
    <w:name w:val="Heading 3 Char"/>
    <w:basedOn w:val="998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5">
    <w:name w:val="Heading 4 Char"/>
    <w:basedOn w:val="998"/>
    <w:link w:val="9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6">
    <w:name w:val="Heading 5 Char"/>
    <w:basedOn w:val="998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7">
    <w:name w:val="Heading 6 Char"/>
    <w:basedOn w:val="998"/>
    <w:link w:val="9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8">
    <w:name w:val="Heading 7 Char"/>
    <w:basedOn w:val="998"/>
    <w:link w:val="9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9">
    <w:name w:val="Heading 8 Char"/>
    <w:basedOn w:val="998"/>
    <w:link w:val="9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0">
    <w:name w:val="Heading 9 Char"/>
    <w:basedOn w:val="998"/>
    <w:link w:val="9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1">
    <w:name w:val="Title"/>
    <w:basedOn w:val="992"/>
    <w:next w:val="992"/>
    <w:link w:val="9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2">
    <w:name w:val="Title Char"/>
    <w:basedOn w:val="998"/>
    <w:link w:val="9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3">
    <w:name w:val="Subtitle"/>
    <w:basedOn w:val="992"/>
    <w:next w:val="992"/>
    <w:link w:val="9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4">
    <w:name w:val="Subtitle Char"/>
    <w:basedOn w:val="998"/>
    <w:link w:val="9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5">
    <w:name w:val="Quote"/>
    <w:basedOn w:val="992"/>
    <w:next w:val="992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6">
    <w:name w:val="Quote Char"/>
    <w:basedOn w:val="998"/>
    <w:link w:val="9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7">
    <w:name w:val="Intense Emphasis"/>
    <w:basedOn w:val="9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8">
    <w:name w:val="Intense Quote"/>
    <w:basedOn w:val="992"/>
    <w:next w:val="992"/>
    <w:link w:val="9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9">
    <w:name w:val="Intense Quote Char"/>
    <w:basedOn w:val="998"/>
    <w:link w:val="9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0">
    <w:name w:val="Intense Reference"/>
    <w:basedOn w:val="9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71">
    <w:name w:val="Subtle Emphasis"/>
    <w:basedOn w:val="9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998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998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9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9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>
    <w:name w:val="Header Char"/>
    <w:basedOn w:val="998"/>
    <w:link w:val="1021"/>
    <w:uiPriority w:val="99"/>
    <w:pPr>
      <w:pBdr/>
      <w:spacing/>
      <w:ind/>
    </w:pPr>
  </w:style>
  <w:style w:type="character" w:styleId="977">
    <w:name w:val="Footer Char"/>
    <w:basedOn w:val="998"/>
    <w:link w:val="1016"/>
    <w:uiPriority w:val="99"/>
    <w:pPr>
      <w:pBdr/>
      <w:spacing/>
      <w:ind/>
    </w:pPr>
  </w:style>
  <w:style w:type="paragraph" w:styleId="978">
    <w:name w:val="Caption"/>
    <w:basedOn w:val="992"/>
    <w:next w:val="9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9">
    <w:name w:val="footnote text"/>
    <w:basedOn w:val="992"/>
    <w:link w:val="9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0">
    <w:name w:val="Footnote Text Char"/>
    <w:basedOn w:val="998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footnote reference"/>
    <w:basedOn w:val="998"/>
    <w:uiPriority w:val="99"/>
    <w:semiHidden/>
    <w:unhideWhenUsed/>
    <w:pPr>
      <w:pBdr/>
      <w:spacing/>
      <w:ind/>
    </w:pPr>
    <w:rPr>
      <w:vertAlign w:val="superscript"/>
    </w:rPr>
  </w:style>
  <w:style w:type="character" w:styleId="982">
    <w:name w:val="Endnote Text Char"/>
    <w:basedOn w:val="998"/>
    <w:link w:val="1093"/>
    <w:uiPriority w:val="99"/>
    <w:semiHidden/>
    <w:pPr>
      <w:pBdr/>
      <w:spacing/>
      <w:ind/>
    </w:pPr>
    <w:rPr>
      <w:sz w:val="20"/>
      <w:szCs w:val="20"/>
    </w:rPr>
  </w:style>
  <w:style w:type="paragraph" w:styleId="983">
    <w:name w:val="toc 1"/>
    <w:basedOn w:val="992"/>
    <w:next w:val="992"/>
    <w:uiPriority w:val="39"/>
    <w:unhideWhenUsed/>
    <w:pPr>
      <w:pBdr/>
      <w:spacing w:after="100"/>
      <w:ind/>
    </w:pPr>
  </w:style>
  <w:style w:type="paragraph" w:styleId="984">
    <w:name w:val="toc 3"/>
    <w:basedOn w:val="992"/>
    <w:next w:val="992"/>
    <w:uiPriority w:val="39"/>
    <w:unhideWhenUsed/>
    <w:pPr>
      <w:pBdr/>
      <w:spacing w:after="100"/>
      <w:ind w:left="440"/>
    </w:pPr>
  </w:style>
  <w:style w:type="paragraph" w:styleId="985">
    <w:name w:val="toc 4"/>
    <w:basedOn w:val="992"/>
    <w:next w:val="992"/>
    <w:uiPriority w:val="39"/>
    <w:unhideWhenUsed/>
    <w:pPr>
      <w:pBdr/>
      <w:spacing w:after="100"/>
      <w:ind w:left="660"/>
    </w:pPr>
  </w:style>
  <w:style w:type="paragraph" w:styleId="986">
    <w:name w:val="toc 5"/>
    <w:basedOn w:val="992"/>
    <w:next w:val="992"/>
    <w:uiPriority w:val="39"/>
    <w:unhideWhenUsed/>
    <w:pPr>
      <w:pBdr/>
      <w:spacing w:after="100"/>
      <w:ind w:left="880"/>
    </w:pPr>
  </w:style>
  <w:style w:type="paragraph" w:styleId="987">
    <w:name w:val="toc 6"/>
    <w:basedOn w:val="992"/>
    <w:next w:val="992"/>
    <w:uiPriority w:val="39"/>
    <w:unhideWhenUsed/>
    <w:pPr>
      <w:pBdr/>
      <w:spacing w:after="100"/>
      <w:ind w:left="1100"/>
    </w:pPr>
  </w:style>
  <w:style w:type="paragraph" w:styleId="988">
    <w:name w:val="toc 7"/>
    <w:basedOn w:val="992"/>
    <w:next w:val="992"/>
    <w:uiPriority w:val="39"/>
    <w:unhideWhenUsed/>
    <w:pPr>
      <w:pBdr/>
      <w:spacing w:after="100"/>
      <w:ind w:left="1320"/>
    </w:pPr>
  </w:style>
  <w:style w:type="paragraph" w:styleId="989">
    <w:name w:val="toc 8"/>
    <w:basedOn w:val="992"/>
    <w:next w:val="992"/>
    <w:uiPriority w:val="39"/>
    <w:unhideWhenUsed/>
    <w:pPr>
      <w:pBdr/>
      <w:spacing w:after="100"/>
      <w:ind w:left="1540"/>
    </w:pPr>
  </w:style>
  <w:style w:type="paragraph" w:styleId="990">
    <w:name w:val="toc 9"/>
    <w:basedOn w:val="992"/>
    <w:next w:val="992"/>
    <w:uiPriority w:val="39"/>
    <w:unhideWhenUsed/>
    <w:pPr>
      <w:pBdr/>
      <w:spacing w:after="100"/>
      <w:ind w:left="1760"/>
    </w:pPr>
  </w:style>
  <w:style w:type="paragraph" w:styleId="991">
    <w:name w:val="table of figures"/>
    <w:basedOn w:val="992"/>
    <w:next w:val="992"/>
    <w:uiPriority w:val="99"/>
    <w:unhideWhenUsed/>
    <w:pPr>
      <w:pBdr/>
      <w:spacing w:after="0" w:afterAutospacing="0"/>
      <w:ind/>
    </w:pPr>
  </w:style>
  <w:style w:type="paragraph" w:styleId="992" w:default="1">
    <w:name w:val="Normal"/>
    <w:qFormat/>
    <w:pPr>
      <w:pBdr/>
      <w:spacing/>
      <w:ind/>
    </w:pPr>
    <w:rPr>
      <w:sz w:val="24"/>
      <w:szCs w:val="24"/>
    </w:rPr>
  </w:style>
  <w:style w:type="paragraph" w:styleId="993">
    <w:name w:val="Heading 1"/>
    <w:basedOn w:val="992"/>
    <w:next w:val="992"/>
    <w:link w:val="1001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994">
    <w:name w:val="Heading 2"/>
    <w:basedOn w:val="992"/>
    <w:next w:val="992"/>
    <w:link w:val="1088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95">
    <w:name w:val="Heading 3"/>
    <w:basedOn w:val="992"/>
    <w:next w:val="992"/>
    <w:link w:val="1003"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paragraph" w:styleId="996">
    <w:name w:val="Heading 4"/>
    <w:basedOn w:val="992"/>
    <w:next w:val="992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97">
    <w:name w:val="Heading 5"/>
    <w:basedOn w:val="992"/>
    <w:next w:val="992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character" w:styleId="998" w:default="1">
    <w:name w:val="Default Paragraph Font"/>
    <w:uiPriority w:val="1"/>
    <w:semiHidden/>
    <w:unhideWhenUsed/>
    <w:pPr>
      <w:pBdr/>
      <w:spacing/>
      <w:ind/>
    </w:pPr>
  </w:style>
  <w:style w:type="table" w:styleId="9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0" w:default="1">
    <w:name w:val="No List"/>
    <w:uiPriority w:val="99"/>
    <w:semiHidden/>
    <w:unhideWhenUsed/>
    <w:pPr>
      <w:pBdr/>
      <w:spacing/>
      <w:ind/>
    </w:pPr>
  </w:style>
  <w:style w:type="character" w:styleId="1001" w:customStyle="1">
    <w:name w:val="Заголовок 1 Знак"/>
    <w:link w:val="993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paragraph" w:styleId="1002" w:customStyle="1">
    <w:name w:val="Знак Знак"/>
    <w:basedOn w:val="992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1003" w:customStyle="1">
    <w:name w:val="Заголовок 3 Знак"/>
    <w:link w:val="995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1004" w:customStyle="1">
    <w:name w:val="ConsPlusNormal"/>
    <w:link w:val="1040"/>
    <w:pPr>
      <w:pBdr/>
      <w:spacing/>
      <w:ind w:firstLine="720"/>
    </w:pPr>
    <w:rPr>
      <w:rFonts w:ascii="Arial" w:hAnsi="Arial"/>
      <w:sz w:val="24"/>
    </w:rPr>
  </w:style>
  <w:style w:type="paragraph" w:styleId="1005" w:customStyle="1">
    <w:name w:val="Iacaaiea"/>
    <w:basedOn w:val="992"/>
    <w:uiPriority w:val="99"/>
    <w:pPr>
      <w:pBdr/>
      <w:tabs>
        <w:tab w:val="left" w:leader="none" w:pos="426"/>
      </w:tabs>
      <w:spacing w:before="120" w:line="360" w:lineRule="atLeast"/>
      <w:ind/>
      <w:jc w:val="center"/>
    </w:pPr>
    <w:rPr>
      <w:b/>
      <w:bCs/>
      <w:sz w:val="22"/>
      <w:szCs w:val="22"/>
    </w:rPr>
  </w:style>
  <w:style w:type="paragraph" w:styleId="1006">
    <w:name w:val="Body Text"/>
    <w:basedOn w:val="992"/>
    <w:link w:val="1070"/>
    <w:pPr>
      <w:pBdr/>
      <w:spacing w:after="120"/>
      <w:ind/>
    </w:pPr>
  </w:style>
  <w:style w:type="paragraph" w:styleId="1007">
    <w:name w:val="Body Text 3"/>
    <w:basedOn w:val="992"/>
    <w:link w:val="1008"/>
    <w:pPr>
      <w:pBdr/>
      <w:spacing w:after="120"/>
      <w:ind/>
    </w:pPr>
    <w:rPr>
      <w:sz w:val="16"/>
      <w:szCs w:val="16"/>
    </w:rPr>
  </w:style>
  <w:style w:type="character" w:styleId="1008" w:customStyle="1">
    <w:name w:val="Основной текст 3 Знак"/>
    <w:link w:val="1007"/>
    <w:pPr>
      <w:pBdr/>
      <w:spacing/>
      <w:ind/>
    </w:pPr>
    <w:rPr>
      <w:rFonts w:cs="Times New Roman"/>
      <w:sz w:val="16"/>
      <w:szCs w:val="16"/>
      <w:lang w:val="ru-RU" w:eastAsia="ru-RU" w:bidi="ar-SA"/>
    </w:rPr>
  </w:style>
  <w:style w:type="character" w:styleId="1009">
    <w:name w:val="Hyperlink"/>
    <w:pPr>
      <w:pBdr/>
      <w:spacing/>
      <w:ind/>
    </w:pPr>
    <w:rPr>
      <w:rFonts w:cs="Times New Roman"/>
      <w:color w:val="0000ff"/>
      <w:u w:val="single"/>
    </w:rPr>
  </w:style>
  <w:style w:type="character" w:styleId="1010" w:customStyle="1">
    <w:name w:val="Знак Знак3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character" w:styleId="1011" w:customStyle="1">
    <w:name w:val="Знак Знак1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1012">
    <w:name w:val="Body Text Indent 3"/>
    <w:basedOn w:val="992"/>
    <w:pPr>
      <w:pBdr/>
      <w:spacing w:after="120"/>
      <w:ind w:left="283"/>
    </w:pPr>
    <w:rPr>
      <w:sz w:val="16"/>
      <w:szCs w:val="16"/>
    </w:rPr>
  </w:style>
  <w:style w:type="paragraph" w:styleId="1013">
    <w:name w:val="Body Text 2"/>
    <w:basedOn w:val="992"/>
    <w:link w:val="1043"/>
    <w:pPr>
      <w:pBdr/>
      <w:spacing w:after="120" w:line="480" w:lineRule="auto"/>
      <w:ind/>
    </w:pPr>
    <w:rPr>
      <w:szCs w:val="20"/>
    </w:rPr>
  </w:style>
  <w:style w:type="paragraph" w:styleId="1014" w:customStyle="1">
    <w:name w:val="Заголовок1"/>
    <w:basedOn w:val="992"/>
    <w:link w:val="1030"/>
    <w:qFormat/>
    <w:pPr>
      <w:widowControl w:val="false"/>
      <w:pBdr/>
      <w:spacing w:line="480" w:lineRule="exact"/>
      <w:ind w:right="400" w:left="340"/>
      <w:jc w:val="center"/>
    </w:pPr>
    <w:rPr>
      <w:sz w:val="28"/>
      <w:szCs w:val="28"/>
    </w:rPr>
  </w:style>
  <w:style w:type="paragraph" w:styleId="1015" w:customStyle="1">
    <w:name w:val="Обычный.Нормальный абзац"/>
    <w:pPr>
      <w:widowControl w:val="false"/>
      <w:pBdr/>
      <w:spacing/>
      <w:ind w:firstLine="709"/>
      <w:jc w:val="both"/>
    </w:pPr>
    <w:rPr>
      <w:sz w:val="24"/>
      <w:szCs w:val="24"/>
    </w:rPr>
  </w:style>
  <w:style w:type="paragraph" w:styleId="1016">
    <w:name w:val="Footer"/>
    <w:basedOn w:val="99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17">
    <w:name w:val="page number"/>
    <w:pPr>
      <w:pBdr/>
      <w:spacing/>
      <w:ind/>
    </w:pPr>
    <w:rPr>
      <w:rFonts w:cs="Times New Roman"/>
    </w:rPr>
  </w:style>
  <w:style w:type="character" w:styleId="1018" w:customStyle="1">
    <w:name w:val="postbody1"/>
    <w:pPr>
      <w:pBdr/>
      <w:spacing/>
      <w:ind/>
    </w:pPr>
    <w:rPr>
      <w:rFonts w:cs="Times New Roman"/>
      <w:sz w:val="18"/>
      <w:szCs w:val="18"/>
    </w:rPr>
  </w:style>
  <w:style w:type="character" w:styleId="1019" w:customStyle="1">
    <w:name w:val="Знак Знак2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character" w:styleId="1020" w:customStyle="1">
    <w:name w:val="tx2"/>
    <w:pPr>
      <w:pBdr/>
      <w:spacing/>
      <w:ind/>
    </w:pPr>
    <w:rPr>
      <w:rFonts w:ascii="Tahoma" w:hAnsi="Tahoma" w:cs="Tahoma"/>
      <w:b/>
      <w:bCs/>
      <w:color w:val="084a7b"/>
      <w:sz w:val="17"/>
      <w:szCs w:val="17"/>
    </w:rPr>
  </w:style>
  <w:style w:type="paragraph" w:styleId="1021">
    <w:name w:val="Header"/>
    <w:basedOn w:val="992"/>
    <w:pPr>
      <w:pBdr/>
      <w:tabs>
        <w:tab w:val="center" w:leader="none" w:pos="4677"/>
        <w:tab w:val="right" w:leader="none" w:pos="9355"/>
      </w:tabs>
      <w:spacing/>
      <w:ind/>
    </w:pPr>
  </w:style>
  <w:style w:type="table" w:styleId="1022">
    <w:name w:val="Table Grid"/>
    <w:basedOn w:val="9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Balloon Text"/>
    <w:basedOn w:val="99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4" w:customStyle="1">
    <w:name w:val="s_13"/>
    <w:basedOn w:val="992"/>
    <w:pPr>
      <w:pBdr/>
      <w:spacing/>
      <w:ind w:firstLine="720"/>
    </w:pPr>
    <w:rPr>
      <w:sz w:val="20"/>
      <w:szCs w:val="20"/>
    </w:rPr>
  </w:style>
  <w:style w:type="paragraph" w:styleId="1025" w:customStyle="1">
    <w:name w:val="s_222"/>
    <w:basedOn w:val="992"/>
    <w:pPr>
      <w:pBdr/>
      <w:spacing/>
      <w:ind/>
    </w:pPr>
    <w:rPr>
      <w:i/>
      <w:iCs/>
      <w:color w:val="800080"/>
      <w:sz w:val="20"/>
      <w:szCs w:val="20"/>
    </w:rPr>
  </w:style>
  <w:style w:type="character" w:styleId="1026" w:customStyle="1">
    <w:name w:val="s_103"/>
    <w:pPr>
      <w:pBdr/>
      <w:spacing/>
      <w:ind/>
    </w:pPr>
    <w:rPr>
      <w:rFonts w:cs="Times New Roman"/>
      <w:b/>
      <w:bCs/>
      <w:color w:val="000080"/>
    </w:rPr>
  </w:style>
  <w:style w:type="paragraph" w:styleId="1027" w:customStyle="1">
    <w:name w:val="s_153"/>
    <w:basedOn w:val="992"/>
    <w:pPr>
      <w:pBdr/>
      <w:spacing/>
      <w:ind w:left="825"/>
    </w:pPr>
    <w:rPr>
      <w:sz w:val="20"/>
      <w:szCs w:val="20"/>
    </w:rPr>
  </w:style>
  <w:style w:type="paragraph" w:styleId="1028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1029">
    <w:name w:val="Body Text Indent"/>
    <w:basedOn w:val="992"/>
    <w:link w:val="1045"/>
    <w:pPr>
      <w:pBdr/>
      <w:spacing w:after="120"/>
      <w:ind w:left="283"/>
    </w:pPr>
  </w:style>
  <w:style w:type="character" w:styleId="1030" w:customStyle="1">
    <w:name w:val="Название Знак"/>
    <w:link w:val="1014"/>
    <w:pPr>
      <w:pBdr/>
      <w:spacing/>
      <w:ind/>
    </w:pPr>
    <w:rPr>
      <w:rFonts w:cs="Times New Roman"/>
      <w:sz w:val="28"/>
      <w:szCs w:val="28"/>
      <w:lang w:val="ru-RU" w:eastAsia="ru-RU" w:bidi="ar-SA"/>
    </w:rPr>
  </w:style>
  <w:style w:type="paragraph" w:styleId="1031" w:customStyle="1">
    <w:name w:val="Абзац списка1"/>
    <w:basedOn w:val="992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</w:rPr>
  </w:style>
  <w:style w:type="paragraph" w:styleId="1032" w:customStyle="1">
    <w:name w:val="Без интервала1"/>
    <w:pPr>
      <w:pBdr/>
      <w:spacing/>
      <w:ind/>
    </w:pPr>
    <w:rPr>
      <w:rFonts w:ascii="Calibri" w:hAnsi="Calibri"/>
      <w:sz w:val="22"/>
      <w:szCs w:val="22"/>
    </w:rPr>
  </w:style>
  <w:style w:type="paragraph" w:styleId="1033" w:customStyle="1">
    <w:name w:val="Обычный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4" w:customStyle="1">
    <w:name w:val="Обычный2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5" w:customStyle="1">
    <w:name w:val="FR1"/>
    <w:pPr>
      <w:widowControl w:val="false"/>
      <w:pBdr/>
      <w:spacing w:before="700"/>
      <w:ind/>
    </w:pPr>
    <w:rPr>
      <w:b/>
      <w:sz w:val="28"/>
    </w:rPr>
  </w:style>
  <w:style w:type="paragraph" w:styleId="1036" w:customStyle="1">
    <w:name w:val="Обычный1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7" w:customStyle="1">
    <w:name w:val="заголовок 1"/>
    <w:basedOn w:val="992"/>
    <w:next w:val="992"/>
    <w:pPr>
      <w:keepNext w:val="true"/>
      <w:pBdr/>
      <w:spacing w:after="60" w:before="240"/>
      <w:ind/>
    </w:pPr>
    <w:rPr>
      <w:rFonts w:ascii="Arial" w:hAnsi="Arial" w:cs="Arial"/>
      <w:b/>
      <w:bCs/>
      <w:sz w:val="28"/>
      <w:szCs w:val="28"/>
    </w:rPr>
  </w:style>
  <w:style w:type="paragraph" w:styleId="1038" w:customStyle="1">
    <w:name w:val="Квадрат2"/>
    <w:basedOn w:val="992"/>
    <w:pPr>
      <w:pBdr/>
      <w:spacing/>
      <w:ind/>
      <w:jc w:val="both"/>
    </w:pPr>
    <w:rPr>
      <w:rFonts w:ascii="a_Timer" w:hAnsi="a_Timer"/>
      <w:szCs w:val="20"/>
    </w:rPr>
  </w:style>
  <w:style w:type="character" w:styleId="1039" w:customStyle="1">
    <w:name w:val="Font Style23"/>
    <w:pPr>
      <w:pBdr/>
      <w:spacing/>
      <w:ind/>
    </w:pPr>
    <w:rPr>
      <w:rFonts w:ascii="Times New Roman" w:hAnsi="Times New Roman"/>
      <w:sz w:val="22"/>
    </w:rPr>
  </w:style>
  <w:style w:type="character" w:styleId="1040" w:customStyle="1">
    <w:name w:val="ConsPlusNormal Знак"/>
    <w:link w:val="1004"/>
    <w:pPr>
      <w:pBdr/>
      <w:spacing/>
      <w:ind/>
    </w:pPr>
    <w:rPr>
      <w:rFonts w:ascii="Arial" w:hAnsi="Arial"/>
      <w:sz w:val="24"/>
      <w:lang w:val="ru-RU" w:eastAsia="ru-RU" w:bidi="ar-SA"/>
    </w:rPr>
  </w:style>
  <w:style w:type="paragraph" w:styleId="1041" w:customStyle="1">
    <w:name w:val="Без интервала2"/>
    <w:pPr>
      <w:pBdr/>
      <w:spacing/>
      <w:ind/>
    </w:pPr>
    <w:rPr>
      <w:sz w:val="24"/>
      <w:szCs w:val="24"/>
    </w:rPr>
  </w:style>
  <w:style w:type="character" w:styleId="1042" w:customStyle="1">
    <w:name w:val="okpd_span1"/>
    <w:pPr>
      <w:pBdr/>
      <w:spacing/>
      <w:ind/>
    </w:pPr>
    <w:rPr>
      <w:rFonts w:cs="Times New Roman"/>
      <w:b/>
      <w:bCs/>
    </w:rPr>
  </w:style>
  <w:style w:type="character" w:styleId="1043" w:customStyle="1">
    <w:name w:val="Основной текст 2 Знак"/>
    <w:link w:val="1013"/>
    <w:pPr>
      <w:pBdr/>
      <w:spacing/>
      <w:ind/>
    </w:pPr>
    <w:rPr>
      <w:sz w:val="24"/>
    </w:rPr>
  </w:style>
  <w:style w:type="paragraph" w:styleId="1044" w:customStyle="1">
    <w:name w:val="Без интервала11"/>
    <w:pPr>
      <w:pBdr/>
      <w:spacing/>
      <w:ind/>
    </w:pPr>
    <w:rPr>
      <w:rFonts w:ascii="Calibri" w:hAnsi="Calibri"/>
      <w:sz w:val="22"/>
      <w:szCs w:val="22"/>
    </w:rPr>
  </w:style>
  <w:style w:type="character" w:styleId="1045" w:customStyle="1">
    <w:name w:val="Основной текст с отступом Знак"/>
    <w:link w:val="1029"/>
    <w:pPr>
      <w:pBdr/>
      <w:spacing/>
      <w:ind/>
    </w:pPr>
    <w:rPr>
      <w:rFonts w:cs="Times New Roman"/>
      <w:sz w:val="24"/>
      <w:szCs w:val="24"/>
    </w:rPr>
  </w:style>
  <w:style w:type="paragraph" w:styleId="1046" w:customStyle="1">
    <w:name w:val="ConsNormal"/>
    <w:pPr>
      <w:widowControl w:val="false"/>
      <w:pBdr/>
      <w:spacing/>
      <w:ind w:right="19772" w:firstLine="720"/>
    </w:pPr>
    <w:rPr>
      <w:rFonts w:ascii="Arial" w:hAnsi="Arial" w:cs="Arial"/>
    </w:rPr>
  </w:style>
  <w:style w:type="character" w:styleId="1047" w:customStyle="1">
    <w:name w:val="Основной шрифт абзаца2"/>
    <w:pPr>
      <w:pBdr/>
      <w:spacing/>
      <w:ind/>
    </w:pPr>
  </w:style>
  <w:style w:type="character" w:styleId="1048" w:customStyle="1">
    <w:name w:val="Основной шрифт абзаца1"/>
    <w:pPr>
      <w:pBdr/>
      <w:spacing/>
      <w:ind/>
    </w:pPr>
  </w:style>
  <w:style w:type="paragraph" w:styleId="1049" w:customStyle="1">
    <w:name w:val="Текст в заданном формате"/>
    <w:basedOn w:val="992"/>
    <w:pPr>
      <w:widowControl w:val="false"/>
      <w:pBdr/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1050" w:customStyle="1">
    <w:name w:val="Default Text"/>
    <w:pPr>
      <w:widowControl w:val="false"/>
      <w:pBdr/>
      <w:spacing/>
      <w:ind/>
    </w:pPr>
    <w:rPr>
      <w:sz w:val="24"/>
      <w:szCs w:val="24"/>
      <w:lang w:eastAsia="ar-SA"/>
    </w:rPr>
  </w:style>
  <w:style w:type="paragraph" w:styleId="1051">
    <w:name w:val="Normal (Web)"/>
    <w:basedOn w:val="992"/>
    <w:pPr>
      <w:widowControl w:val="false"/>
      <w:pBdr/>
      <w:spacing w:after="280" w:before="280"/>
      <w:ind/>
    </w:pPr>
    <w:rPr>
      <w:rFonts w:ascii="Arial" w:hAnsi="Arial"/>
      <w:lang w:eastAsia="ar-SA"/>
    </w:rPr>
  </w:style>
  <w:style w:type="paragraph" w:styleId="1052" w:customStyle="1">
    <w:name w:val="Содержимое таблицы"/>
    <w:basedOn w:val="992"/>
    <w:pPr>
      <w:widowControl w:val="false"/>
      <w:suppressLineNumbers w:val="true"/>
      <w:pBdr/>
      <w:spacing/>
      <w:ind/>
    </w:pPr>
    <w:rPr>
      <w:rFonts w:ascii="Arial" w:hAnsi="Arial" w:eastAsia="Arial Unicode MS"/>
    </w:rPr>
  </w:style>
  <w:style w:type="paragraph" w:styleId="1053" w:customStyle="1">
    <w:name w:val="АД_Текст отступ 3"/>
    <w:basedOn w:val="992"/>
    <w:pPr>
      <w:pBdr/>
      <w:spacing/>
      <w:ind w:left="1418"/>
      <w:jc w:val="both"/>
    </w:pPr>
    <w:rPr>
      <w:sz w:val="20"/>
      <w:szCs w:val="20"/>
      <w:lang w:eastAsia="ar-SA"/>
    </w:rPr>
  </w:style>
  <w:style w:type="paragraph" w:styleId="1054">
    <w:name w:val="HTML Preformatted"/>
    <w:basedOn w:val="992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1055" w:customStyle="1">
    <w:name w:val="Стиль3 Знак Знак"/>
    <w:basedOn w:val="1034"/>
    <w:pPr>
      <w:pBdr/>
      <w:tabs>
        <w:tab w:val="left" w:leader="none" w:pos="77"/>
      </w:tabs>
      <w:spacing w:line="100" w:lineRule="atLeast"/>
      <w:ind w:firstLine="0" w:left="283"/>
    </w:pPr>
    <w:rPr>
      <w:lang w:eastAsia="ar-SA"/>
    </w:rPr>
  </w:style>
  <w:style w:type="paragraph" w:styleId="1056" w:customStyle="1">
    <w:name w:val="Основной текст с отступом 31"/>
    <w:basedOn w:val="1034"/>
    <w:pPr>
      <w:widowControl w:val="true"/>
      <w:pBdr/>
      <w:spacing w:after="120" w:line="100" w:lineRule="atLeast"/>
      <w:ind w:firstLine="0" w:left="283"/>
    </w:pPr>
    <w:rPr>
      <w:sz w:val="16"/>
      <w:szCs w:val="16"/>
      <w:lang w:eastAsia="ar-SA"/>
    </w:rPr>
  </w:style>
  <w:style w:type="paragraph" w:styleId="1057" w:customStyle="1">
    <w:name w:val="Основной текст 31"/>
    <w:basedOn w:val="1034"/>
    <w:pPr>
      <w:widowControl w:val="true"/>
      <w:pBdr/>
      <w:spacing w:after="120" w:line="100" w:lineRule="atLeast"/>
      <w:ind w:firstLine="0"/>
    </w:pPr>
    <w:rPr>
      <w:sz w:val="16"/>
      <w:szCs w:val="16"/>
      <w:lang w:eastAsia="ar-SA"/>
    </w:rPr>
  </w:style>
  <w:style w:type="paragraph" w:styleId="1058" w:customStyle="1">
    <w:name w:val="3"/>
    <w:basedOn w:val="1034"/>
    <w:next w:val="1051"/>
    <w:pPr>
      <w:widowControl w:val="true"/>
      <w:pBdr/>
      <w:spacing w:after="280" w:before="280" w:line="100" w:lineRule="atLeast"/>
      <w:ind w:firstLine="0"/>
      <w:jc w:val="left"/>
    </w:pPr>
    <w:rPr>
      <w:szCs w:val="24"/>
      <w:lang w:eastAsia="ar-SA"/>
    </w:rPr>
  </w:style>
  <w:style w:type="character" w:styleId="1059" w:customStyle="1">
    <w:name w:val="b-serp-url__item"/>
    <w:pPr>
      <w:pBdr/>
      <w:spacing/>
      <w:ind/>
    </w:pPr>
    <w:rPr>
      <w:rFonts w:cs="Times New Roman"/>
    </w:rPr>
  </w:style>
  <w:style w:type="paragraph" w:styleId="1060" w:customStyle="1">
    <w:name w:val="Без интервала21"/>
    <w:pPr>
      <w:pBdr/>
      <w:spacing/>
      <w:ind/>
    </w:pPr>
    <w:rPr>
      <w:rFonts w:ascii="Calibri" w:hAnsi="Calibri"/>
      <w:sz w:val="22"/>
      <w:szCs w:val="22"/>
    </w:rPr>
  </w:style>
  <w:style w:type="paragraph" w:styleId="1061" w:customStyle="1">
    <w:name w:val="Style37"/>
    <w:basedOn w:val="992"/>
    <w:pPr>
      <w:widowControl w:val="false"/>
      <w:pBdr/>
      <w:spacing w:line="306" w:lineRule="exact"/>
      <w:ind/>
      <w:jc w:val="center"/>
    </w:pPr>
  </w:style>
  <w:style w:type="paragraph" w:styleId="1062" w:customStyle="1">
    <w:name w:val="Абзац списка2"/>
    <w:basedOn w:val="992"/>
    <w:link w:val="1063"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</w:rPr>
  </w:style>
  <w:style w:type="character" w:styleId="1063" w:customStyle="1">
    <w:name w:val="List Paragraph Char1"/>
    <w:link w:val="1062"/>
    <w:pPr>
      <w:pBdr/>
      <w:spacing/>
      <w:ind/>
    </w:pPr>
    <w:rPr>
      <w:rFonts w:ascii="Calibri" w:hAnsi="Calibri" w:eastAsia="Calibri"/>
      <w:sz w:val="22"/>
      <w:szCs w:val="22"/>
      <w:lang w:val="ru-RU" w:eastAsia="ru-RU" w:bidi="ar-SA"/>
    </w:rPr>
  </w:style>
  <w:style w:type="character" w:styleId="1064" w:customStyle="1">
    <w:name w:val="Font Style42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065" w:customStyle="1">
    <w:name w:val="Основной текст5"/>
    <w:basedOn w:val="992"/>
    <w:pPr>
      <w:pBdr/>
      <w:shd w:val="clear" w:color="auto" w:fill="ffffff"/>
      <w:spacing w:line="240" w:lineRule="atLeast"/>
      <w:ind/>
      <w:jc w:val="right"/>
    </w:pPr>
    <w:rPr>
      <w:rFonts w:ascii="Calibri" w:hAnsi="Calibri"/>
      <w:sz w:val="19"/>
      <w:szCs w:val="19"/>
      <w:lang w:eastAsia="en-US"/>
    </w:rPr>
  </w:style>
  <w:style w:type="paragraph" w:styleId="1066" w:customStyle="1">
    <w:name w:val="Style15"/>
    <w:basedOn w:val="992"/>
    <w:pPr>
      <w:widowControl w:val="false"/>
      <w:pBdr/>
      <w:spacing w:line="295" w:lineRule="exact"/>
      <w:ind w:firstLine="752"/>
      <w:jc w:val="both"/>
    </w:pPr>
  </w:style>
  <w:style w:type="paragraph" w:styleId="1067" w:customStyle="1">
    <w:name w:val="Style27"/>
    <w:basedOn w:val="992"/>
    <w:pPr>
      <w:widowControl w:val="false"/>
      <w:pBdr/>
      <w:spacing w:line="320" w:lineRule="exact"/>
      <w:ind/>
      <w:jc w:val="center"/>
    </w:pPr>
  </w:style>
  <w:style w:type="paragraph" w:styleId="1068" w:customStyle="1">
    <w:name w:val="Style34"/>
    <w:basedOn w:val="992"/>
    <w:pPr>
      <w:widowControl w:val="false"/>
      <w:pBdr/>
      <w:spacing/>
      <w:ind/>
    </w:pPr>
  </w:style>
  <w:style w:type="paragraph" w:styleId="1069" w:customStyle="1">
    <w:name w:val="Style32"/>
    <w:basedOn w:val="992"/>
    <w:pPr>
      <w:widowControl w:val="false"/>
      <w:pBdr/>
      <w:spacing w:line="322" w:lineRule="exact"/>
      <w:ind/>
      <w:jc w:val="both"/>
    </w:pPr>
  </w:style>
  <w:style w:type="character" w:styleId="1070" w:customStyle="1">
    <w:name w:val="Основной текст Знак"/>
    <w:link w:val="1006"/>
    <w:pPr>
      <w:pBdr/>
      <w:spacing/>
      <w:ind/>
    </w:pPr>
    <w:rPr>
      <w:sz w:val="24"/>
      <w:szCs w:val="24"/>
    </w:rPr>
  </w:style>
  <w:style w:type="paragraph" w:styleId="1071">
    <w:name w:val="Body Text Indent 2"/>
    <w:basedOn w:val="992"/>
    <w:link w:val="1072"/>
    <w:pPr>
      <w:pBdr/>
      <w:spacing w:after="120" w:line="480" w:lineRule="auto"/>
      <w:ind w:left="283"/>
    </w:pPr>
  </w:style>
  <w:style w:type="character" w:styleId="1072" w:customStyle="1">
    <w:name w:val="Основной текст с отступом 2 Знак"/>
    <w:link w:val="1071"/>
    <w:pPr>
      <w:pBdr/>
      <w:spacing/>
      <w:ind/>
    </w:pPr>
    <w:rPr>
      <w:sz w:val="24"/>
      <w:szCs w:val="24"/>
    </w:rPr>
  </w:style>
  <w:style w:type="paragraph" w:styleId="1073" w:customStyle="1">
    <w:name w:val="Знак Знак Знак Знак Знак Знак Знак2"/>
    <w:basedOn w:val="992"/>
    <w:uiPriority w:val="99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74">
    <w:name w:val="No Spacing"/>
    <w:uiPriority w:val="99"/>
    <w:qFormat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paragraph" w:styleId="1075" w:customStyle="1">
    <w:name w:val="Con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1076">
    <w:name w:val="List Paragraph"/>
    <w:basedOn w:val="992"/>
    <w:uiPriority w:val="34"/>
    <w:qFormat/>
    <w:pPr>
      <w:pBdr/>
      <w:spacing/>
      <w:ind w:left="720"/>
    </w:pPr>
  </w:style>
  <w:style w:type="paragraph" w:styleId="1077" w:customStyle="1">
    <w:name w:val="Обычный таблица"/>
    <w:basedOn w:val="992"/>
    <w:link w:val="1078"/>
    <w:uiPriority w:val="99"/>
    <w:pPr>
      <w:pBdr/>
      <w:spacing/>
      <w:ind/>
    </w:pPr>
    <w:rPr>
      <w:sz w:val="18"/>
      <w:szCs w:val="18"/>
    </w:rPr>
  </w:style>
  <w:style w:type="character" w:styleId="1078" w:customStyle="1">
    <w:name w:val="Обычный таблица Знак"/>
    <w:link w:val="1077"/>
    <w:uiPriority w:val="99"/>
    <w:pPr>
      <w:pBdr/>
      <w:spacing/>
      <w:ind/>
    </w:pPr>
    <w:rPr>
      <w:sz w:val="18"/>
      <w:szCs w:val="18"/>
    </w:rPr>
  </w:style>
  <w:style w:type="paragraph" w:styleId="1079" w:customStyle="1">
    <w:name w:val="Без интервала3"/>
    <w:pPr>
      <w:pBdr/>
      <w:spacing/>
      <w:ind/>
    </w:pPr>
    <w:rPr>
      <w:sz w:val="24"/>
      <w:szCs w:val="24"/>
    </w:rPr>
  </w:style>
  <w:style w:type="paragraph" w:styleId="1080" w:customStyle="1">
    <w:name w:val="Стиль3"/>
    <w:basedOn w:val="1071"/>
    <w:pPr>
      <w:widowControl w:val="false"/>
      <w:pBdr/>
      <w:tabs>
        <w:tab w:val="num" w:leader="none" w:pos="1307"/>
      </w:tabs>
      <w:spacing w:after="0" w:line="240" w:lineRule="auto"/>
      <w:ind w:left="1080"/>
      <w:jc w:val="both"/>
    </w:pPr>
    <w:rPr>
      <w:szCs w:val="20"/>
    </w:rPr>
  </w:style>
  <w:style w:type="paragraph" w:styleId="1081" w:customStyle="1">
    <w:name w:val="tz_txt"/>
    <w:basedOn w:val="992"/>
    <w:link w:val="1082"/>
    <w:uiPriority w:val="99"/>
    <w:pPr>
      <w:pBdr/>
      <w:spacing w:after="120"/>
      <w:ind w:firstLine="709"/>
      <w:jc w:val="both"/>
    </w:pPr>
    <w:rPr>
      <w:rFonts w:ascii="Calibri" w:hAnsi="Calibri"/>
      <w:szCs w:val="20"/>
    </w:rPr>
  </w:style>
  <w:style w:type="character" w:styleId="1082" w:customStyle="1">
    <w:name w:val="tz_txt Знак"/>
    <w:link w:val="1081"/>
    <w:uiPriority w:val="99"/>
    <w:pPr>
      <w:pBdr/>
      <w:spacing/>
      <w:ind/>
    </w:pPr>
    <w:rPr>
      <w:rFonts w:ascii="Calibri" w:hAnsi="Calibri"/>
      <w:sz w:val="24"/>
    </w:rPr>
  </w:style>
  <w:style w:type="character" w:styleId="1083" w:customStyle="1">
    <w:name w:val="Основной текст (2)_"/>
    <w:link w:val="1085"/>
    <w:pPr>
      <w:pBdr/>
      <w:spacing/>
      <w:ind/>
    </w:pPr>
    <w:rPr>
      <w:sz w:val="26"/>
      <w:szCs w:val="26"/>
      <w:shd w:val="clear" w:color="auto" w:fill="ffffff"/>
    </w:rPr>
  </w:style>
  <w:style w:type="character" w:styleId="1084" w:customStyle="1">
    <w:name w:val="Заголовок №1_"/>
    <w:link w:val="1086"/>
    <w:pPr>
      <w:pBdr/>
      <w:spacing/>
      <w:ind/>
    </w:pPr>
    <w:rPr>
      <w:b/>
      <w:bCs/>
      <w:sz w:val="26"/>
      <w:szCs w:val="26"/>
      <w:shd w:val="clear" w:color="auto" w:fill="ffffff"/>
    </w:rPr>
  </w:style>
  <w:style w:type="paragraph" w:styleId="1085" w:customStyle="1">
    <w:name w:val="Основной текст (2)"/>
    <w:basedOn w:val="992"/>
    <w:link w:val="1083"/>
    <w:pPr>
      <w:widowControl w:val="false"/>
      <w:pBdr/>
      <w:shd w:val="clear" w:color="auto" w:fill="ffffff"/>
      <w:spacing w:after="120" w:line="0" w:lineRule="atLeast"/>
      <w:ind w:hanging="360"/>
      <w:jc w:val="both"/>
    </w:pPr>
    <w:rPr>
      <w:sz w:val="26"/>
      <w:szCs w:val="26"/>
    </w:rPr>
  </w:style>
  <w:style w:type="paragraph" w:styleId="1086" w:customStyle="1">
    <w:name w:val="Заголовок №1"/>
    <w:basedOn w:val="992"/>
    <w:link w:val="1084"/>
    <w:pPr>
      <w:widowControl w:val="false"/>
      <w:pBdr/>
      <w:shd w:val="clear" w:color="auto" w:fill="ffffff"/>
      <w:spacing w:line="295" w:lineRule="exact"/>
      <w:ind w:hanging="360"/>
      <w:jc w:val="both"/>
      <w:outlineLvl w:val="0"/>
    </w:pPr>
    <w:rPr>
      <w:b/>
      <w:bCs/>
      <w:sz w:val="26"/>
      <w:szCs w:val="26"/>
    </w:rPr>
  </w:style>
  <w:style w:type="character" w:styleId="1087">
    <w:name w:val="FollowedHyperlink"/>
    <w:pPr>
      <w:pBdr/>
      <w:spacing/>
      <w:ind/>
    </w:pPr>
    <w:rPr>
      <w:color w:val="800080"/>
      <w:u w:val="single"/>
    </w:rPr>
  </w:style>
  <w:style w:type="character" w:styleId="1088" w:customStyle="1">
    <w:name w:val="Заголовок 2 Знак"/>
    <w:link w:val="994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1089">
    <w:name w:val="Document Map"/>
    <w:basedOn w:val="992"/>
    <w:link w:val="1090"/>
    <w:pPr>
      <w:pBdr/>
      <w:spacing/>
      <w:ind/>
    </w:pPr>
    <w:rPr>
      <w:rFonts w:ascii="Tahoma" w:hAnsi="Tahoma"/>
      <w:sz w:val="16"/>
      <w:szCs w:val="16"/>
    </w:rPr>
  </w:style>
  <w:style w:type="character" w:styleId="1090" w:customStyle="1">
    <w:name w:val="Схема документа Знак"/>
    <w:link w:val="1089"/>
    <w:pPr>
      <w:pBdr/>
      <w:spacing/>
      <w:ind/>
    </w:pPr>
    <w:rPr>
      <w:rFonts w:ascii="Tahoma" w:hAnsi="Tahoma" w:cs="Tahoma"/>
      <w:sz w:val="16"/>
      <w:szCs w:val="16"/>
    </w:rPr>
  </w:style>
  <w:style w:type="paragraph" w:styleId="1091">
    <w:name w:val="TOC Heading"/>
    <w:basedOn w:val="993"/>
    <w:next w:val="992"/>
    <w:uiPriority w:val="39"/>
    <w:semiHidden/>
    <w:unhideWhenUsed/>
    <w:qFormat/>
    <w:pPr>
      <w:keepNext w:val="true"/>
      <w:keepLines w:val="true"/>
      <w:widowControl w:val="true"/>
      <w:pBdr/>
      <w:spacing w:after="0" w:before="480" w:line="276" w:lineRule="auto"/>
      <w:ind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092">
    <w:name w:val="toc 2"/>
    <w:basedOn w:val="992"/>
    <w:next w:val="992"/>
    <w:uiPriority w:val="39"/>
    <w:pPr>
      <w:pBdr/>
      <w:spacing/>
      <w:ind w:left="240"/>
    </w:pPr>
  </w:style>
  <w:style w:type="paragraph" w:styleId="1093">
    <w:name w:val="endnote text"/>
    <w:basedOn w:val="992"/>
    <w:link w:val="1094"/>
    <w:pPr>
      <w:pBdr/>
      <w:spacing/>
      <w:ind/>
    </w:pPr>
    <w:rPr>
      <w:sz w:val="20"/>
      <w:szCs w:val="20"/>
    </w:rPr>
  </w:style>
  <w:style w:type="character" w:styleId="1094" w:customStyle="1">
    <w:name w:val="Текст концевой сноски Знак"/>
    <w:basedOn w:val="998"/>
    <w:link w:val="1093"/>
    <w:pPr>
      <w:pBdr/>
      <w:spacing/>
      <w:ind/>
    </w:pPr>
  </w:style>
  <w:style w:type="character" w:styleId="1095">
    <w:name w:val="endnote reference"/>
    <w:pPr>
      <w:pBdr/>
      <w:spacing/>
      <w:ind/>
    </w:pPr>
    <w:rPr>
      <w:vertAlign w:val="superscript"/>
    </w:rPr>
  </w:style>
  <w:style w:type="paragraph" w:styleId="1096" w:customStyle="1">
    <w:name w:val="Без интервала4"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paragraph" w:styleId="1097" w:customStyle="1">
    <w:name w:val="Без интервала5"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character" w:styleId="1098" w:customStyle="1">
    <w:name w:val="Основной текст_"/>
    <w:link w:val="1099"/>
    <w:pPr>
      <w:pBdr/>
      <w:spacing/>
      <w:ind/>
    </w:pPr>
    <w:rPr>
      <w:color w:val="1f211f"/>
    </w:rPr>
  </w:style>
  <w:style w:type="paragraph" w:styleId="1099" w:customStyle="1">
    <w:name w:val="Основной текст1"/>
    <w:basedOn w:val="992"/>
    <w:link w:val="1098"/>
    <w:pPr>
      <w:widowControl w:val="false"/>
      <w:pBdr/>
      <w:spacing/>
      <w:ind w:firstLine="400"/>
    </w:pPr>
    <w:rPr>
      <w:color w:val="1f211f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FD8FBD3DF6CEA3F4A5C30E2B90F192AA493E52BEEB340553B3C13076A8804A6018E094827D9349781B97A825C28AC88614523DFC7D3A16P3K3A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www.sberbank-ast.ru/" TargetMode="External"/><Relationship Id="rId15" Type="http://schemas.openxmlformats.org/officeDocument/2006/relationships/hyperlink" Target="https://www.roseltor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15AF-489B-44F3-888F-96D868EC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revision>5</cp:revision>
  <dcterms:created xsi:type="dcterms:W3CDTF">2026-04-06T11:55:00Z</dcterms:created>
  <dcterms:modified xsi:type="dcterms:W3CDTF">2026-05-14T08:23:03Z</dcterms:modified>
</cp:coreProperties>
</file>