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pageBreakBefore/>
        <w:spacing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  <w:t xml:space="preserve">                          </w:t>
      </w:r>
      <w:r>
        <w:rPr>
          <w:b/>
          <w:sz w:val="24"/>
          <w:szCs w:val="24"/>
          <w:highlight w:val="none"/>
        </w:rPr>
        <w:t xml:space="preserve">                                                                                                                         ПРОЕКТ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Государственный контракт №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line="240" w:lineRule="auto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на оказание медицинских услуг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0" w:type="auto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8"/>
        <w:gridCol w:w="530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88" w:type="dxa"/>
            <w:vAlign w:val="top"/>
            <w:textDirection w:val="lrTb"/>
            <w:noWrap w:val="false"/>
          </w:tcPr>
          <w:p>
            <w:pPr>
              <w:pStyle w:val="873"/>
              <w:ind w:left="-284" w:right="0"/>
              <w:jc w:val="both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 г. Ижевск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0" w:type="dxa"/>
            <w:vAlign w:val="top"/>
            <w:textDirection w:val="lrTb"/>
            <w:noWrap w:val="false"/>
          </w:tcPr>
          <w:p>
            <w:pPr>
              <w:pStyle w:val="873"/>
              <w:ind w:left="-284" w:right="0"/>
              <w:jc w:val="right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2026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</w:r>
      <w:r>
        <w:rPr>
          <w:b w:val="0"/>
          <w:bCs w:val="0"/>
          <w:sz w:val="24"/>
          <w:szCs w:val="24"/>
          <w:lang w:eastAsia="ar-SA"/>
        </w:rPr>
        <w:t xml:space="preserve">Управление Федеральной службы государственной регистрации, кадастра и картографии по Удмуртской Республике</w:t>
      </w:r>
      <w:r>
        <w:rPr>
          <w:b w:val="0"/>
          <w:bCs w:val="0"/>
          <w:sz w:val="24"/>
          <w:szCs w:val="24"/>
          <w:lang w:eastAsia="ar-SA"/>
        </w:rPr>
        <w:t xml:space="preserve">,</w:t>
      </w:r>
      <w:r>
        <w:rPr>
          <w:sz w:val="24"/>
          <w:szCs w:val="24"/>
          <w:lang w:eastAsia="ar-SA"/>
        </w:rPr>
        <w:t xml:space="preserve"> именуемое в дальнейшем </w:t>
      </w:r>
      <w:r>
        <w:rPr>
          <w:b w:val="0"/>
          <w:bCs w:val="0"/>
          <w:sz w:val="24"/>
          <w:szCs w:val="24"/>
          <w:lang w:eastAsia="ar-SA"/>
        </w:rPr>
        <w:t xml:space="preserve">«Заказчик»</w:t>
      </w:r>
      <w:r>
        <w:rPr>
          <w:b w:val="0"/>
          <w:bCs w:val="0"/>
          <w:sz w:val="24"/>
          <w:szCs w:val="24"/>
          <w:lang w:eastAsia="ar-SA"/>
        </w:rPr>
        <w:t xml:space="preserve">,</w:t>
      </w:r>
      <w:r>
        <w:rPr>
          <w:sz w:val="24"/>
          <w:szCs w:val="24"/>
          <w:lang w:eastAsia="ar-SA"/>
        </w:rPr>
        <w:t xml:space="preserve"> в лице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заместителя руководителя Баймаковой Юлии Владимировны, действующей на основании доверенности </w:t>
      </w: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 xml:space="preserve">01.12.2025г. № 026</w:t>
      </w:r>
      <w:r>
        <w:rPr>
          <w:sz w:val="24"/>
          <w:szCs w:val="24"/>
          <w:lang w:eastAsia="ar-SA"/>
        </w:rPr>
        <w:t xml:space="preserve">, с одной стороны</w:t>
      </w:r>
      <w:r>
        <w:rPr>
          <w:sz w:val="24"/>
          <w:szCs w:val="24"/>
        </w:rPr>
        <w:t xml:space="preserve">, и </w:t>
      </w:r>
      <w:r>
        <w:rPr>
          <w:b/>
          <w:sz w:val="24"/>
          <w:szCs w:val="24"/>
        </w:rPr>
        <w:t xml:space="preserve">________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лице 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действующ</w:t>
      </w:r>
      <w:r>
        <w:rPr>
          <w:sz w:val="24"/>
          <w:szCs w:val="24"/>
        </w:rPr>
        <w:t xml:space="preserve">его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________,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именуемое в дальнейшем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«Исполнитель»</w:t>
      </w:r>
      <w:r>
        <w:rPr>
          <w:b w:val="0"/>
          <w:bCs w:val="0"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при совместном упоминании именуемые </w:t>
      </w:r>
      <w:r>
        <w:rPr>
          <w:b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заключили н</w:t>
      </w:r>
      <w:r>
        <w:rPr>
          <w:sz w:val="24"/>
          <w:szCs w:val="24"/>
        </w:rPr>
        <w:t xml:space="preserve">астоящий </w:t>
      </w:r>
      <w:r>
        <w:rPr>
          <w:sz w:val="24"/>
          <w:szCs w:val="24"/>
        </w:rPr>
        <w:t xml:space="preserve">Контракт о нижеследующем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77"/>
        <w:numPr>
          <w:ilvl w:val="0"/>
          <w:numId w:val="11"/>
        </w:numPr>
        <w:ind w:left="0" w:firstLine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ПРЕДМЕТ КОНТРАКТА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1.1. В соответствии со ст. 6 Закона РФ </w:t>
      </w:r>
      <w:r>
        <w:rPr>
          <w:sz w:val="24"/>
          <w:szCs w:val="24"/>
        </w:rPr>
        <w:t xml:space="preserve">от 02.07.1992г. №3185-1 </w:t>
      </w:r>
      <w:r>
        <w:rPr>
          <w:sz w:val="24"/>
          <w:szCs w:val="24"/>
        </w:rPr>
        <w:t xml:space="preserve">«О психиатрической помощи и гарантиях прав граждан при ее оказании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ст. </w:t>
      </w:r>
      <w:r>
        <w:rPr>
          <w:sz w:val="24"/>
          <w:szCs w:val="24"/>
        </w:rPr>
        <w:t xml:space="preserve">220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ТК</w:t>
      </w:r>
      <w:r>
        <w:rPr>
          <w:sz w:val="24"/>
          <w:szCs w:val="24"/>
        </w:rPr>
        <w:t xml:space="preserve"> РФ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приказом Министерства здравоохранения Российской Федерации от 20.05.2022 года №342н «Об утвер</w:t>
      </w:r>
      <w:r>
        <w:rPr>
          <w:sz w:val="24"/>
          <w:szCs w:val="24"/>
        </w:rPr>
        <w:t xml:space="preserve">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  <w:r>
        <w:rPr>
          <w:b/>
          <w:sz w:val="24"/>
          <w:szCs w:val="24"/>
        </w:rPr>
        <w:t xml:space="preserve">,</w:t>
      </w:r>
      <w:r>
        <w:rPr>
          <w:sz w:val="24"/>
          <w:szCs w:val="24"/>
        </w:rPr>
        <w:t xml:space="preserve"> Заказчик поручает, а Исполнитель принимает на себя обязательства оказать услуги</w:t>
      </w:r>
      <w:r>
        <w:rPr>
          <w:b/>
          <w:bCs/>
          <w:sz w:val="24"/>
          <w:szCs w:val="24"/>
        </w:rPr>
        <w:t xml:space="preserve"> по проведению психиатрических освидетельствований водителей  транспортных средств </w:t>
      </w:r>
      <w:r>
        <w:rPr>
          <w:b w:val="0"/>
          <w:bCs w:val="0"/>
          <w:sz w:val="24"/>
          <w:szCs w:val="24"/>
        </w:rPr>
        <w:t xml:space="preserve">(медицинские услуги)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Медицинские услуги оказываются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момента подписания контракта 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5.12.20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на площадях Исполнителя, расположенных по адресу: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numPr>
          <w:ilvl w:val="0"/>
          <w:numId w:val="13"/>
        </w:numPr>
        <w:ind w:left="0" w:right="0" w:firstLine="775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________;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5"/>
        <w:numPr>
          <w:ilvl w:val="0"/>
          <w:numId w:val="1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ПРАВА И </w:t>
      </w:r>
      <w:r>
        <w:rPr>
          <w:b/>
          <w:sz w:val="24"/>
          <w:szCs w:val="24"/>
        </w:rPr>
        <w:t xml:space="preserve">ОБЯЗАННОСТИ</w:t>
      </w:r>
      <w:r>
        <w:rPr>
          <w:b/>
          <w:sz w:val="24"/>
          <w:szCs w:val="24"/>
        </w:rPr>
        <w:t xml:space="preserve">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Права Заказчика: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2.1.1.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Контролировать ход и качество, оказываемых Исполнителем услуг (путем запроса у Исполнителя сведений о ходе исполнения контракта), при этом, не вмешиваясь в оперативно-хозяйственную деятельность Исполнителя;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2.1.2.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Оказывать Исполнителю необходимое содействие в процессе оказания им услуг по контракту</w:t>
      </w:r>
      <w:r>
        <w:rPr>
          <w:sz w:val="28"/>
          <w:szCs w:val="28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Обязанности Заказчика: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Своевременно и в полном объеме </w:t>
      </w:r>
      <w:r>
        <w:rPr>
          <w:sz w:val="24"/>
          <w:szCs w:val="24"/>
        </w:rPr>
        <w:t xml:space="preserve">оплачивать Исполнителю стоимость оказанных медицинских у</w:t>
      </w:r>
      <w:r>
        <w:rPr>
          <w:sz w:val="24"/>
          <w:szCs w:val="24"/>
        </w:rPr>
        <w:t xml:space="preserve">слуг в соответствии с разделом </w:t>
      </w:r>
      <w:r>
        <w:rPr>
          <w:sz w:val="24"/>
          <w:szCs w:val="24"/>
        </w:rPr>
        <w:t xml:space="preserve">3 настоящего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2.2.2. </w:t>
      </w:r>
      <w:r>
        <w:rPr>
          <w:sz w:val="24"/>
          <w:szCs w:val="24"/>
          <w:u w:val="none"/>
        </w:rPr>
        <w:t xml:space="preserve">Составить и утвердить </w:t>
      </w:r>
      <w:r>
        <w:rPr>
          <w:sz w:val="24"/>
          <w:szCs w:val="24"/>
          <w:u w:val="none"/>
        </w:rPr>
        <w:t xml:space="preserve">руководителем Заказчика </w:t>
      </w:r>
      <w:r>
        <w:rPr>
          <w:sz w:val="24"/>
          <w:szCs w:val="24"/>
          <w:u w:val="none"/>
        </w:rPr>
        <w:t xml:space="preserve">список сотрудников</w:t>
      </w:r>
      <w:r>
        <w:rPr>
          <w:sz w:val="24"/>
          <w:szCs w:val="24"/>
          <w:u w:val="none"/>
        </w:rPr>
        <w:t xml:space="preserve">, котор</w:t>
      </w:r>
      <w:r>
        <w:rPr>
          <w:sz w:val="24"/>
          <w:szCs w:val="24"/>
          <w:u w:val="none"/>
        </w:rPr>
        <w:t xml:space="preserve">ый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заранее </w:t>
      </w:r>
      <w:r>
        <w:rPr>
          <w:sz w:val="24"/>
          <w:szCs w:val="24"/>
          <w:u w:val="none"/>
        </w:rPr>
        <w:t xml:space="preserve">направляется Исполнителю в письменном виде</w:t>
      </w:r>
      <w:r>
        <w:rPr>
          <w:sz w:val="24"/>
          <w:szCs w:val="24"/>
          <w:u w:val="none"/>
        </w:rPr>
        <w:t xml:space="preserve"> с указанием</w:t>
      </w:r>
      <w:r>
        <w:rPr>
          <w:sz w:val="24"/>
          <w:szCs w:val="24"/>
          <w:u w:val="none"/>
        </w:rPr>
        <w:t xml:space="preserve"> ФИО полностью</w:t>
      </w:r>
      <w:r>
        <w:rPr>
          <w:sz w:val="24"/>
          <w:szCs w:val="24"/>
          <w:u w:val="none"/>
        </w:rPr>
        <w:t xml:space="preserve"> в алфавитном порядке, дата рожд</w:t>
      </w:r>
      <w:r>
        <w:rPr>
          <w:sz w:val="24"/>
          <w:szCs w:val="24"/>
          <w:u w:val="none"/>
        </w:rPr>
        <w:t xml:space="preserve">ения, регистрация </w:t>
      </w:r>
      <w:r>
        <w:rPr>
          <w:sz w:val="24"/>
          <w:szCs w:val="24"/>
          <w:u w:val="none"/>
        </w:rPr>
        <w:t xml:space="preserve">по паспорту</w:t>
      </w:r>
      <w:r>
        <w:rPr>
          <w:sz w:val="24"/>
          <w:szCs w:val="24"/>
          <w:u w:val="none"/>
        </w:rPr>
        <w:t xml:space="preserve"> (Приложение 1 к настоящему контракту)</w:t>
      </w:r>
      <w:r>
        <w:rPr>
          <w:sz w:val="24"/>
          <w:szCs w:val="24"/>
          <w:u w:val="none"/>
        </w:rPr>
        <w:t xml:space="preserve">.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Основанием предоставления работнику </w:t>
      </w:r>
      <w:r>
        <w:rPr>
          <w:sz w:val="24"/>
          <w:szCs w:val="24"/>
        </w:rPr>
        <w:t xml:space="preserve">Заказчика медицинских услуг по обязательному психиатрическому освидетельствованию</w:t>
      </w:r>
      <w:r>
        <w:rPr>
          <w:sz w:val="24"/>
          <w:szCs w:val="24"/>
        </w:rPr>
        <w:t xml:space="preserve"> является наличие у работника </w:t>
      </w:r>
      <w:r>
        <w:rPr>
          <w:sz w:val="24"/>
          <w:szCs w:val="24"/>
        </w:rPr>
        <w:t xml:space="preserve">направления на обязательное психиатрическое освидетельствование, </w:t>
      </w:r>
      <w:r>
        <w:rPr>
          <w:sz w:val="24"/>
          <w:szCs w:val="24"/>
        </w:rPr>
        <w:t xml:space="preserve">документа, удостоверяющего личность</w:t>
      </w:r>
      <w:r>
        <w:rPr>
          <w:sz w:val="24"/>
          <w:szCs w:val="24"/>
        </w:rPr>
        <w:t xml:space="preserve">, СНИЛС</w:t>
      </w:r>
      <w:r>
        <w:rPr>
          <w:sz w:val="24"/>
          <w:szCs w:val="24"/>
        </w:rPr>
        <w:t xml:space="preserve"> и включение его в поименный список, представленный Заказчиком Исполнителю в соответствии с п.2.2.2.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>
        <w:rPr>
          <w:sz w:val="24"/>
          <w:szCs w:val="24"/>
        </w:rPr>
        <w:t xml:space="preserve">Своевременно информировать Исполнителя обо всех изменениях персональных данных сотрудников, информация о которых уже направлена Исполнителю для оказания услуг.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Информировать сотрудников Заказчика об условиях и порядке оказания услуг, предусмотренных настоящим контрактом, а также о режиме работы Исполнителя.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</w:t>
      </w:r>
      <w:r>
        <w:rPr>
          <w:b/>
          <w:sz w:val="24"/>
          <w:szCs w:val="24"/>
        </w:rPr>
        <w:t xml:space="preserve">3</w:t>
      </w:r>
      <w:r>
        <w:rPr>
          <w:b/>
          <w:sz w:val="24"/>
          <w:szCs w:val="24"/>
        </w:rPr>
        <w:t xml:space="preserve">. Исполнитель </w:t>
      </w:r>
      <w:r>
        <w:rPr>
          <w:b/>
          <w:sz w:val="24"/>
          <w:szCs w:val="24"/>
        </w:rPr>
        <w:t xml:space="preserve">вправе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О</w:t>
      </w:r>
      <w:r>
        <w:rPr>
          <w:sz w:val="24"/>
          <w:szCs w:val="24"/>
        </w:rPr>
        <w:t xml:space="preserve">тказаться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приема</w:t>
      </w:r>
      <w:r>
        <w:rPr>
          <w:sz w:val="24"/>
          <w:szCs w:val="24"/>
        </w:rPr>
        <w:t xml:space="preserve"> пациента, если последний находится в состоянии опьянения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Изменить стоимость медицинских услуг, уведомив об этом Заказчика не позднее чем за 30 (Тридцать) календарных дней до дня начала действия новых цен на медицинские услуги.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. Исполнитель обязан: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Оказывать медицинские услуги в соответствии с правоустанавливающими документами, регламентирующими деятельность медицинского учреждения (лицензионные и др. документы).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Предоставить Заказчику доступную информацию о предоставляемых услугах, включающую в себя: место</w:t>
      </w:r>
      <w:r>
        <w:rPr>
          <w:sz w:val="24"/>
          <w:szCs w:val="24"/>
        </w:rPr>
        <w:t xml:space="preserve"> оказания услуг, режим работы, </w:t>
      </w:r>
      <w:r>
        <w:rPr>
          <w:sz w:val="24"/>
          <w:szCs w:val="24"/>
        </w:rPr>
        <w:t xml:space="preserve">условия предоставления и получения этих услуг. Время оказания медицинских услуг по контракту определяется </w:t>
      </w:r>
      <w:r>
        <w:rPr>
          <w:sz w:val="24"/>
          <w:szCs w:val="24"/>
        </w:rPr>
        <w:t xml:space="preserve">Исполнителем и согласовывается </w:t>
      </w:r>
      <w:r>
        <w:rPr>
          <w:sz w:val="24"/>
          <w:szCs w:val="24"/>
        </w:rPr>
        <w:t xml:space="preserve">с Заказчиком до даты оказания услуг Исполнителем в устной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Оказать медицинские услуги в согласованные сроки качественно и в полном объеме.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Обеспечить соответствие медицинских услуг требованиям</w:t>
      </w:r>
      <w:r>
        <w:rPr>
          <w:sz w:val="24"/>
          <w:szCs w:val="24"/>
        </w:rPr>
        <w:t xml:space="preserve">, предъявляемым к обязательным </w:t>
      </w:r>
      <w:r>
        <w:rPr>
          <w:sz w:val="24"/>
          <w:szCs w:val="24"/>
        </w:rPr>
        <w:t xml:space="preserve">психиатрическим освидетельствованиям с присутствием психиатрической комиссии.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В случае оказания услуг ненадлежащего качества оказать повторно за свой счет.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2.4.6.По результатам психиатрического освид</w:t>
      </w:r>
      <w:r>
        <w:rPr>
          <w:sz w:val="24"/>
          <w:szCs w:val="24"/>
        </w:rPr>
        <w:t xml:space="preserve">етельствования выдать заключение о прохождении обязательного психиатрического освидетельствования</w:t>
      </w:r>
      <w:r>
        <w:rPr>
          <w:sz w:val="24"/>
          <w:szCs w:val="24"/>
        </w:rPr>
        <w:t xml:space="preserve"> в день </w:t>
      </w:r>
      <w:r>
        <w:rPr>
          <w:sz w:val="24"/>
          <w:szCs w:val="24"/>
        </w:rPr>
        <w:t xml:space="preserve">получения услуги</w:t>
      </w:r>
      <w:r>
        <w:rPr>
          <w:sz w:val="24"/>
          <w:szCs w:val="24"/>
        </w:rPr>
        <w:t xml:space="preserve">. В некоторых случаях, в целях о</w:t>
      </w:r>
      <w:r>
        <w:rPr>
          <w:sz w:val="24"/>
          <w:szCs w:val="24"/>
        </w:rPr>
        <w:t xml:space="preserve">свидетельствования Исполнитель </w:t>
      </w:r>
      <w:r>
        <w:rPr>
          <w:sz w:val="24"/>
          <w:szCs w:val="24"/>
        </w:rPr>
        <w:t xml:space="preserve">вправе запрашивать у медицинских учреждений (или Заказчика) дополнительные сведения, о чем работник ставится в известность. В этом случае Исполнитель принимает ре</w:t>
      </w:r>
      <w:r>
        <w:rPr>
          <w:sz w:val="24"/>
          <w:szCs w:val="24"/>
        </w:rPr>
        <w:t xml:space="preserve">шение о прохождении осмотра </w:t>
      </w:r>
      <w:r>
        <w:rPr>
          <w:sz w:val="24"/>
          <w:szCs w:val="24"/>
        </w:rPr>
        <w:t xml:space="preserve">в течение 10 дней после получения дополнительных сведений.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2.4.7. Не раскрывать посторонним лицам, непосредственно не занятым в оказании услуг, характер и объемы медицинских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2.4.8. Ве</w:t>
      </w:r>
      <w:r>
        <w:rPr>
          <w:sz w:val="24"/>
          <w:szCs w:val="24"/>
        </w:rPr>
        <w:t xml:space="preserve">сти учет медицинских услуг по освидетельствованиям</w:t>
      </w:r>
      <w:r>
        <w:rPr>
          <w:sz w:val="24"/>
          <w:szCs w:val="24"/>
        </w:rPr>
        <w:t xml:space="preserve"> в соответствии с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Если есть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обстоятельства,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зависящие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Заказчика,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способные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снизить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качество медицинской услуги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невозможности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завершить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согласованные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сроки, Исполнитель обязан проинформировать об этом Заказчика.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 </w:t>
      </w:r>
      <w:r>
        <w:rPr>
          <w:b/>
          <w:sz w:val="24"/>
          <w:szCs w:val="24"/>
        </w:rPr>
        <w:t xml:space="preserve">СТОИМОСТЬ УСЛУГ, СРОКИ</w:t>
      </w:r>
      <w:r>
        <w:rPr>
          <w:b/>
          <w:sz w:val="24"/>
          <w:szCs w:val="24"/>
        </w:rPr>
        <w:t xml:space="preserve"> ПРИЕМКИ УСЛУГ И ПОРЯДОК РАСЧЕТОВ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Цена контракта составляет </w:t>
      </w:r>
      <w:r>
        <w:rPr>
          <w:b/>
          <w:sz w:val="24"/>
          <w:szCs w:val="24"/>
        </w:rPr>
        <w:t xml:space="preserve">________</w:t>
      </w:r>
      <w:r>
        <w:rPr>
          <w:b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</w:t>
      </w:r>
      <w:r>
        <w:rPr>
          <w:b w:val="0"/>
          <w:bCs w:val="0"/>
          <w:sz w:val="24"/>
          <w:szCs w:val="24"/>
        </w:rPr>
        <w:t xml:space="preserve">________</w:t>
      </w:r>
      <w:r>
        <w:rPr>
          <w:b w:val="0"/>
          <w:bCs w:val="0"/>
          <w:sz w:val="24"/>
          <w:szCs w:val="24"/>
        </w:rPr>
        <w:t xml:space="preserve">) </w:t>
      </w:r>
      <w:r>
        <w:rPr>
          <w:b w:val="0"/>
          <w:bCs w:val="0"/>
          <w:sz w:val="24"/>
          <w:szCs w:val="24"/>
        </w:rPr>
        <w:t xml:space="preserve">руб</w:t>
      </w:r>
      <w:r>
        <w:rPr>
          <w:b w:val="0"/>
          <w:bCs w:val="0"/>
          <w:sz w:val="24"/>
          <w:szCs w:val="24"/>
        </w:rPr>
        <w:t xml:space="preserve">лей</w:t>
      </w:r>
      <w:r>
        <w:rPr>
          <w:b w:val="0"/>
          <w:bCs w:val="0"/>
          <w:sz w:val="24"/>
          <w:szCs w:val="24"/>
        </w:rPr>
        <w:t xml:space="preserve"> __ копеек, с учетом НДС __%, </w:t>
      </w:r>
      <w:r>
        <w:rPr>
          <w:sz w:val="24"/>
          <w:szCs w:val="24"/>
        </w:rPr>
        <w:t xml:space="preserve"> (НДС не облагается)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Цена </w:t>
      </w:r>
      <w:r>
        <w:rPr>
          <w:sz w:val="24"/>
          <w:szCs w:val="24"/>
        </w:rPr>
        <w:t xml:space="preserve">медицинской</w:t>
      </w:r>
      <w:r>
        <w:rPr>
          <w:sz w:val="24"/>
          <w:szCs w:val="24"/>
        </w:rPr>
        <w:t xml:space="preserve"> услуги – </w:t>
      </w:r>
      <w:r>
        <w:rPr>
          <w:b w:val="0"/>
          <w:bCs w:val="0"/>
          <w:sz w:val="24"/>
          <w:szCs w:val="24"/>
        </w:rPr>
        <w:t xml:space="preserve">проведение психиатрического освидетельствования водителей транспортных средств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 </w:t>
      </w:r>
      <w:r>
        <w:rPr>
          <w:b/>
          <w:sz w:val="24"/>
          <w:szCs w:val="24"/>
        </w:rPr>
        <w:t xml:space="preserve">________</w:t>
      </w:r>
      <w:r>
        <w:rPr>
          <w:b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</w:t>
      </w:r>
      <w:r>
        <w:rPr>
          <w:b w:val="0"/>
          <w:bCs w:val="0"/>
          <w:sz w:val="24"/>
          <w:szCs w:val="24"/>
        </w:rPr>
        <w:t xml:space="preserve">________</w:t>
      </w:r>
      <w:r>
        <w:rPr>
          <w:b w:val="0"/>
          <w:bCs w:val="0"/>
          <w:sz w:val="24"/>
          <w:szCs w:val="24"/>
        </w:rPr>
        <w:t xml:space="preserve">) </w:t>
      </w:r>
      <w:r>
        <w:rPr>
          <w:b w:val="0"/>
          <w:bCs w:val="0"/>
          <w:sz w:val="24"/>
          <w:szCs w:val="24"/>
        </w:rPr>
        <w:t xml:space="preserve">руб</w:t>
      </w:r>
      <w:r>
        <w:rPr>
          <w:b w:val="0"/>
          <w:bCs w:val="0"/>
          <w:sz w:val="24"/>
          <w:szCs w:val="24"/>
        </w:rPr>
        <w:t xml:space="preserve">лей</w:t>
      </w:r>
      <w:r>
        <w:rPr>
          <w:b w:val="0"/>
          <w:bCs w:val="0"/>
          <w:sz w:val="24"/>
          <w:szCs w:val="24"/>
        </w:rPr>
        <w:t xml:space="preserve"> __ копеек за одного работника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3.2. </w:t>
      </w:r>
      <w:r>
        <w:rPr>
          <w:sz w:val="24"/>
          <w:szCs w:val="24"/>
        </w:rPr>
        <w:t xml:space="preserve">Цена контракта включает в себя</w:t>
      </w:r>
      <w:r>
        <w:rPr>
          <w:color w:val="000000"/>
          <w:sz w:val="24"/>
          <w:szCs w:val="24"/>
        </w:rPr>
        <w:t xml:space="preserve"> все расходы </w:t>
      </w:r>
      <w:r>
        <w:rPr>
          <w:color w:val="000000"/>
          <w:sz w:val="24"/>
          <w:szCs w:val="24"/>
          <w:lang w:val="ru-RU"/>
        </w:rPr>
        <w:t xml:space="preserve">Исполнителя</w:t>
      </w:r>
      <w:r>
        <w:rPr>
          <w:color w:val="000000"/>
          <w:sz w:val="24"/>
          <w:szCs w:val="24"/>
        </w:rPr>
        <w:t xml:space="preserve">, в том числе </w:t>
      </w:r>
      <w:r>
        <w:rPr>
          <w:sz w:val="24"/>
          <w:szCs w:val="24"/>
        </w:rPr>
        <w:t xml:space="preserve">расходы на</w:t>
      </w:r>
      <w:r>
        <w:rPr>
          <w:color w:val="000000"/>
          <w:spacing w:val="2"/>
          <w:sz w:val="24"/>
          <w:szCs w:val="24"/>
        </w:rPr>
        <w:t xml:space="preserve"> расходные материалы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уплату налогов, сборов и других обязательных платежей. Цена контракта является твердой и определяется на весь срок исполнения Контракта за исключением случаев, предусмотренных законодательством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Стоимость работ з</w:t>
      </w:r>
      <w:r>
        <w:rPr>
          <w:sz w:val="24"/>
          <w:szCs w:val="24"/>
        </w:rPr>
        <w:t xml:space="preserve">а оказанные медицинские услуги по контракту </w:t>
      </w:r>
      <w:r>
        <w:rPr>
          <w:sz w:val="24"/>
          <w:szCs w:val="24"/>
        </w:rPr>
        <w:t xml:space="preserve">определяется на основании количественной заявки 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Ежемесячно, после оказания медицинских услуг Исполнитель, не позднее 5 (пяти) рабочих дней со дня окончания отчетного месяца направляет Заказчику за фактичес</w:t>
      </w:r>
      <w:r>
        <w:rPr>
          <w:sz w:val="24"/>
          <w:szCs w:val="24"/>
        </w:rPr>
        <w:t xml:space="preserve">ки оказанные услуги акт об оказании услуг (при обмене документами через электронный документооборот – УПД) с указанием наименования услуг, количества оказываемых услуг, цены услуги в рублях, и реестр оказанных медицинских услуг одним из следующих способов: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numPr>
          <w:ilvl w:val="0"/>
          <w:numId w:val="14"/>
        </w:numPr>
        <w:ind w:left="0" w:right="0" w:firstLine="775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посредством электронного документооборота по телекоммуникационным каналам связи с применением электронной цифровой подписи;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885"/>
        <w:numPr>
          <w:ilvl w:val="0"/>
          <w:numId w:val="14"/>
        </w:numPr>
        <w:ind w:left="0" w:firstLine="7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почтовых отправлений на почтовый адрес, указанный в разделе 10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в течение 5 (Пяти) рабочих дней </w:t>
      </w:r>
      <w:r>
        <w:rPr>
          <w:sz w:val="24"/>
          <w:szCs w:val="24"/>
        </w:rPr>
        <w:t xml:space="preserve">после получения от Исполнителя платежных документов (счет, акт об оказании услуг или УПД)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 приемку услуг</w:t>
      </w:r>
      <w:r>
        <w:rPr>
          <w:sz w:val="24"/>
          <w:szCs w:val="24"/>
        </w:rPr>
        <w:t xml:space="preserve">  и производит оплату оказанных услуг в течение 10 (десяти) рабочих дней путем перечисления безналичных денежных средств на лицевой счет Исполнителя.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sz w:val="24"/>
          <w:szCs w:val="24"/>
        </w:rPr>
        <w:t xml:space="preserve">Услуги считаются оказанными Исполнителем и принятыми Заказчиком к оплате после подписания сторонами акта об оказании услуг или УПД.</w:t>
      </w:r>
      <w:r>
        <w:rPr>
          <w:sz w:val="24"/>
          <w:szCs w:val="24"/>
        </w:rPr>
        <w:t xml:space="preserve"> В случае возникновения разногласий Заказчик направляет Исполнителю мотивированный отказ от подписания акта оказанных услуг или УПД в течение 10 (десяти) рабочих дней с момента его получения.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 наличия недостатков Заказчик и Исполнитель составляют и подписывают Акт выявленных недостатков с указанием сроков их устранения Исполнителем.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3.7. </w:t>
      </w:r>
      <w:r>
        <w:rPr>
          <w:color w:val="000000"/>
          <w:sz w:val="24"/>
          <w:szCs w:val="24"/>
        </w:rPr>
        <w:t xml:space="preserve">Оплата по </w:t>
      </w:r>
      <w:r>
        <w:rPr>
          <w:color w:val="000000"/>
          <w:sz w:val="24"/>
          <w:szCs w:val="24"/>
        </w:rPr>
        <w:t xml:space="preserve">контракту осуществляется в пределах лимитов бюджетных обязательств, подлежащих исполнению за счет средств Федерального бюджета в 202</w:t>
      </w:r>
      <w:r>
        <w:rPr>
          <w:color w:val="000000"/>
          <w:sz w:val="24"/>
          <w:szCs w:val="24"/>
          <w:lang w:val="ru-RU"/>
        </w:rPr>
        <w:t xml:space="preserve">6</w:t>
      </w:r>
      <w:r>
        <w:rPr>
          <w:color w:val="000000"/>
          <w:sz w:val="24"/>
          <w:szCs w:val="24"/>
        </w:rPr>
        <w:t xml:space="preserve"> году. В случае изменения расчетного счета Исполнитель обязан в одно</w:t>
      </w:r>
      <w:r>
        <w:rPr>
          <w:color w:val="000000"/>
          <w:sz w:val="24"/>
          <w:szCs w:val="24"/>
        </w:rPr>
        <w:t xml:space="preserve">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Исполнителя, несет Исполнитель.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3.8. </w:t>
      </w:r>
      <w:r>
        <w:rPr>
          <w:color w:val="000000"/>
          <w:sz w:val="24"/>
          <w:szCs w:val="24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</w:t>
      </w:r>
      <w:r>
        <w:rPr>
          <w:color w:val="000000"/>
          <w:sz w:val="24"/>
          <w:szCs w:val="24"/>
          <w:lang w:val="ru-RU"/>
        </w:rPr>
        <w:t xml:space="preserve">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 Просрочкой является нарушение сторонами сроков исполнения своих обязательств по Контракту.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4.2. Нарушение условий Контракта, не являющееся просрочкой, является ненадлежащим исполнением условий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В случае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Пеня начисляется за каждый день просрочки исполнения Заказчиком обязательства, предусмотренного Контрактом, начин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За каждый факт неисполнения Заказчиком обя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уплату штрафа. Размер штрафа определяется в соответствии с Правилами и составляет 1000 (одна тысяча) рублей.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За каждый факт неисполнения или ненадлежащего исполнения Исп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Исполнитель уплачивает Заказчику штраф. Размер штрафа определяется в соо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Контрактом (за исключением просрочки исполнения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обязательств Заказчиком, Исполнителем, утвержденными постановлением Правительства Российской Федерации от 30 августа 2017 г. № 1042, и составляет 10 % от цены Контракта (этапа) в случае, если цена Контракта (этапа) не превышает 3 млн. рублей.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4.7. За каждый факт неисполнения или ненадлежащего исполнения Исполнителем обязательств, предусмотренных Контрактом, заключенным по результатам определения Исполнителя в соответствии с пунктом 1 части 1 статьи 30 Федерального зак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она №44-ФЗ, за исключением просрочки исполнения обязательств, предусмотренных Контрактом, размер штрафа устанавливается в размере 1 процента цены Контракта (этапа), но не более 5 тыс. рублей и не менее 1 тыс. рублей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4.8 Пеня начисляется за каждый день просрочки исполнения Исполнителем обязательства, предусмотренного Контрактом,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4.10.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цену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ind w:right="0" w:firstLine="0"/>
        <w:jc w:val="both"/>
        <w:spacing w:line="240" w:lineRule="auto"/>
        <w:widowControl w:val="off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4.11. Реквизиты для перечисления неустойки (штрафы, пени):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</w:p>
    <w:p>
      <w:pPr>
        <w:pStyle w:val="87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УФК по Удмуртской Республике (Управление Росреестра по Удмуртской Республике, лс 04131W00510)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ИНН:1835062672, КПП: 184101001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Банк получателя: ОКЦ № 1 ВВГУ Банка России//УФК по Удмуртской Республике г. Ижевск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БИК: 042202118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Единый казначейский счет: 40102810745370000118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Казначейский счет: 03100643000000011300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Номер лицевого счета: 04131W00510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77"/>
        <w:jc w:val="both"/>
        <w:spacing w:before="0" w:after="0"/>
        <w:rPr>
          <w:rFonts w:ascii="Times New Roman" w:hAnsi="Times New Roman"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 w:bidi="ar-SA"/>
        </w:rPr>
        <w:t xml:space="preserve">ОКТМО 94701000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jc w:val="both"/>
        <w:spacing w:line="240" w:lineRule="auto"/>
        <w:widowControl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КБК: 321 1 16 07010019000140 (штрафы, пени неустойки за просрочку обязательств)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873"/>
        <w:jc w:val="both"/>
        <w:spacing w:line="240" w:lineRule="auto"/>
        <w:widowControl/>
        <w:rPr>
          <w:rFonts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КБК: 3211 16 07090019000140 (штрафы, за не исполнение или ненадлежащее исполнение).</w:t>
      </w:r>
      <w:r>
        <w:rPr>
          <w:rFonts w:eastAsia="Times New Roman" w:cs="Times New Roman"/>
          <w:color w:val="000000"/>
          <w:sz w:val="20"/>
          <w:szCs w:val="20"/>
        </w:rPr>
      </w:r>
      <w:r>
        <w:rPr>
          <w:rFonts w:eastAsia="Times New Roman" w:cs="Times New Roman"/>
          <w:color w:val="000000"/>
          <w:sz w:val="20"/>
          <w:szCs w:val="20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89"/>
        <w:numPr>
          <w:ilvl w:val="0"/>
          <w:numId w:val="8"/>
        </w:numPr>
        <w:ind w:left="0" w:firstLine="0"/>
        <w:jc w:val="both"/>
        <w:spacing w:after="0"/>
        <w:rPr>
          <w:color w:val="000000" w:themeColor="text1"/>
        </w:rPr>
      </w:pPr>
      <w:r>
        <w:rPr>
          <w:color w:val="000000" w:themeColor="text1"/>
        </w:rPr>
      </w:r>
      <w:r>
        <w:rPr>
          <w:b/>
          <w:color w:val="000000"/>
          <w:sz w:val="24"/>
          <w:szCs w:val="24"/>
          <w:lang w:val="ru-RU"/>
        </w:rPr>
        <w:t xml:space="preserve">ПОРЯДОК РАСТОРЖЕНИЯ КОНТРАКТА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5"/>
        <w:ind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Расторжение Контракта допускается по соглашению Сторон, по решению суда или в связи с односторонним отказом Заказчика от исполнения Контракта в соответствии с 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Заказчик вправе принять решение об одностороннем отказе от исполнения Контракта в соответствии с 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вправе провест</w:t>
      </w:r>
      <w:r>
        <w:rPr>
          <w:rFonts w:ascii="Times New Roman" w:hAnsi="Times New Roman" w:cs="Times New Roman"/>
          <w:sz w:val="24"/>
          <w:szCs w:val="24"/>
        </w:rPr>
        <w:t xml:space="preserve">и экспертизу оказанных услуг с привлечением экспертов, экспертных организаций до принятия решения об одностороннем отказе от исполнения Контракта. При этом выбор экспертов, экспертных организаций осуществляется в соответствии с Федеральным законом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Исполнитель (подрядчик, поставщик) вправе принять решение об односторонне</w:t>
      </w:r>
      <w:r>
        <w:rPr>
          <w:rFonts w:ascii="Times New Roman" w:hAnsi="Times New Roman" w:cs="Times New Roman"/>
          <w:sz w:val="24"/>
          <w:szCs w:val="24"/>
        </w:rPr>
        <w:t xml:space="preserve">м отказе от исполнения Контракта по основаниям, предусмотренным ГК РФ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ind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исполнении государственного Контракта изменение его условий не допускается, за исключением случаев, предусмотренных Федеральным законом №44-ФЗ.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  <w:t xml:space="preserve">. ПОРЯДОК</w:t>
      </w:r>
      <w:r>
        <w:rPr>
          <w:b/>
          <w:sz w:val="24"/>
          <w:szCs w:val="24"/>
        </w:rPr>
        <w:t xml:space="preserve"> РАЗРЕШЕНИЯ СПОРОВ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73"/>
        <w:contextualSpacing/>
        <w:ind w:right="0" w:firstLine="0"/>
        <w:jc w:val="both"/>
        <w:spacing w:before="0" w:after="0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6.1. В случае возникновения между сторонами споров и разногласий в ходе исполнения контракта, до обращения с иском в арбитражный суд заин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тересованная сторона направляет претензию. В отношении всех претензий, направляемых по контракту, сторона к которой адресована данная претензия, должна направить письменный ответ по существу претензии в срок не позднее 10 рабочих дней со дня ее получения. 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pStyle w:val="873"/>
        <w:ind w:right="0" w:firstLine="0"/>
        <w:jc w:val="both"/>
        <w:rPr>
          <w:rFonts w:ascii="Times New Roman" w:hAnsi="Times New Roman" w:eastAsia="Times New Roman" w:cs="Times New Roman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 При невозможности разрешения разногласий между сторонами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szCs w:val="20"/>
        </w:rPr>
      </w:r>
      <w:r>
        <w:rPr>
          <w:rFonts w:ascii="Times New Roman" w:hAnsi="Times New Roman" w:eastAsia="Times New Roman" w:cs="Times New Roman"/>
          <w:szCs w:val="20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7</w:t>
      </w:r>
      <w:r>
        <w:rPr>
          <w:b/>
          <w:sz w:val="24"/>
          <w:szCs w:val="24"/>
        </w:rPr>
        <w:t xml:space="preserve">. ПРОЧИЕ   УСЛОВИЯ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.1. При исполнении контракта </w:t>
      </w:r>
      <w:r>
        <w:rPr>
          <w:sz w:val="24"/>
          <w:szCs w:val="24"/>
        </w:rPr>
        <w:t xml:space="preserve">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у вследствие реорганизации юридического лица в форме преобразования, слияния или присоединения.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.2. Ст</w:t>
      </w:r>
      <w:r>
        <w:rPr>
          <w:sz w:val="24"/>
          <w:szCs w:val="24"/>
        </w:rPr>
        <w:t xml:space="preserve">ороны обязуются при исполнении Контракта соблюдать </w:t>
      </w:r>
      <w:r>
        <w:rPr>
          <w:sz w:val="24"/>
          <w:szCs w:val="24"/>
        </w:rPr>
        <w:t xml:space="preserve">требования Федерального закона от 27 июля 2006г. № 152 –ФЗ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 Настоящий Контракт может быть изменен или расторгнут одной из сторон в период его действия на основе их письменного соглашения.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Любые изменения и дополнения к настоящему Контракту действительны лишь при условии, что они совершены в письменной форме и подписаны уполномоченными на то представителями сторон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.5. </w:t>
      </w:r>
      <w:r>
        <w:rPr>
          <w:sz w:val="24"/>
          <w:szCs w:val="24"/>
        </w:rPr>
        <w:t xml:space="preserve">При заключении Контракта Заказчику предоставляется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доступной форме информация о возможности получения соответствующих видов и объемов медицинской помощи</w:t>
      </w:r>
      <w:r>
        <w:rPr>
          <w:sz w:val="24"/>
          <w:szCs w:val="24"/>
        </w:rPr>
        <w:br/>
        <w:t xml:space="preserve">без взимания платы в рамках федеральной и территориальной программ государственных гарантий бесплатного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</w:t>
      </w:r>
      <w:r>
        <w:rPr>
          <w:sz w:val="24"/>
          <w:szCs w:val="24"/>
        </w:rPr>
        <w:t xml:space="preserve">ия гражданам медицинской помощи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отношении каждого работ</w:t>
      </w:r>
      <w:r>
        <w:rPr>
          <w:sz w:val="24"/>
          <w:szCs w:val="24"/>
        </w:rPr>
        <w:t xml:space="preserve">ника обеспечить подтверждение личной подписью работника согласие пациента на вмешательство при оказании платных медицинских услуг в соответствии со ст. 20 Федерального закона от 21.11.2011 №323-ФЗ «Об основах охраны здоровья граждан в Российской Федерации»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К настоящему Контракту прилагается и является его неотъемлемой частью Приложение №1 –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Форма </w:t>
      </w:r>
      <w:r>
        <w:rPr>
          <w:sz w:val="24"/>
          <w:szCs w:val="24"/>
        </w:rPr>
        <w:t xml:space="preserve">Спис</w:t>
      </w:r>
      <w:r>
        <w:rPr>
          <w:sz w:val="24"/>
          <w:szCs w:val="24"/>
        </w:rPr>
        <w:t xml:space="preserve">ка</w:t>
      </w:r>
      <w:r>
        <w:rPr>
          <w:sz w:val="24"/>
          <w:szCs w:val="24"/>
        </w:rPr>
        <w:t xml:space="preserve"> контингента работников, подлежащих прохождению </w:t>
      </w:r>
      <w:r>
        <w:rPr>
          <w:sz w:val="24"/>
          <w:szCs w:val="24"/>
        </w:rPr>
        <w:t xml:space="preserve">обязательного </w:t>
      </w:r>
      <w:r>
        <w:rPr>
          <w:sz w:val="24"/>
          <w:szCs w:val="24"/>
        </w:rPr>
        <w:t xml:space="preserve">психиатрического освидетельствования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7.8</w:t>
      </w:r>
      <w:r>
        <w:rPr>
          <w:sz w:val="24"/>
          <w:szCs w:val="24"/>
        </w:rPr>
        <w:t xml:space="preserve">. Лицо, ответственн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е за исполнение контракта от Заказчика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Данилова Зоя Геннадьевна, начальник Административно-хозяйственного отдела Управления;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jc w:val="both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7.9</w:t>
      </w:r>
      <w:r>
        <w:rPr>
          <w:sz w:val="24"/>
          <w:szCs w:val="24"/>
        </w:rPr>
        <w:t xml:space="preserve">. Контактный телефон</w:t>
      </w:r>
      <w:r>
        <w:rPr>
          <w:sz w:val="24"/>
          <w:szCs w:val="24"/>
        </w:rPr>
        <w:t xml:space="preserve"> и адрес электронной почты:</w:t>
      </w:r>
      <w:r>
        <w:rPr>
          <w:sz w:val="24"/>
          <w:szCs w:val="24"/>
        </w:rPr>
        <w:t xml:space="preserve"> 8 (3412) 78-72-88,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danilova_zg@r18.rosreestr.ru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7.10. Стороны вправе обмениваться документами и подписывать их (в том числе  первичные бухгалтерские документы) в электронной форме посредством выбранной сторонами системы электронного документооборота. 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7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8</w:t>
      </w:r>
      <w:r>
        <w:rPr>
          <w:rFonts w:ascii="Times New Roman" w:hAnsi="Times New Roman"/>
          <w:b/>
          <w:szCs w:val="24"/>
        </w:rPr>
        <w:t xml:space="preserve">. СРОК ДЕЙСТВИЯ КОНТРАКТА 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87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</w:t>
      </w:r>
      <w:r>
        <w:rPr>
          <w:rFonts w:ascii="Times New Roman" w:hAnsi="Times New Roman"/>
          <w:szCs w:val="24"/>
        </w:rPr>
        <w:t xml:space="preserve">.1. Настоящий Контракт вступает в силу с момента подпи</w:t>
      </w:r>
      <w:r>
        <w:rPr>
          <w:rFonts w:ascii="Times New Roman" w:hAnsi="Times New Roman"/>
          <w:szCs w:val="24"/>
        </w:rPr>
        <w:t xml:space="preserve">са</w:t>
      </w:r>
      <w:r>
        <w:rPr>
          <w:rFonts w:ascii="Times New Roman" w:hAnsi="Times New Roman"/>
          <w:szCs w:val="24"/>
        </w:rPr>
        <w:t xml:space="preserve">ния</w:t>
      </w:r>
      <w:r>
        <w:rPr>
          <w:rFonts w:ascii="Times New Roman" w:hAnsi="Times New Roman"/>
          <w:szCs w:val="24"/>
        </w:rPr>
        <w:t xml:space="preserve"> и действует до </w:t>
      </w:r>
      <w:r>
        <w:rPr>
          <w:rFonts w:ascii="Times New Roman" w:hAnsi="Times New Roman"/>
          <w:szCs w:val="24"/>
        </w:rPr>
        <w:t xml:space="preserve">31.12.20</w:t>
      </w:r>
      <w:r>
        <w:rPr>
          <w:rFonts w:ascii="Times New Roman" w:hAnsi="Times New Roman"/>
          <w:szCs w:val="24"/>
        </w:rPr>
        <w:t xml:space="preserve">2</w:t>
      </w:r>
      <w:r>
        <w:rPr>
          <w:rFonts w:ascii="Times New Roman" w:hAnsi="Times New Roman"/>
          <w:szCs w:val="24"/>
        </w:rPr>
        <w:t xml:space="preserve">6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года включительно</w:t>
      </w:r>
      <w:r>
        <w:rPr>
          <w:rFonts w:ascii="Times New Roman" w:hAnsi="Times New Roman"/>
          <w:szCs w:val="24"/>
        </w:rPr>
        <w:t xml:space="preserve">, а в части оплаты до полного погашения.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.2. Настоящий Контракт </w:t>
      </w:r>
      <w:r>
        <w:rPr>
          <w:sz w:val="24"/>
          <w:szCs w:val="24"/>
        </w:rPr>
        <w:t xml:space="preserve">составлен в двух э</w:t>
      </w:r>
      <w:r>
        <w:rPr>
          <w:sz w:val="24"/>
          <w:szCs w:val="24"/>
        </w:rPr>
        <w:t xml:space="preserve">кземплярах, имеющих одинаковую </w:t>
      </w:r>
      <w:r>
        <w:rPr>
          <w:sz w:val="24"/>
          <w:szCs w:val="24"/>
        </w:rPr>
        <w:t xml:space="preserve">юридическую силу, по одному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7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9.1. Стороны обязаны уведомлять друг друга заблаговременного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877"/>
        <w:ind w:right="0" w:firstLine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9.2. Любые уведомления, запросы, требования, согласия, согласования, ответы и иная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корреспонденция должны направляться</w:t>
      </w:r>
      <w:r>
        <w:rPr>
          <w:rFonts w:ascii="Times New Roman" w:hAnsi="Times New Roman" w:cs="Times New Roman"/>
          <w:color w:val="000000"/>
          <w:sz w:val="24"/>
        </w:rPr>
        <w:t xml:space="preserve">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законом от 6 апреля 2011 г. № 63-ФЗ «Об электронной подписи».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pStyle w:val="877"/>
        <w:ind w:right="0" w:firstLine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/>
          <w:color w:val="000000"/>
          <w:sz w:val="24"/>
        </w:rPr>
        <w:t xml:space="preserve">9.3. Во всем, что не оговорено в Контракте, стороны руководствуются законодательством Российской Федерации.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rFonts w:ascii="Times New Roman" w:hAnsi="Times New Roman" w:cs="Times New Roman"/>
          <w:color w:val="000000"/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РЕКВИЗИТЫ 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151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10"/>
        <w:gridCol w:w="5241"/>
      </w:tblGrid>
      <w:tr>
        <w:tblPrEx/>
        <w:trPr>
          <w:trHeight w:val="3949"/>
        </w:trPr>
        <w:tc>
          <w:tcPr>
            <w:tcW w:w="4910" w:type="dxa"/>
            <w:textDirection w:val="lrTb"/>
            <w:noWrap w:val="false"/>
          </w:tcPr>
          <w:p>
            <w:pPr>
              <w:pStyle w:val="879"/>
              <w:ind w:left="-5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Федеральной службы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left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государственной регистрации, кадастра и картографии по Удмуртской Республике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426011, г. Ижевск, ул. М. Горького, д. 56,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1835062672, КПП 184101001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 1 ВВГУ Банка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по Нижегородской области,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Нижний Новгород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012202102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счета: 03211643000000013239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счет, к/с: 40102810745370000024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03131W00510,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3"/>
              <w:spacing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Тел: 8 (3412) 78-72-88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spacing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"mailto:buh@r18.rosreestr.ru"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  <w:lang w:val="en-US"/>
              </w:rPr>
              <w:t xml:space="preserve">buh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</w:rPr>
              <w:t xml:space="preserve">@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  <w:lang w:val="en-US"/>
              </w:rPr>
              <w:t xml:space="preserve">r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</w:rPr>
              <w:t xml:space="preserve">18.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  <w:lang w:val="en-US"/>
              </w:rPr>
              <w:t xml:space="preserve">rosreestr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</w:rPr>
              <w:t xml:space="preserve">.</w:t>
            </w:r>
            <w:r>
              <w:rPr>
                <w:rStyle w:val="884"/>
                <w:rFonts w:ascii="Times New Roman" w:hAnsi="Times New Roman" w:eastAsia="Times New Roman" w:cs="Times New Roman"/>
                <w:b w:val="0"/>
                <w:bCs w:val="0"/>
                <w:color w:val="0075c5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_______________________/Ю.В. Баймакова/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r>
          </w:p>
        </w:tc>
        <w:tc>
          <w:tcPr>
            <w:tcW w:w="5241" w:type="dxa"/>
            <w:textDirection w:val="lrTb"/>
            <w:noWrap w:val="false"/>
          </w:tcPr>
          <w:p>
            <w:pPr>
              <w:pStyle w:val="87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7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</w:rPr>
      </w:r>
      <w:r>
        <w:rPr>
          <w:rStyle w:val="897"/>
          <w:b w:val="0"/>
          <w:bCs w:val="0"/>
          <w:spacing w:val="0"/>
          <w:sz w:val="24"/>
          <w:szCs w:val="24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rStyle w:val="897"/>
          <w:b w:val="0"/>
          <w:bCs w:val="0"/>
          <w:spacing w:val="0"/>
          <w:sz w:val="24"/>
          <w:szCs w:val="24"/>
          <w:highlight w:val="none"/>
        </w:rPr>
      </w:pPr>
      <w:r>
        <w:rPr>
          <w:rStyle w:val="897"/>
          <w:b w:val="0"/>
          <w:bCs w:val="0"/>
          <w:spacing w:val="0"/>
          <w:sz w:val="24"/>
          <w:szCs w:val="24"/>
        </w:rPr>
        <w:t xml:space="preserve">Приложение № 1 </w:t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  <w:r>
        <w:rPr>
          <w:rStyle w:val="897"/>
          <w:b w:val="0"/>
          <w:bCs w:val="0"/>
          <w:spacing w:val="0"/>
          <w:sz w:val="24"/>
          <w:szCs w:val="24"/>
          <w:highlight w:val="none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b w:val="0"/>
          <w:bCs w:val="0"/>
          <w:spacing w:val="0"/>
          <w:sz w:val="24"/>
          <w:szCs w:val="24"/>
        </w:rPr>
      </w:pPr>
      <w:r>
        <w:rPr>
          <w:rStyle w:val="897"/>
          <w:b w:val="0"/>
          <w:bCs w:val="0"/>
          <w:spacing w:val="0"/>
          <w:sz w:val="24"/>
          <w:szCs w:val="24"/>
        </w:rPr>
        <w:t xml:space="preserve">к Контракту </w:t>
      </w:r>
      <w:r>
        <w:rPr>
          <w:b w:val="0"/>
          <w:bCs w:val="0"/>
          <w:spacing w:val="0"/>
          <w:sz w:val="24"/>
          <w:szCs w:val="24"/>
        </w:rPr>
      </w:r>
      <w:r>
        <w:rPr>
          <w:b w:val="0"/>
          <w:bCs w:val="0"/>
          <w:spacing w:val="0"/>
          <w:sz w:val="24"/>
          <w:szCs w:val="24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  <w:rPr>
          <w:b w:val="0"/>
          <w:bCs w:val="0"/>
          <w:spacing w:val="0"/>
          <w:sz w:val="24"/>
          <w:szCs w:val="24"/>
        </w:rPr>
      </w:pPr>
      <w:r>
        <w:rPr>
          <w:rStyle w:val="897"/>
          <w:b w:val="0"/>
          <w:bCs w:val="0"/>
          <w:spacing w:val="0"/>
          <w:sz w:val="24"/>
          <w:szCs w:val="24"/>
        </w:rPr>
        <w:t xml:space="preserve">№ </w:t>
      </w:r>
      <w:r>
        <w:rPr>
          <w:rStyle w:val="897"/>
          <w:rFonts w:eastAsia="Times New Roman" w:cs="Times New Roman"/>
          <w:b w:val="0"/>
          <w:bCs w:val="0"/>
          <w:i w:val="0"/>
          <w:caps/>
          <w:color w:val="000000"/>
          <w:spacing w:val="0"/>
          <w:sz w:val="24"/>
          <w:szCs w:val="24"/>
        </w:rPr>
        <w:t xml:space="preserve">________</w:t>
      </w:r>
      <w:r>
        <w:rPr>
          <w:rStyle w:val="897"/>
          <w:b w:val="0"/>
          <w:bCs w:val="0"/>
          <w:spacing w:val="0"/>
          <w:sz w:val="24"/>
          <w:szCs w:val="24"/>
        </w:rPr>
        <w:t xml:space="preserve">     </w:t>
      </w:r>
      <w:r>
        <w:rPr>
          <w:b w:val="0"/>
          <w:bCs w:val="0"/>
          <w:spacing w:val="0"/>
          <w:sz w:val="24"/>
          <w:szCs w:val="24"/>
        </w:rPr>
      </w:r>
      <w:r>
        <w:rPr>
          <w:b w:val="0"/>
          <w:bCs w:val="0"/>
          <w:spacing w:val="0"/>
          <w:sz w:val="24"/>
          <w:szCs w:val="24"/>
        </w:rPr>
      </w:r>
    </w:p>
    <w:p>
      <w:pPr>
        <w:pStyle w:val="896"/>
        <w:ind w:left="7143" w:right="0"/>
        <w:jc w:val="left"/>
        <w:spacing w:before="0" w:after="0" w:line="240" w:lineRule="auto"/>
        <w:shd w:val="clear" w:color="auto" w:fill="auto"/>
        <w:widowControl w:val="off"/>
      </w:pPr>
      <w:r>
        <w:rPr>
          <w:rStyle w:val="897"/>
          <w:b w:val="0"/>
          <w:bCs w:val="0"/>
          <w:spacing w:val="0"/>
          <w:sz w:val="24"/>
          <w:szCs w:val="24"/>
        </w:rPr>
        <w:t xml:space="preserve">от «___» _______ 2026 г.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135890</wp:posOffset>
                </wp:positionV>
                <wp:extent cx="2548890" cy="247015"/>
                <wp:effectExtent l="0" t="0" r="27305" b="20320"/>
                <wp:wrapNone/>
                <wp:docPr id="1" name="Поле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 xml:space="preserve">ФОРМА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8240;o:allowoverlap:true;o:allowincell:true;mso-position-horizontal-relative:text;margin-left:145.25pt;mso-position-horizontal:absolute;mso-position-vertical-relative:text;margin-top:10.70pt;mso-position-vertical:absolute;width:200.70pt;height:19.4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t xml:space="preserve">ФОРМА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>
        <w:t xml:space="preserve">«___________________________________»</w:t>
      </w:r>
      <w:r/>
    </w:p>
    <w:p>
      <w:pPr>
        <w:ind w:left="4956" w:firstLine="708"/>
        <w:jc w:val="center"/>
      </w:pPr>
      <w:r>
        <w:t xml:space="preserve">наименование учреждения</w:t>
      </w:r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</w:t>
      </w:r>
      <w:r>
        <w:rPr>
          <w:b/>
          <w:sz w:val="24"/>
          <w:szCs w:val="24"/>
        </w:rPr>
        <w:t xml:space="preserve">сок</w:t>
      </w:r>
      <w:r>
        <w:rPr>
          <w:b/>
          <w:sz w:val="24"/>
          <w:szCs w:val="24"/>
        </w:rPr>
        <w:t xml:space="preserve"> контингента работников, подлежащих прохождению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обязательного </w:t>
      </w:r>
      <w:r>
        <w:rPr>
          <w:b/>
          <w:sz w:val="24"/>
          <w:szCs w:val="24"/>
        </w:rPr>
        <w:t xml:space="preserve">психиатрического освидетельствования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</w:pPr>
      <w:r>
        <w:t xml:space="preserve">(</w:t>
      </w:r>
      <w:r>
        <w:t xml:space="preserve">в соответствии с </w:t>
      </w:r>
      <w:r>
        <w:t xml:space="preserve">приказом Министерства здравоохранения Российской Федерации от 20.05.2022 года №342н «Об утвер</w:t>
      </w:r>
      <w:r>
        <w:t xml:space="preserve">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  <w:r>
        <w:t xml:space="preserve">)</w:t>
      </w:r>
      <w:r/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 контракту от «__</w:t>
      </w:r>
      <w:r>
        <w:rPr>
          <w:b w:val="0"/>
          <w:bCs w:val="0"/>
          <w:sz w:val="24"/>
          <w:szCs w:val="24"/>
        </w:rPr>
        <w:t xml:space="preserve">_» _________________20____года </w:t>
      </w:r>
      <w:r>
        <w:rPr>
          <w:b w:val="0"/>
          <w:bCs w:val="0"/>
          <w:sz w:val="24"/>
          <w:szCs w:val="24"/>
        </w:rPr>
        <w:t xml:space="preserve">№_______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center"/>
      </w:pPr>
      <w:r/>
      <w:r/>
    </w:p>
    <w:tbl>
      <w:tblPr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417"/>
        <w:gridCol w:w="3119"/>
      </w:tblGrid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870" w:leader="none"/>
              </w:tabs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496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870" w:leader="none"/>
              </w:tabs>
              <w:rPr>
                <w:b/>
              </w:rPr>
            </w:pPr>
            <w:r>
              <w:rPr>
                <w:b/>
              </w:rPr>
              <w:t xml:space="preserve">ФИО</w:t>
            </w:r>
            <w:r>
              <w:rPr>
                <w:b/>
              </w:rPr>
              <w:t xml:space="preserve"> полностью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tabs>
                <w:tab w:val="left" w:pos="3870" w:leader="none"/>
              </w:tabs>
              <w:rPr>
                <w:b/>
              </w:rPr>
            </w:pPr>
            <w:r>
              <w:rPr>
                <w:b/>
              </w:rPr>
              <w:t xml:space="preserve">(в алфавитном порядке)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870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рождения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3870" w:leader="none"/>
              </w:tabs>
              <w:rPr>
                <w:b/>
              </w:rPr>
            </w:pPr>
            <w:r>
              <w:rPr>
                <w:b/>
              </w:rPr>
              <w:t xml:space="preserve">Регистрация по паспорту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720"/>
              <w:jc w:val="center"/>
              <w:tabs>
                <w:tab w:val="left" w:pos="336" w:leader="none"/>
                <w:tab w:val="left" w:pos="3870" w:leader="none"/>
              </w:tabs>
            </w:pPr>
            <w:r/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890"/>
              <w:jc w:val="lef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    .    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687"/>
              <w:jc w:val="center"/>
              <w:tabs>
                <w:tab w:val="left" w:pos="336" w:leader="none"/>
                <w:tab w:val="left" w:pos="3870" w:leader="none"/>
              </w:tabs>
            </w:pPr>
            <w:r/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890"/>
              <w:jc w:val="lef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    .    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687"/>
              <w:jc w:val="center"/>
              <w:tabs>
                <w:tab w:val="left" w:pos="336" w:leader="none"/>
                <w:tab w:val="left" w:pos="3870" w:leader="none"/>
              </w:tabs>
            </w:pPr>
            <w:r/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890"/>
              <w:jc w:val="lef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    .    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hanging="687"/>
              <w:jc w:val="center"/>
              <w:tabs>
                <w:tab w:val="left" w:pos="336" w:leader="none"/>
                <w:tab w:val="left" w:pos="3870" w:leader="none"/>
              </w:tabs>
            </w:pPr>
            <w:r/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890"/>
              <w:jc w:val="lef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    .    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tabs>
                <w:tab w:val="left" w:pos="336" w:leader="none"/>
                <w:tab w:val="left" w:pos="3870" w:leader="none"/>
              </w:tabs>
            </w:pPr>
            <w:r>
              <w:t xml:space="preserve">    …</w:t>
            </w:r>
            <w:r/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pStyle w:val="890"/>
              <w:jc w:val="lef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    .    </w:t>
            </w:r>
            <w:r/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tabs>
          <w:tab w:val="left" w:pos="3870" w:leader="none"/>
        </w:tabs>
      </w:pPr>
      <w:r/>
      <w:r/>
    </w:p>
    <w:tbl>
      <w:tblPr>
        <w:tblW w:w="10293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24"/>
        <w:gridCol w:w="5369"/>
      </w:tblGrid>
      <w:tr>
        <w:tblPrEx/>
        <w:trPr>
          <w:trHeight w:val="1574"/>
        </w:trPr>
        <w:tc>
          <w:tcPr>
            <w:tcW w:w="4924" w:type="dxa"/>
            <w:textDirection w:val="lrTb"/>
            <w:noWrap w:val="false"/>
          </w:tcPr>
          <w:p>
            <w:pPr>
              <w:pStyle w:val="879"/>
              <w:ind w:left="-5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Заказчик: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Заместитель руководителя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873"/>
              <w:jc w:val="both"/>
              <w:widowControl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_______________________/Ю.В. Баймакова/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6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Исполнитель: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737" w:bottom="851" w:left="1077" w:header="709" w:footer="35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</w:pPr>
    <w:fldSimple w:instr="PAGE \* MERGEFORMAT">
      <w:r>
        <w:rPr>
          <w:sz w:val="24"/>
          <w:szCs w:val="24"/>
        </w:rPr>
        <w:t xml:space="preserve">1</w:t>
      </w:r>
    </w:fldSimple>
    <w:r>
      <w:rPr>
        <w:sz w:val="24"/>
        <w:szCs w:val="24"/>
      </w:rPr>
    </w:r>
    <w:r>
      <w:rPr>
        <w:sz w:val="24"/>
        <w:szCs w:val="24"/>
      </w:rPr>
    </w:r>
    <w:r/>
  </w:p>
  <w:p>
    <w:pPr>
      <w:pStyle w:val="8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  <w:bCs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62" w:hanging="72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"/>
      <w:lvlJc w:val="left"/>
      <w:pPr>
        <w:ind w:left="786" w:hanging="360"/>
      </w:pPr>
      <w:rPr>
        <w:rFonts w:hint="default" w:ascii="Symbol" w:hAnsi="Symbol"/>
        <w:sz w:val="40"/>
        <w:szCs w:val="40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sz w:val="40"/>
        <w:szCs w:val="4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3"/>
    <w:next w:val="873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4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3"/>
    <w:next w:val="873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4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4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4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4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4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4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3"/>
    <w:next w:val="873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4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3"/>
    <w:next w:val="873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4"/>
    <w:link w:val="718"/>
    <w:uiPriority w:val="10"/>
    <w:rPr>
      <w:sz w:val="48"/>
      <w:szCs w:val="48"/>
    </w:rPr>
  </w:style>
  <w:style w:type="paragraph" w:styleId="720">
    <w:name w:val="Subtitle"/>
    <w:basedOn w:val="873"/>
    <w:next w:val="873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4"/>
    <w:link w:val="720"/>
    <w:uiPriority w:val="11"/>
    <w:rPr>
      <w:sz w:val="24"/>
      <w:szCs w:val="24"/>
    </w:rPr>
  </w:style>
  <w:style w:type="paragraph" w:styleId="722">
    <w:name w:val="Quote"/>
    <w:basedOn w:val="873"/>
    <w:next w:val="87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3"/>
    <w:next w:val="87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4"/>
    <w:link w:val="880"/>
    <w:uiPriority w:val="99"/>
  </w:style>
  <w:style w:type="character" w:styleId="727">
    <w:name w:val="Footer Char"/>
    <w:basedOn w:val="874"/>
    <w:link w:val="882"/>
    <w:uiPriority w:val="99"/>
  </w:style>
  <w:style w:type="paragraph" w:styleId="72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2"/>
    <w:uiPriority w:val="99"/>
  </w:style>
  <w:style w:type="table" w:styleId="730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4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4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Body Text"/>
    <w:basedOn w:val="873"/>
    <w:link w:val="878"/>
    <w:unhideWhenUsed/>
    <w:pPr>
      <w:jc w:val="both"/>
    </w:pPr>
    <w:rPr>
      <w:rFonts w:ascii="Arial" w:hAnsi="Arial"/>
      <w:sz w:val="24"/>
    </w:rPr>
  </w:style>
  <w:style w:type="character" w:styleId="878" w:customStyle="1">
    <w:name w:val="Основной текст Знак"/>
    <w:basedOn w:val="874"/>
    <w:link w:val="877"/>
    <w:rPr>
      <w:rFonts w:ascii="Arial" w:hAnsi="Arial" w:eastAsia="Times New Roman" w:cs="Times New Roman"/>
      <w:sz w:val="24"/>
      <w:szCs w:val="20"/>
      <w:lang w:eastAsia="ar-SA"/>
    </w:rPr>
  </w:style>
  <w:style w:type="paragraph" w:styleId="879" w:customStyle="1">
    <w:name w:val="Содержимое таблицы"/>
    <w:basedOn w:val="873"/>
    <w:pPr>
      <w:suppressLineNumbers/>
    </w:pPr>
  </w:style>
  <w:style w:type="paragraph" w:styleId="880">
    <w:name w:val="Header"/>
    <w:basedOn w:val="873"/>
    <w:link w:val="88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874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2">
    <w:name w:val="Footer"/>
    <w:basedOn w:val="873"/>
    <w:link w:val="88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874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84">
    <w:name w:val="Hyperlink"/>
    <w:basedOn w:val="874"/>
    <w:uiPriority w:val="99"/>
    <w:unhideWhenUsed/>
    <w:rPr>
      <w:color w:val="0000ff" w:themeColor="hyperlink"/>
      <w:u w:val="single"/>
    </w:rPr>
  </w:style>
  <w:style w:type="paragraph" w:styleId="885">
    <w:name w:val="List Paragraph"/>
    <w:basedOn w:val="873"/>
    <w:uiPriority w:val="34"/>
    <w:qFormat/>
    <w:pPr>
      <w:contextualSpacing/>
      <w:ind w:left="720"/>
    </w:pPr>
  </w:style>
  <w:style w:type="paragraph" w:styleId="886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87">
    <w:name w:val="Body Text Indent"/>
    <w:basedOn w:val="873"/>
    <w:link w:val="888"/>
    <w:uiPriority w:val="99"/>
    <w:semiHidden/>
    <w:unhideWhenUsed/>
    <w:pPr>
      <w:ind w:left="283"/>
      <w:spacing w:after="120"/>
    </w:pPr>
  </w:style>
  <w:style w:type="character" w:styleId="888" w:customStyle="1">
    <w:name w:val="Основной текст с отступом Знак"/>
    <w:basedOn w:val="874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9" w:customStyle="1">
    <w:name w:val="title_num1"/>
    <w:basedOn w:val="873"/>
    <w:uiPriority w:val="99"/>
    <w:semiHidden/>
    <w:pPr>
      <w:jc w:val="center"/>
      <w:spacing w:after="150"/>
    </w:pPr>
    <w:rPr>
      <w:b/>
      <w:bCs/>
      <w:sz w:val="24"/>
      <w:szCs w:val="24"/>
      <w:lang w:eastAsia="ru-RU"/>
    </w:rPr>
  </w:style>
  <w:style w:type="paragraph" w:styleId="890" w:customStyle="1">
    <w:name w:val="Нормальный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873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74"/>
    <w:link w:val="891"/>
    <w:uiPriority w:val="99"/>
    <w:semiHidden/>
    <w:rPr>
      <w:rFonts w:ascii="Tahoma" w:hAnsi="Tahoma" w:eastAsia="Times New Roman" w:cs="Tahoma"/>
      <w:sz w:val="16"/>
      <w:szCs w:val="16"/>
      <w:lang w:eastAsia="ar-SA"/>
    </w:rPr>
  </w:style>
  <w:style w:type="character" w:styleId="893">
    <w:name w:val="Unresolved Mention"/>
    <w:basedOn w:val="874"/>
    <w:uiPriority w:val="99"/>
    <w:semiHidden/>
    <w:unhideWhenUsed/>
    <w:rPr>
      <w:color w:val="605e5c"/>
      <w:shd w:val="clear" w:color="auto" w:fill="e1dfdd"/>
    </w:rPr>
  </w:style>
  <w:style w:type="paragraph" w:styleId="894" w:customStyle="1">
    <w:name w:val="Основной текст2"/>
    <w:next w:val="705"/>
    <w:pPr>
      <w:contextualSpacing w:val="0"/>
      <w:ind w:left="0" w:right="0" w:firstLine="0"/>
      <w:jc w:val="both"/>
      <w:keepLines w:val="0"/>
      <w:keepNext w:val="0"/>
      <w:pageBreakBefore w:val="0"/>
      <w:spacing w:before="300" w:beforeAutospacing="0" w:after="0" w:afterAutospacing="0" w:line="25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95" w:customStyle="1">
    <w:name w:val="ConsPlusNormal"/>
    <w:next w:val="71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96" w:customStyle="1">
    <w:name w:val="Основной текст (2)"/>
    <w:next w:val="703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80" w:afterAutospacing="0" w:line="2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97" w:customStyle="1">
    <w:name w:val="Основной текст (2) + 10;5 pt;Интервал 2 pt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50"/>
      <w:position w:val="0"/>
      <w:sz w:val="21"/>
      <w:szCs w:val="21"/>
      <w:u w:val="none"/>
      <w:vertAlign w:val="baseli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76675-4096-4FC8-9F1D-C1540C09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29</cp:revision>
  <dcterms:created xsi:type="dcterms:W3CDTF">2024-08-07T06:19:00Z</dcterms:created>
  <dcterms:modified xsi:type="dcterms:W3CDTF">2026-06-26T05:30:54Z</dcterms:modified>
</cp:coreProperties>
</file>