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Начальная (максимальная) цена государственного контракта,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52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обоснование начальной максимальной цены государственного контракта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52"/>
        <w:ind w:firstLine="709"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tbl>
      <w:tblPr>
        <w:tblW w:w="5125" w:type="pct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907"/>
        <w:gridCol w:w="11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vAlign w:val="top"/>
            <w:textDirection w:val="lrTb"/>
            <w:noWrap w:val="false"/>
          </w:tcPr>
          <w:p>
            <w:pPr>
              <w:pStyle w:val="848"/>
              <w:ind w:left="57" w:right="57" w:hanging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sz w:val="22"/>
                <w:szCs w:val="22"/>
              </w:rPr>
              <w:t xml:space="preserve"> объекта закупки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1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оставка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запасных частей, комплектующих для АРМ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  <w:lang w:eastAsia="ru-RU"/>
              </w:rPr>
              <w:t xml:space="preserve"> (кулеры для процессоров)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vAlign w:val="top"/>
            <w:textDirection w:val="lrTb"/>
            <w:noWrap w:val="false"/>
          </w:tcPr>
          <w:p>
            <w:pPr>
              <w:pStyle w:val="848"/>
              <w:ind w:right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Используемый метод определения НМЦК с обоснованием: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16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Иной метод на основании информации, содержащейся в коммерческих предложениях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7" w:type="dxa"/>
            <w:vAlign w:val="top"/>
            <w:textDirection w:val="lrTb"/>
            <w:noWrap w:val="false"/>
          </w:tcPr>
          <w:p>
            <w:pPr>
              <w:pStyle w:val="848"/>
              <w:ind w:left="57" w:right="57" w:hanging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Расчет НМЦК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16" w:type="dxa"/>
            <w:vAlign w:val="center"/>
            <w:textDirection w:val="lrTb"/>
            <w:noWrap w:val="false"/>
          </w:tcPr>
          <w:p>
            <w:pPr>
              <w:pStyle w:val="848"/>
              <w:ind w:right="114" w:firstLine="312"/>
              <w:jc w:val="both"/>
              <w:tabs>
                <w:tab w:val="left" w:pos="1104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В связи с отсутствием производства закупаемого товара (согласно характеристикам ТЗ) на территории ЕАЭС, применён иной метод расчёта НМЦК.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8"/>
              <w:ind w:left="87" w:right="180" w:firstLine="0"/>
              <w:jc w:val="both"/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  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Начальная (макс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имальная) цена контракта (НМЦК)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на предоставление услуг, полученная расчётным путём как среднеарифметическое н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а основании имеющихся коммерческих предложений, составляет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 90 145,11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</w:rPr>
              <w:t xml:space="preserve"> руб (33 шт*2 731,67 руб)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87" w:right="180" w:firstLine="0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 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Информация о валюте, используемой для формирования цены контракта и расчётов с поставщиком (подрядчиком, исполнителем): рубль российский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  <w:p>
            <w:pPr>
              <w:pStyle w:val="848"/>
              <w:ind w:right="238"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     Расчёт представлен ниже.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ind w:right="113" w:firstLine="38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24" w:type="dxa"/>
            <w:vAlign w:val="center"/>
            <w:textDirection w:val="lrTb"/>
            <w:noWrap w:val="false"/>
          </w:tcPr>
          <w:p>
            <w:pPr>
              <w:pStyle w:val="848"/>
              <w:ind w:left="57" w:right="-28" w:firstLine="1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подготовки обоснования: 31.03.2026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848"/>
      </w:pPr>
      <w:r/>
      <w:r/>
    </w:p>
    <w:tbl>
      <w:tblPr>
        <w:tblW w:w="15010" w:type="dxa"/>
        <w:jc w:val="center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5"/>
        <w:gridCol w:w="1764"/>
        <w:gridCol w:w="709"/>
        <w:gridCol w:w="1134"/>
        <w:gridCol w:w="1134"/>
        <w:gridCol w:w="1134"/>
        <w:gridCol w:w="1134"/>
        <w:gridCol w:w="1133"/>
        <w:gridCol w:w="1134"/>
        <w:gridCol w:w="1134"/>
        <w:gridCol w:w="992"/>
        <w:gridCol w:w="709"/>
        <w:gridCol w:w="1150"/>
        <w:gridCol w:w="1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№ п/п</w:t>
            </w:r>
            <w:r/>
          </w:p>
        </w:tc>
        <w:tc>
          <w:tcPr>
            <w:tcW w:w="1764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Наименование</w:t>
            </w:r>
            <w:r/>
          </w:p>
          <w:p>
            <w:pPr>
              <w:pStyle w:val="848"/>
              <w:jc w:val="center"/>
            </w:pPr>
            <w:r>
              <w:t xml:space="preserve">товара</w:t>
            </w:r>
            <w:r/>
          </w:p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Кол-во/</w:t>
            </w:r>
            <w:r/>
          </w:p>
          <w:p>
            <w:pPr>
              <w:pStyle w:val="848"/>
              <w:jc w:val="center"/>
              <w:rPr>
                <w:sz w:val="20"/>
                <w:szCs w:val="20"/>
                <w:highlight w:val="none"/>
                <w:vertAlign w:val="superscript"/>
              </w:rPr>
            </w:pPr>
            <w:r>
              <w:rPr>
                <w:sz w:val="20"/>
                <w:szCs w:val="20"/>
                <w:vertAlign w:val="baseline"/>
              </w:rPr>
              <w:t xml:space="preserve">м3</w:t>
            </w:r>
            <w:r>
              <w:rPr>
                <w:sz w:val="20"/>
                <w:szCs w:val="20"/>
                <w:highlight w:val="none"/>
                <w:vertAlign w:val="superscript"/>
              </w:rPr>
            </w:r>
            <w:r>
              <w:rPr>
                <w:sz w:val="20"/>
                <w:szCs w:val="20"/>
                <w:highlight w:val="none"/>
                <w:vertAlign w:val="superscript"/>
              </w:rPr>
            </w:r>
          </w:p>
        </w:tc>
        <w:tc>
          <w:tcPr>
            <w:gridSpan w:val="6"/>
            <w:tcW w:w="6803" w:type="dxa"/>
            <w:vAlign w:val="center"/>
            <w:textDirection w:val="lrTb"/>
            <w:noWrap w:val="false"/>
          </w:tcPr>
          <w:p>
            <w:pPr>
              <w:pStyle w:val="848"/>
              <w:ind w:right="-107" w:firstLine="18"/>
              <w:jc w:val="center"/>
              <w:rPr>
                <w:color w:val="000000"/>
              </w:rPr>
            </w:pPr>
            <w:r>
              <w:t xml:space="preserve">Наименование источника информации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Средняя     цена, 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квадра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ное отклоне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Коэф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феци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ент вариа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2475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ind w:right="-107" w:firstLine="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Начальная (максимальная)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цена, руб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9"/>
        </w:trPr>
        <w:tc>
          <w:tcP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64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2268" w:type="dxa"/>
            <w:vAlign w:val="top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Коммерческое предложение</w:t>
            </w:r>
            <w:r/>
          </w:p>
          <w:p>
            <w:pPr>
              <w:jc w:val="center"/>
            </w:pPr>
            <w:r>
              <w:t xml:space="preserve"> № 1, руб.</w:t>
            </w:r>
            <w:r/>
          </w:p>
        </w:tc>
        <w:tc>
          <w:tcPr>
            <w:gridSpan w:val="2"/>
            <w:tcW w:w="2268" w:type="dxa"/>
            <w:vAlign w:val="top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Коммерческое предложение </w:t>
            </w:r>
            <w:r/>
          </w:p>
          <w:p>
            <w:pPr>
              <w:jc w:val="center"/>
            </w:pPr>
            <w:r>
              <w:t xml:space="preserve">№ </w:t>
            </w:r>
            <w:r>
              <w:t xml:space="preserve">2, руб.</w:t>
            </w:r>
            <w:r/>
          </w:p>
        </w:tc>
        <w:tc>
          <w:tcPr>
            <w:gridSpan w:val="2"/>
            <w:tcW w:w="2267" w:type="dxa"/>
            <w:vAlign w:val="top"/>
            <w:textDirection w:val="lrTb"/>
            <w:noWrap w:val="false"/>
          </w:tcPr>
          <w:p>
            <w:pPr>
              <w:pStyle w:val="848"/>
              <w:jc w:val="center"/>
            </w:pPr>
            <w:r>
              <w:t xml:space="preserve">Коммерческое предложение </w:t>
            </w:r>
            <w:r/>
          </w:p>
          <w:p>
            <w:pPr>
              <w:jc w:val="center"/>
            </w:pPr>
            <w:r>
              <w:t xml:space="preserve">№ </w:t>
            </w:r>
            <w:r>
              <w:t xml:space="preserve">3, руб.</w:t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475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/>
        </w:trPr>
        <w:tc>
          <w:tcP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64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ind w:firstLine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 за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шт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бщая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ст-ть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 за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шт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бщая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ст-ть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 за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шт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ст-ть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50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 за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шт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25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ст-ть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2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848"/>
              <w:contextualSpacing/>
              <w:jc w:val="center"/>
              <w:rPr>
                <w:rFonts w:eastAsia="Lucida Sans Unicode"/>
                <w:color w:val="000000"/>
              </w:rPr>
            </w:pPr>
            <w:r>
              <w:rPr>
                <w:rFonts w:eastAsia="Lucida Sans Unicode"/>
                <w:color w:val="000000"/>
              </w:rPr>
              <w:t xml:space="preserve">1</w:t>
            </w:r>
            <w:r>
              <w:rPr>
                <w:rFonts w:eastAsia="Lucida Sans Unicode"/>
                <w:color w:val="000000"/>
              </w:rPr>
            </w:r>
            <w:r>
              <w:rPr>
                <w:rFonts w:eastAsia="Lucida Sans Unicode"/>
                <w:color w:val="000000"/>
              </w:rPr>
            </w:r>
          </w:p>
        </w:tc>
        <w:tc>
          <w:tcPr>
            <w:tcW w:w="1764" w:type="dxa"/>
            <w:vAlign w:val="top"/>
            <w:textDirection w:val="lrTb"/>
            <w:noWrap w:val="false"/>
          </w:tcPr>
          <w:p>
            <w:pPr>
              <w:ind w:right="85"/>
              <w:jc w:val="both"/>
              <w:spacing w:after="100" w:afterAutospacing="1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PT Astra Serif" w:hAnsi="PT Astra Serif" w:eastAsia="PT Astra Serif" w:cs="PT Astra Serif"/>
                <w:bCs/>
                <w:sz w:val="22"/>
                <w:szCs w:val="22"/>
                <w:lang w:eastAsia="ru-RU"/>
              </w:rPr>
              <w:t xml:space="preserve">Кулеры для процессоров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40</w: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r>
              <w:t xml:space="preserve">420,00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r>
              <w:t xml:space="preserve">16 800,00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r>
              <w:t xml:space="preserve">320,00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r>
              <w:t xml:space="preserve">12 800,00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r>
              <w:t xml:space="preserve">300,00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r>
              <w:t xml:space="preserve">12 000,00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346,67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64,29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18,55</w:t>
            </w:r>
            <w:r/>
          </w:p>
        </w:tc>
        <w:tc>
          <w:tcPr>
            <w:tcW w:w="1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346,67</w:t>
            </w:r>
            <w:r/>
          </w:p>
        </w:tc>
        <w:tc>
          <w:tcPr>
            <w:tcW w:w="1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13 866,80</w:t>
            </w:r>
            <w:r/>
          </w:p>
        </w:tc>
      </w:tr>
    </w:tbl>
    <w:p>
      <w:pPr>
        <w:pStyle w:val="863"/>
        <w:contextualSpacing/>
        <w:ind w:firstLine="0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bCs/>
          <w:sz w:val="10"/>
          <w:szCs w:val="10"/>
        </w:rPr>
      </w:r>
    </w:p>
    <w:p>
      <w:pPr>
        <w:pStyle w:val="863"/>
        <w:contextualSpacing/>
        <w:ind w:firstLine="0"/>
        <w:jc w:val="both"/>
        <w:tabs>
          <w:tab w:val="left" w:pos="0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Характеристики и требования к поставляемому товару должны быть соблюдены поставщиком согласно ТЗ.</w:t>
      </w:r>
      <w:r>
        <w:rPr>
          <w:rFonts w:ascii="Times New Roman" w:hAnsi="Times New Roman" w:cs="Times New Roman"/>
          <w:b w:val="0"/>
          <w:bCs w:val="0"/>
        </w:rPr>
      </w:r>
      <w:r>
        <w:rPr>
          <w:b w:val="0"/>
          <w:bCs w:val="0"/>
        </w:rPr>
      </w:r>
    </w:p>
    <w:p>
      <w:pPr>
        <w:pStyle w:val="848"/>
      </w:pPr>
      <w:r/>
      <w:r/>
    </w:p>
    <w:tbl>
      <w:tblPr>
        <w:tblW w:w="0" w:type="auto"/>
        <w:tblInd w:w="69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49"/>
      </w:tblGrid>
      <w:tr>
        <w:tblPrEx/>
        <w:trPr/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4649" w:type="dxa"/>
            <w:vAlign w:val="bottom"/>
            <w:textDirection w:val="lrTb"/>
            <w:noWrap w:val="false"/>
          </w:tcPr>
          <w:p>
            <w:pPr>
              <w:pStyle w:val="848"/>
              <w:ind w:hanging="28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Работник контрактной службы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8"/>
              <w:jc w:val="center"/>
              <w:rPr>
                <w:sz w:val="24"/>
                <w:szCs w:val="24"/>
              </w:rPr>
            </w:pPr>
            <w:r>
              <w:t xml:space="preserve">Зам. начальника</w:t>
            </w:r>
            <w:r>
              <w:t xml:space="preserve"> ФЭО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9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48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pPr w:horzAnchor="text" w:tblpXSpec="left" w:vertAnchor="text" w:tblpY="1" w:leftFromText="180" w:topFromText="0" w:rightFromText="180" w:bottomFromText="0"/>
        <w:tblW w:w="0" w:type="auto"/>
        <w:tblInd w:w="63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98"/>
        <w:gridCol w:w="170"/>
        <w:gridCol w:w="1617"/>
        <w:gridCol w:w="397"/>
        <w:gridCol w:w="369"/>
        <w:gridCol w:w="225"/>
        <w:gridCol w:w="172"/>
        <w:gridCol w:w="681"/>
      </w:tblGrid>
      <w:tr>
        <w:tblPrEx/>
        <w:trPr>
          <w:gridAfter w:val="1"/>
        </w:trPr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</w:rPr>
              <w:framePr w:hSpace="180" w:wrap="around" w:vAnchor="text" w:hAnchor="text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sz w:val="24"/>
                <w:szCs w:val="24"/>
              </w:rPr>
              <w:framePr w:hSpace="180" w:wrap="around" w:vAnchor="text" w:hAnchor="text" w:y="1"/>
            </w:pPr>
            <w: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608" w:type="dxa"/>
            <w:vAlign w:val="bottom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</w:rPr>
              <w:framePr w:hSpace="180" w:wrap="around" w:vAnchor="text" w:hAnchor="text" w:y="1"/>
            </w:pPr>
            <w:r>
              <w:t xml:space="preserve">Н.А.Максимова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" w:type="dxa"/>
            <w:vAlign w:val="bottom"/>
            <w:textDirection w:val="lrTb"/>
            <w:noWrap w:val="false"/>
          </w:tcPr>
          <w:p>
            <w:pPr>
              <w:pStyle w:val="848"/>
              <w:rPr>
                <w:sz w:val="24"/>
                <w:szCs w:val="24"/>
              </w:rPr>
              <w:framePr w:hSpace="180" w:wrap="around" w:vAnchor="text" w:hAnchor="text" w:y="1"/>
            </w:pPr>
            <w: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51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sz w:val="18"/>
                <w:szCs w:val="18"/>
              </w:rPr>
              <w:framePr w:hSpace="180" w:wrap="around" w:vAnchor="text" w:hAnchor="text" w:y="1"/>
            </w:pPr>
            <w:r>
              <w:rPr>
                <w:sz w:val="18"/>
                <w:szCs w:val="18"/>
              </w:rPr>
              <w:t xml:space="preserve">(подпись/расшифровка подписи)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tcW w:w="170" w:type="dxa"/>
            <w:vAlign w:val="bottom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</w:rPr>
              <w:framePr w:hSpace="180" w:wrap="around" w:vAnchor="text" w:hAnchor="text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</w:rPr>
              <w:framePr w:hSpace="180" w:wrap="around" w:vAnchor="text" w:hAnchor="text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pStyle w:val="848"/>
              <w:rPr>
                <w:sz w:val="24"/>
                <w:szCs w:val="24"/>
              </w:rPr>
              <w:framePr w:hSpace="180" w:wrap="around" w:vAnchor="text" w:hAnchor="text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Style w:val="848"/>
              <w:jc w:val="center"/>
              <w:rPr>
                <w:sz w:val="24"/>
                <w:szCs w:val="24"/>
              </w:rPr>
              <w:framePr w:hSpace="180" w:wrap="around" w:vAnchor="text" w:hAnchor="text" w:y="1"/>
            </w:pPr>
            <w:r>
              <w:t xml:space="preserve">943-061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sz w:val="24"/>
                <w:szCs w:val="24"/>
              </w:rPr>
              <w:framePr w:hSpace="180" w:wrap="around" w:vAnchor="text" w:hAnchor="text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848"/>
              <w:rPr>
                <w:sz w:val="24"/>
                <w:szCs w:val="24"/>
              </w:rPr>
              <w:framePr w:hSpace="180" w:wrap="around" w:vAnchor="text" w:hAnchor="text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397" w:type="dxa"/>
            <w:vAlign w:val="bottom"/>
            <w:textDirection w:val="lrTb"/>
            <w:noWrap w:val="false"/>
          </w:tcPr>
          <w:p>
            <w:pPr>
              <w:pStyle w:val="848"/>
              <w:ind w:left="57"/>
              <w:rPr>
                <w:sz w:val="24"/>
                <w:szCs w:val="24"/>
              </w:rPr>
              <w:framePr w:hSpace="180" w:wrap="around" w:vAnchor="text" w:hAnchor="text" w:y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48"/>
        <w:rPr>
          <w:sz w:val="6"/>
          <w:szCs w:val="6"/>
        </w:rPr>
      </w:pPr>
      <w:r>
        <w:rPr>
          <w:sz w:val="6"/>
          <w:szCs w:val="6"/>
        </w:rPr>
        <w:br w:type="textWrapping" w:clear="all"/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48"/>
      </w:pPr>
      <w:r/>
      <w:r/>
    </w:p>
    <w:p>
      <w:pPr>
        <w:pStyle w:val="848"/>
      </w:pPr>
      <w:r/>
      <w:r/>
    </w:p>
    <w:p>
      <w:pPr>
        <w:pStyle w:val="848"/>
      </w:pPr>
      <w:r/>
      <w:r/>
    </w:p>
    <w:p>
      <w:pPr>
        <w:pStyle w:val="848"/>
        <w:rPr>
          <w:color w:val="000000"/>
          <w:sz w:val="22"/>
          <w:szCs w:val="22"/>
        </w:rPr>
        <w:sectPr>
          <w:footnotePr/>
          <w:endnotePr/>
          <w:type w:val="nextPage"/>
          <w:pgSz w:w="16838" w:h="11906" w:orient="landscape"/>
          <w:pgMar w:top="738" w:right="962" w:bottom="822" w:left="1276" w:header="709" w:footer="709" w:gutter="0"/>
          <w:cols w:num="1" w:sep="0" w:space="708" w:equalWidth="1"/>
          <w:docGrid w:linePitch="360"/>
        </w:sect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539" w:right="1259" w:bottom="204" w:left="12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Lucida Sans Unicode">
    <w:panose1 w:val="020B05020405040202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6" w:hanging="456"/>
        <w:tabs>
          <w:tab w:val="num" w:pos="456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287" w:hanging="720"/>
        <w:tabs>
          <w:tab w:val="num" w:pos="1287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1854" w:hanging="720"/>
        <w:tabs>
          <w:tab w:val="num" w:pos="1854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2781" w:hanging="1080"/>
        <w:tabs>
          <w:tab w:val="num" w:pos="2781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348" w:hanging="1080"/>
        <w:tabs>
          <w:tab w:val="num" w:pos="3348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275" w:hanging="1440"/>
        <w:tabs>
          <w:tab w:val="num" w:pos="4275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5202" w:hanging="1800"/>
        <w:tabs>
          <w:tab w:val="num" w:pos="5202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5769" w:hanging="1800"/>
        <w:tabs>
          <w:tab w:val="num" w:pos="5769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6696" w:hanging="2160"/>
        <w:tabs>
          <w:tab w:val="num" w:pos="6696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lang w:val="ru-RU" w:eastAsia="ar-SA" w:bidi="ar-SA"/>
    </w:rPr>
  </w:style>
  <w:style w:type="character" w:styleId="849">
    <w:name w:val="Основной шрифт абзаца"/>
    <w:next w:val="849"/>
    <w:link w:val="848"/>
    <w:semiHidden/>
  </w:style>
  <w:style w:type="table" w:styleId="850">
    <w:name w:val="Обычная таблица"/>
    <w:next w:val="850"/>
    <w:link w:val="848"/>
    <w:semiHidden/>
    <w:tblPr/>
  </w:style>
  <w:style w:type="numbering" w:styleId="851">
    <w:name w:val="Нет списка"/>
    <w:next w:val="851"/>
    <w:link w:val="848"/>
    <w:semiHidden/>
  </w:style>
  <w:style w:type="paragraph" w:styleId="852">
    <w:name w:val="Normal1"/>
    <w:next w:val="852"/>
    <w:link w:val="848"/>
    <w:rPr>
      <w:sz w:val="24"/>
      <w:lang w:val="ru-RU" w:eastAsia="ar-SA" w:bidi="ar-SA"/>
    </w:rPr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0"/>
    <w:next w:val="854"/>
    <w:link w:val="848"/>
    <w:uiPriority w:val="59"/>
    <w:tblPr/>
  </w:style>
  <w:style w:type="paragraph" w:styleId="855">
    <w:name w:val="ConsNormal"/>
    <w:next w:val="855"/>
    <w:link w:val="856"/>
    <w:pPr>
      <w:ind w:right="19772" w:firstLine="720"/>
    </w:pPr>
    <w:rPr>
      <w:rFonts w:ascii="Arial" w:hAnsi="Arial" w:eastAsia="Calibri" w:cs="Arial"/>
      <w:sz w:val="22"/>
      <w:szCs w:val="22"/>
      <w:lang w:val="ru-RU" w:eastAsia="ru-RU" w:bidi="ar-SA"/>
    </w:rPr>
  </w:style>
  <w:style w:type="character" w:styleId="856">
    <w:name w:val="ConsNormal Знак"/>
    <w:next w:val="856"/>
    <w:link w:val="855"/>
    <w:rPr>
      <w:rFonts w:ascii="Arial" w:hAnsi="Arial" w:eastAsia="Calibri" w:cs="Arial"/>
      <w:sz w:val="22"/>
      <w:szCs w:val="22"/>
      <w:lang w:val="ru-RU" w:eastAsia="ru-RU" w:bidi="ar-SA"/>
    </w:rPr>
  </w:style>
  <w:style w:type="paragraph" w:styleId="857">
    <w:name w:val="Содержимое таблицы"/>
    <w:basedOn w:val="848"/>
    <w:next w:val="857"/>
    <w:link w:val="848"/>
    <w:pPr>
      <w:suppressLineNumbers/>
    </w:pPr>
    <w:rPr>
      <w:rFonts w:eastAsia="Calibri"/>
    </w:rPr>
  </w:style>
  <w:style w:type="paragraph" w:styleId="858">
    <w:name w:val=" Знак Знак Знак Знак"/>
    <w:basedOn w:val="848"/>
    <w:next w:val="858"/>
    <w:link w:val="848"/>
    <w:rPr>
      <w:rFonts w:ascii="Verdana" w:hAnsi="Verdana" w:cs="Verdana"/>
      <w:lang w:val="en-US" w:eastAsia="en-US"/>
    </w:rPr>
  </w:style>
  <w:style w:type="paragraph" w:styleId="859">
    <w:name w:val="Текст1"/>
    <w:basedOn w:val="848"/>
    <w:next w:val="859"/>
    <w:link w:val="848"/>
    <w:pPr>
      <w:ind w:firstLine="720"/>
      <w:jc w:val="both"/>
      <w:spacing w:line="360" w:lineRule="auto"/>
    </w:pPr>
    <w:rPr>
      <w:rFonts w:eastAsia="Calibri"/>
      <w:sz w:val="28"/>
      <w:szCs w:val="28"/>
    </w:rPr>
  </w:style>
  <w:style w:type="character" w:styleId="860">
    <w:name w:val="product-description"/>
    <w:basedOn w:val="849"/>
    <w:next w:val="860"/>
    <w:link w:val="848"/>
  </w:style>
  <w:style w:type="character" w:styleId="861">
    <w:name w:val="readonlytextfield"/>
    <w:basedOn w:val="849"/>
    <w:next w:val="861"/>
    <w:link w:val="848"/>
  </w:style>
  <w:style w:type="paragraph" w:styleId="862">
    <w:name w:val="Абзац списка"/>
    <w:basedOn w:val="848"/>
    <w:next w:val="862"/>
    <w:link w:val="848"/>
    <w:uiPriority w:val="34"/>
    <w:qFormat/>
    <w:pPr>
      <w:contextualSpacing/>
      <w:ind w:left="720"/>
    </w:pPr>
    <w:rPr>
      <w:sz w:val="24"/>
      <w:szCs w:val="24"/>
      <w:lang w:eastAsia="ru-RU"/>
    </w:rPr>
  </w:style>
  <w:style w:type="paragraph" w:styleId="863">
    <w:name w:val="ConsPlusNormal"/>
    <w:next w:val="863"/>
    <w:link w:val="864"/>
    <w:uiPriority w:val="99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character" w:styleId="864">
    <w:name w:val="ConsPlusNormal Знак"/>
    <w:next w:val="864"/>
    <w:link w:val="863"/>
    <w:uiPriority w:val="99"/>
    <w:rPr>
      <w:rFonts w:ascii="Arial" w:hAnsi="Arial" w:eastAsia="Arial" w:cs="Arial"/>
      <w:lang w:val="ru-RU" w:eastAsia="ar-SA" w:bidi="ar-SA"/>
    </w:rPr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(максимальная) цена государственного контракта,</dc:title>
  <dc:creator>NickOn</dc:creator>
  <cp:lastModifiedBy>mna</cp:lastModifiedBy>
  <cp:revision>34</cp:revision>
  <dcterms:created xsi:type="dcterms:W3CDTF">2020-08-11T11:28:00Z</dcterms:created>
  <dcterms:modified xsi:type="dcterms:W3CDTF">2026-03-31T13:11:43Z</dcterms:modified>
  <cp:version>1048576</cp:version>
</cp:coreProperties>
</file>