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Signature"/>
        <w:jc w:val="center"/>
        <w:rPr>
          <w:b/>
          <w:caps/>
          <w:szCs w:val="28"/>
        </w:rPr>
      </w:pPr>
      <w:r>
        <w:rPr>
          <w:b/>
          <w:caps/>
          <w:szCs w:val="28"/>
        </w:rPr>
        <w:t>заявка на осуществление закупки</w:t>
      </w:r>
    </w:p>
    <w:p>
      <w:pPr>
        <w:pStyle w:val="Normal"/>
        <w:jc w:val="center"/>
        <w:rPr>
          <w:b/>
          <w:caps/>
          <w:sz w:val="18"/>
          <w:szCs w:val="28"/>
        </w:rPr>
      </w:pPr>
      <w:r>
        <w:rPr>
          <w:b/>
          <w:caps/>
          <w:sz w:val="18"/>
          <w:szCs w:val="28"/>
        </w:rPr>
      </w:r>
    </w:p>
    <w:tbl>
      <w:tblPr>
        <w:tblW w:w="4950" w:type="pct"/>
        <w:jc w:val="left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96"/>
        <w:gridCol w:w="5943"/>
      </w:tblGrid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(объект закупки):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Поставка манометров и мановакуумметров для пожарно-спасательных автомобилей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по коду ОКДП2: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В описании объекта закупки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позиции КТРУ: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- Стартовая цена: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  рублей 00 копеек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" w:cs="" w:cstheme="minorBidi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Определена по наименьшему коммерческому предложению (</w:t>
            </w:r>
            <w:r>
              <w:rPr>
                <w:sz w:val="24"/>
                <w:szCs w:val="24"/>
              </w:rPr>
              <w:t>Приложение расчет НМЦК)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на 2026 год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17703101040190049244 (ДТО-тех)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t xml:space="preserve"> поставки Товара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Красноярск, ул. Калинина, 90А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осуществляет поставку товара непозднее 30 рабочих дней с даты заключения Контракта.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 xml:space="preserve">Требование к участникам закупок в соответствии с п. 1 ч. 1 ст. 31 </w:t>
            </w:r>
            <w:r>
              <w:rPr>
                <w:color w:val="000000"/>
                <w:sz w:val="24"/>
                <w:szCs w:val="24"/>
                <w:shd w:fill="FFFFFF" w:val="clear"/>
              </w:rPr>
              <w:t>44-ФЗ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порядок и срок оплаты поставленного товара: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по Контракту осуществляется Заказчиком в российских рублях в пределах лимитов бюджетных обязательств на 2026 год по безналичному расчету, путем перечисления Заказчиком денежных средств на расчетный счет Поставщика по факту поставки Товара в течение 10 (десяти) рабочих дней, с даты подписания заказчиком документа о приемке Товара по форме 0510452 (приказ Минфина от 15.04.2021 №61-н), при наличии товарной накладной, счета/счета-фактуры или универсального передаточного документа (при условии отсутствий претензий к качеству Товара со стороны Заказчика), по факту доведения предельного объема оплаты денежных обязательств.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Контракта включает все затраты Поставщика, включая все налоги, сборы и другие обязательные платежи, расходы на доставку Товара до места поставки, расходы на погрузо-разгрузочные работы, а также другие расходы Поставщика, связанные с исполнением обязательств по Контракту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 ответственное лица, осуществляющее приемку товаров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Ответственное лицо по Контракту: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Горборуков Максим Васильевич</w:t>
              <w:br/>
              <w:t>Тел.: +7 (913) 516-26-95,</w:t>
              <w:br/>
              <w:t>e-mail: umtotech@24.mchs.gov.ru</w:t>
            </w:r>
          </w:p>
        </w:tc>
      </w:tr>
      <w:tr>
        <w:trPr>
          <w:trHeight w:val="23" w:hRule="atLeast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закупочной сессии, час: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Описание объекта закупки</w:t>
      </w:r>
    </w:p>
    <w:p>
      <w:pPr>
        <w:pStyle w:val="Normal"/>
        <w:widowControl w:val="false"/>
        <w:jc w:val="center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eastAsia="zh-CN"/>
        </w:rPr>
        <w:t>Поставка манометров и мановакуумметров для пожарно-спасательных автомобилей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f9"/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3"/>
        <w:gridCol w:w="1490"/>
        <w:gridCol w:w="6075"/>
        <w:gridCol w:w="752"/>
        <w:gridCol w:w="737"/>
      </w:tblGrid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п/п</w:t>
            </w:r>
          </w:p>
        </w:tc>
        <w:tc>
          <w:tcPr>
            <w:tcW w:w="149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ОКПД-2/ктру</w:t>
            </w:r>
          </w:p>
        </w:tc>
        <w:tc>
          <w:tcPr>
            <w:tcW w:w="607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Наименование и характеристики Товара</w:t>
            </w:r>
          </w:p>
        </w:tc>
        <w:tc>
          <w:tcPr>
            <w:tcW w:w="7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Ед. изм.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Кол-во</w:t>
            </w:r>
          </w:p>
        </w:tc>
      </w:tr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149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26.51.52.130/26.51.52.130-00000006</w:t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Манометр ТМ-510ТКТ.00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Назначение: Рабочий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упругого  чувствительного элемента – Мембрана;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показывающего манометра – Стрелочный;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Первичная поверка – Да;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Резьба присоединения – G1/2;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Присоединение – Радиальное;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 корпуса – Сталь нержавеющая;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Длина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140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150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Ширина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50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60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Единиц измерения – Мпа;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исполнения по устойчивости к механическим воздействиям – Вибропрочный, виброустойчивый;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Гидрозаполнение – Глицириновое;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 точности – 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Измеряемая среда – Жидкость;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 функциональному назначению – Манометр показывающий;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Значение диапазона измерений нижнее – 0 кгс/см2;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*Значение диапазона измерений верхнее – 102 кгс/см2.</w:t>
            </w:r>
          </w:p>
        </w:tc>
        <w:tc>
          <w:tcPr>
            <w:tcW w:w="752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149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26.51.52.130/26.51.52.130-00000006</w:t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Мановакуумметр ТМВ-510ТКТ.00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Назначение: Рабочий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упругого  чувствительного элемента – Мембрана;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показывающего манометра – Стрелочный;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Первичная поверка – Да;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Резьба присоединения – G1/2;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Присоединение – Радиальное;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 корпуса – Сталь нержавеющая;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Длина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140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150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Ширина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50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60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Единиц измерения – Мпа;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исполнения по устойчивости к механическим воздействиям – Вибропрочный, виброустойчивый;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Гидрозаполнение – Глицириновое;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 точности – 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Измеряемая среда – Жидкость;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 функциональному назначению - Мановакуумметр;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Значение диапазона измерений нижнее – -1 кгс/см2;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*Значение диапазона измерений верхнее – 24,5 кгс/см2.</w:t>
            </w:r>
          </w:p>
        </w:tc>
        <w:tc>
          <w:tcPr>
            <w:tcW w:w="7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Style w:val="af9"/>
        <w:tblW w:w="5000" w:type="pct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3"/>
        <w:gridCol w:w="1490"/>
        <w:gridCol w:w="6075"/>
        <w:gridCol w:w="752"/>
        <w:gridCol w:w="737"/>
      </w:tblGrid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9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26.51.52.130/26.51.52.130-00000006</w:t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Мановакуумметр ТМВ-510Р.00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Назначение: Рабочий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упругого  чувствительного элемента – Мембрана;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показывающего манометра – Стрелочный;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Первичная поверка – Да;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Резьба присоединения – М20х1,5;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Присоединение – Радиальное;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 корпуса – Сталь нержавеющая;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Длина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140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150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Ширина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50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60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Единиц измерения – Мпа;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исполнения по устойчивости к механическим воздействиям – Вибропрочный, виброустойчивый;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Гидрозаполнение – Глицириновое;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 точности – 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Измеряемая среда – Жидкость;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 функциональному назначению - Мановакуумметр;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Значение диапазона измерений ниженее – -1 кгс/см2;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*Значение диапазона измерений верхнее – 15,3 кгс/см2.</w:t>
            </w:r>
          </w:p>
        </w:tc>
        <w:tc>
          <w:tcPr>
            <w:tcW w:w="752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9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26.51.52.130/26.51.52.130-00000006</w:t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Мановакуумметр ТМВ-510Р.00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Назначение: Рабочий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упругого  чувствительного элемента – Мембрана;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показывающего манометра – Стрелочный;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Первичная поверка – Да;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Резьба присоединения – G1/2;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Присоединение – Радиальное;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 корпуса – Сталь нержавеющая;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Длина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140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150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Ширина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50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60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Единиц измерения – Мпа;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исполнения по устойчивости к механическим воздействиям – Вибропрочный, виброустойчивый;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Гидрозаполнение – Глицириновое;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 точности – 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Измеряемая среда – Жидкость;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 функциональному назначению - Мановакуумметр;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Значение диапазона измерений ниженее – -1 кгс/см2;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*Значение диапазона измерений верхнее – 15,3 кгс/см2.</w:t>
            </w:r>
          </w:p>
        </w:tc>
        <w:tc>
          <w:tcPr>
            <w:tcW w:w="7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9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26.51.52.130/26.51.52.130-00000006</w:t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Манометр ТМ-510Р.00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Назначение: Рабочий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упругого  чувствительного элемента – Мембрана;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показывающего манометра – Стрелочный;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Первичная поверка – Да;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Резьба присоединения – G1/2;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Присоединение – Радиальное;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 корпуса – Сталь нержавеющая;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Длина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140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150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Ширина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 50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60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Единиц измерения – Мпа;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исполнения по устойчивости к механическим воздействиям – Вибропрочный, виброустойчивый;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Гидрозаполнение – Глицириновое;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 точности – 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Измеряемая среда – Жидкость;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 функциональному назначению – Манометр показывающий;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Значение диапазона измерений ниженее – 0 кгс/см2;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*Значение диапазона измерений верхнее – 16,3 кгс/см2.</w:t>
            </w:r>
          </w:p>
        </w:tc>
        <w:tc>
          <w:tcPr>
            <w:tcW w:w="7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49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26.51.52.130/26.51.52.130-00000006</w:t>
            </w:r>
          </w:p>
        </w:tc>
        <w:tc>
          <w:tcPr>
            <w:tcW w:w="6075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Мановакуумметр ТМВ-510Р.00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Назначение: Рабочий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упругого  чувствительного элемента – Мембрана;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показывающего манометра – Стрелочный;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Первичная поверка – Да;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Резьба присоединения – G1/2;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Присоединение – Радиальное;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Материал корпуса – Сталь нержавеющая;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Длина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140 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150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Ширина корпуса – </w:t>
            </w:r>
            <w:r>
              <w:rPr>
                <w:rFonts w:eastAsia="Liberation Serif" w:cs="Liberation Serif" w:ascii="Liberation Serif" w:hAnsi="Liberation Serif"/>
                <w:sz w:val="24"/>
                <w:szCs w:val="24"/>
                <w:lang w:eastAsia="ru-RU"/>
              </w:rPr>
              <w:t>≥</w:t>
            </w:r>
            <w:r>
              <w:rPr>
                <w:sz w:val="24"/>
                <w:szCs w:val="24"/>
                <w:lang w:eastAsia="ru-RU"/>
              </w:rPr>
              <w:t xml:space="preserve"> 50 и </w:t>
            </w:r>
            <w:r>
              <w:rPr>
                <w:rFonts w:eastAsia="Liberation Serif" w:cs="Liberation Serif"/>
                <w:sz w:val="24"/>
                <w:szCs w:val="24"/>
                <w:lang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60 мм;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Единиц измерения давления– Мпа;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исполнения по устойчивости к механическим воздействиям – Вибропрочный, виброустойчивый;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Гидрозаполнение – Глицириновое;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 точности – 1,5;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Измеряемая среда – Жидкость;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Тип по функциональному назначению – Манометр показывающий;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Значение диапазона измерений ниженее – -1 кгс/см2;</w:t>
            </w:r>
          </w:p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*Значение диапазона измерений верхнее – 15,3 кгс/см2.</w:t>
            </w:r>
          </w:p>
        </w:tc>
        <w:tc>
          <w:tcPr>
            <w:tcW w:w="7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37" w:type="dxa"/>
            <w:tcBorders/>
            <w:shd w:color="auto" w:fill="auto" w:val="clear"/>
            <w:vAlign w:val="center"/>
          </w:tcPr>
          <w:p>
            <w:pPr>
              <w:pStyle w:val="user3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</w:tr>
    </w:tbl>
    <w:p>
      <w:pPr>
        <w:pStyle w:val="Normal"/>
        <w:tabs>
          <w:tab w:val="clear" w:pos="708"/>
          <w:tab w:val="left" w:pos="1418" w:leader="none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*Применение дополнительных характеристик обусловлено потребностью в измерении максимально возможного напора в системе пожарных насосов установленных на специальной пожарной технике Заказчика.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требованию Заказчика Поставщик обязан предоставить сертификаты соответствия на Товар.</w:t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Товар должен быть новым, соответствовать требованиям нормативной документации, ГОСТам, сертификату соответствия завода изготовителя.</w:t>
      </w:r>
    </w:p>
    <w:p>
      <w:pPr>
        <w:pStyle w:val="Normal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Срок предоставления гарантии качества на Товар должен составлять не менее 12 месяцев.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1e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93d93"/>
    <w:rPr>
      <w:rFonts w:ascii="Times New Roman" w:hAnsi="Times New Roman"/>
      <w:sz w:val="28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93d93"/>
    <w:rPr>
      <w:rFonts w:ascii="Times New Roman" w:hAnsi="Times New Roman"/>
      <w:sz w:val="28"/>
    </w:rPr>
  </w:style>
  <w:style w:type="character" w:styleId="PlaceholderText">
    <w:name w:val="Placeholder Text"/>
    <w:basedOn w:val="DefaultParagraphFont"/>
    <w:uiPriority w:val="99"/>
    <w:semiHidden/>
    <w:qFormat/>
    <w:rsid w:val="006436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60fe"/>
    <w:rPr>
      <w:color w:themeColor="hyperlink"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c86a98"/>
    <w:pPr>
      <w:spacing w:lineRule="auto" w:line="276" w:before="0" w:after="140"/>
    </w:pPr>
    <w:rPr/>
  </w:style>
  <w:style w:type="paragraph" w:styleId="List">
    <w:name w:val="List"/>
    <w:basedOn w:val="BodyText"/>
    <w:rsid w:val="00c86a98"/>
    <w:pPr/>
    <w:rPr>
      <w:rFonts w:cs="Arial"/>
    </w:rPr>
  </w:style>
  <w:style w:type="paragraph" w:styleId="Caption">
    <w:name w:val="caption"/>
    <w:basedOn w:val="Normal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rsid w:val="00c86a9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11" w:customStyle="1">
    <w:name w:val="Указатель1"/>
    <w:basedOn w:val="Normal"/>
    <w:qFormat/>
    <w:rsid w:val="00c86a98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41efa"/>
    <w:pPr/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93d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893d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msonormalmrcssattr" w:customStyle="1">
    <w:name w:val="msonormal_mr_css_attr"/>
    <w:basedOn w:val="Normal"/>
    <w:qFormat/>
    <w:rsid w:val="00f07c45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user2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paragraph" w:styleId="Signature">
    <w:name w:val="Signature"/>
    <w:basedOn w:val="Normal"/>
    <w:pPr>
      <w:jc w:val="both"/>
    </w:pPr>
    <w:rPr>
      <w:szCs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  <w:suppressAutoHyphens w:val="true"/>
    </w:pPr>
    <w:rPr>
      <w:lang w:val="ru-RU" w:eastAsia="ar-SA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a1e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28CF5-B358-4A9B-815E-2EC4470CD008}"/>
      </w:docPartPr>
      <w:docPartBody>
        <w:p w:rsidR="002F1B42" w:rsidRDefault="000B0596">
          <w:r w:rsidRPr="00440A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96"/>
    <w:rsid w:val="000B0596"/>
    <w:rsid w:val="000C53EC"/>
    <w:rsid w:val="001E405B"/>
    <w:rsid w:val="002F1B42"/>
    <w:rsid w:val="003C363B"/>
    <w:rsid w:val="003E721E"/>
    <w:rsid w:val="004632D6"/>
    <w:rsid w:val="0050594C"/>
    <w:rsid w:val="0054466C"/>
    <w:rsid w:val="00572741"/>
    <w:rsid w:val="005D2679"/>
    <w:rsid w:val="00676924"/>
    <w:rsid w:val="0068687A"/>
    <w:rsid w:val="00874A63"/>
    <w:rsid w:val="00881378"/>
    <w:rsid w:val="00A75AA5"/>
    <w:rsid w:val="00AA045C"/>
    <w:rsid w:val="00BE3217"/>
    <w:rsid w:val="00C064D6"/>
    <w:rsid w:val="00C56926"/>
    <w:rsid w:val="00C6454A"/>
    <w:rsid w:val="00E02D97"/>
    <w:rsid w:val="00E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5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LibreOffice/25.2.3.2$Linux_X86_64 LibreOffice_project/520$Build-2</Application>
  <AppVersion>15.0000</AppVersion>
  <Pages>4</Pages>
  <Words>812</Words>
  <Characters>6014</Characters>
  <CharactersWithSpaces>6768</CharactersWithSpaces>
  <Paragraphs>169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2024-10-09T06:08:00Z</dcterms:created>
  <dc:creator>Microsoft Office User</dc:creator>
  <dc:description/>
  <dc:language>ru-RU</dc:language>
  <cp:lastModifiedBy/>
  <cp:lastPrinted>2024-01-09T05:28:00Z</cp:lastPrinted>
  <dcterms:modified xsi:type="dcterms:W3CDTF">2026-06-01T11:48:49Z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