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2"/>
        <w:pBdr/>
        <w:spacing/>
        <w:ind w:left="-283"/>
        <w:jc w:val="center"/>
        <w:rPr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Контракт №____</w:t>
      </w:r>
      <w:r>
        <w:rPr>
          <w:b/>
          <w:sz w:val="23"/>
          <w:szCs w:val="23"/>
        </w:rPr>
      </w:r>
    </w:p>
    <w:p>
      <w:pPr>
        <w:pBdr/>
        <w:spacing/>
        <w:ind/>
        <w:jc w:val="center"/>
        <w:rPr>
          <w:spacing w:val="-6"/>
          <w:sz w:val="23"/>
          <w:szCs w:val="23"/>
        </w:rPr>
      </w:pPr>
      <w:r>
        <w:rPr>
          <w:spacing w:val="-6"/>
          <w:sz w:val="23"/>
          <w:szCs w:val="23"/>
        </w:rPr>
        <w:t xml:space="preserve">Поставка батарей и аккумуляторов: элементов первичных и батарей первичных элементов, </w:t>
      </w:r>
      <w:r>
        <w:rPr>
          <w:spacing w:val="-6"/>
          <w:sz w:val="23"/>
          <w:szCs w:val="23"/>
        </w:rPr>
      </w:r>
    </w:p>
    <w:p>
      <w:pPr>
        <w:pBdr/>
        <w:spacing/>
        <w:ind/>
        <w:jc w:val="center"/>
        <w:rPr>
          <w:spacing w:val="-6"/>
          <w:sz w:val="23"/>
          <w:szCs w:val="23"/>
        </w:rPr>
      </w:pPr>
      <w:r>
        <w:rPr>
          <w:spacing w:val="-6"/>
          <w:sz w:val="23"/>
          <w:szCs w:val="23"/>
        </w:rPr>
        <w:t xml:space="preserve">полотенец бумажных, мела канцелярского.</w:t>
      </w:r>
      <w:r>
        <w:rPr>
          <w:spacing w:val="-6"/>
          <w:sz w:val="23"/>
          <w:szCs w:val="23"/>
        </w:rPr>
      </w:r>
    </w:p>
    <w:p>
      <w:pPr>
        <w:pBdr/>
        <w:spacing/>
        <w:ind/>
        <w:jc w:val="center"/>
        <w:rPr>
          <w:rFonts w:ascii="Roboto" w:hAnsi="Roboto"/>
          <w:sz w:val="22"/>
          <w:szCs w:val="22"/>
        </w:rPr>
      </w:pPr>
      <w:r>
        <w:rPr>
          <w:b/>
          <w:sz w:val="23"/>
          <w:szCs w:val="23"/>
        </w:rPr>
        <w:t xml:space="preserve"> </w:t>
      </w:r>
      <w:r>
        <w:rPr>
          <w:sz w:val="22"/>
          <w:szCs w:val="22"/>
        </w:rPr>
        <w:t xml:space="preserve">(Идентификационный код закупки </w:t>
      </w:r>
      <w:hyperlink r:id="rId10" w:tooltip="https://zakupki.gov.ru/epz/orderplan/pg2020/specialPurchase/special-purchase-info.html?plan-number=202603221000038001&amp;position-number=202603221000038001000006&amp;version=0" w:history="1">
        <w:r>
          <w:rPr>
            <w:rStyle w:val="898"/>
            <w:color w:val="000000"/>
            <w:sz w:val="22"/>
            <w:szCs w:val="22"/>
            <w:highlight w:val="white"/>
          </w:rPr>
          <w:t xml:space="preserve">261272102089627210100100170000000000</w:t>
        </w:r>
      </w:hyperlink>
      <w:r>
        <w:rPr>
          <w:sz w:val="22"/>
          <w:szCs w:val="22"/>
        </w:rPr>
        <w:t xml:space="preserve">)</w:t>
      </w:r>
      <w:r>
        <w:rPr>
          <w:rFonts w:ascii="Roboto" w:hAnsi="Roboto"/>
          <w:sz w:val="22"/>
          <w:szCs w:val="22"/>
        </w:rPr>
      </w:r>
    </w:p>
    <w:p>
      <w:pPr>
        <w:pStyle w:val="922"/>
        <w:pBdr/>
        <w:spacing/>
        <w:ind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</w:r>
      <w:r>
        <w:rPr>
          <w:rFonts w:ascii="Times New Roman" w:hAnsi="Times New Roman"/>
          <w:b/>
          <w:bCs/>
          <w:sz w:val="23"/>
          <w:szCs w:val="23"/>
        </w:rPr>
      </w:r>
    </w:p>
    <w:p>
      <w:pPr>
        <w:pStyle w:val="922"/>
        <w:pBdr/>
        <w:spacing/>
        <w:ind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</w:r>
      <w:r>
        <w:rPr>
          <w:rFonts w:ascii="Times New Roman" w:hAnsi="Times New Roman"/>
          <w:b/>
          <w:sz w:val="23"/>
          <w:szCs w:val="23"/>
        </w:rPr>
      </w:r>
    </w:p>
    <w:p>
      <w:pPr>
        <w:pStyle w:val="922"/>
        <w:pBdr/>
        <w:spacing/>
        <w:ind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</w:r>
      <w:r>
        <w:rPr>
          <w:rFonts w:ascii="Times New Roman" w:hAnsi="Times New Roman"/>
          <w:b/>
          <w:sz w:val="23"/>
          <w:szCs w:val="23"/>
        </w:rPr>
      </w:r>
    </w:p>
    <w:p>
      <w:pPr>
        <w:pStyle w:val="925"/>
        <w:pBdr/>
        <w:spacing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г. Хабаровск                                                                                                  "___" __________ 2026 г.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5"/>
        <w:pBdr/>
        <w:spacing/>
        <w: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Bdr/>
        <w:spacing/>
        <w:ind/>
        <w:jc w:val="both"/>
        <w:rPr>
          <w:spacing w:val="-6"/>
          <w:sz w:val="22"/>
          <w:szCs w:val="22"/>
        </w:rPr>
      </w:pPr>
      <w:r>
        <w:rPr>
          <w:b/>
          <w:sz w:val="22"/>
          <w:szCs w:val="22"/>
        </w:rPr>
        <w:t xml:space="preserve">          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</w:t>
      </w:r>
      <w:r>
        <w:rPr>
          <w:sz w:val="22"/>
          <w:szCs w:val="22"/>
        </w:rPr>
        <w:t xml:space="preserve">, именуемое в дальнейшем </w:t>
      </w:r>
      <w:r>
        <w:rPr>
          <w:b/>
          <w:sz w:val="22"/>
          <w:szCs w:val="22"/>
        </w:rPr>
        <w:t xml:space="preserve">«Заказчик», </w:t>
      </w:r>
      <w:r>
        <w:rPr>
          <w:color w:val="000000"/>
          <w:sz w:val="22"/>
          <w:szCs w:val="22"/>
        </w:rPr>
        <w:t xml:space="preserve">в лице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________________________________, действующ____ на основании __________________., с одной стороны, и </w:t>
      </w:r>
      <w:r>
        <w:rPr>
          <w:b/>
          <w:bCs/>
          <w:iCs/>
          <w:spacing w:val="-6"/>
          <w:sz w:val="22"/>
          <w:szCs w:val="22"/>
        </w:rPr>
        <w:t xml:space="preserve">__________________________, </w:t>
      </w:r>
      <w:r>
        <w:rPr>
          <w:sz w:val="22"/>
          <w:szCs w:val="22"/>
        </w:rPr>
        <w:t xml:space="preserve">именуемое в дальнейшем </w:t>
      </w:r>
      <w:r>
        <w:rPr>
          <w:b/>
          <w:bCs/>
          <w:sz w:val="22"/>
          <w:szCs w:val="22"/>
        </w:rPr>
        <w:t xml:space="preserve">«Поставщик», </w:t>
      </w:r>
      <w:r>
        <w:rPr>
          <w:color w:val="000000"/>
          <w:sz w:val="22"/>
          <w:szCs w:val="22"/>
        </w:rPr>
        <w:t xml:space="preserve">в лице  __________________________</w:t>
      </w:r>
      <w:r>
        <w:rPr>
          <w:spacing w:val="-1"/>
          <w:sz w:val="22"/>
          <w:szCs w:val="22"/>
        </w:rPr>
        <w:t xml:space="preserve">, </w:t>
      </w:r>
      <w:r>
        <w:rPr>
          <w:spacing w:val="-6"/>
          <w:sz w:val="22"/>
          <w:szCs w:val="22"/>
        </w:rPr>
        <w:t xml:space="preserve">действующего на основании </w:t>
      </w:r>
      <w:r>
        <w:rPr>
          <w:bCs/>
          <w:iCs/>
          <w:spacing w:val="-6"/>
          <w:sz w:val="22"/>
          <w:szCs w:val="22"/>
        </w:rPr>
        <w:t xml:space="preserve">____________, с другой стороны, совместно именуемые "Стороны" и каждый по отдельности "Сторона", с соблюдением   требований Гр</w:t>
      </w:r>
      <w:r>
        <w:rPr>
          <w:bCs/>
          <w:iCs/>
          <w:spacing w:val="-6"/>
          <w:sz w:val="22"/>
          <w:szCs w:val="22"/>
        </w:rPr>
        <w:t xml:space="preserve">ажданского кодекса Российской Федерации, п. 5 ч.1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</w:t>
      </w:r>
      <w:r>
        <w:rPr>
          <w:sz w:val="22"/>
          <w:szCs w:val="22"/>
        </w:rPr>
        <w:t xml:space="preserve">,</w:t>
      </w:r>
      <w:r>
        <w:rPr>
          <w:bCs/>
          <w:iCs/>
          <w:spacing w:val="-6"/>
          <w:sz w:val="22"/>
          <w:szCs w:val="22"/>
        </w:rPr>
        <w:t xml:space="preserve"> заключили настоящий контракт (далее-Контракт) о нижеследующем:</w:t>
      </w:r>
      <w:r>
        <w:rPr>
          <w:spacing w:val="-6"/>
          <w:sz w:val="22"/>
          <w:szCs w:val="22"/>
        </w:rPr>
      </w:r>
    </w:p>
    <w:p>
      <w:pPr>
        <w:pStyle w:val="931"/>
        <w:widowControl w:val="false"/>
        <w:pBdr/>
        <w:spacing w:after="0" w:before="120" w:line="240" w:lineRule="auto"/>
        <w:ind w:left="567"/>
        <w:jc w:val="center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b/>
          <w:bCs/>
          <w:color w:val="000000"/>
        </w:rPr>
        <w:t xml:space="preserve">I</w:t>
      </w:r>
      <w:r>
        <w:rPr>
          <w:rFonts w:ascii="Times New Roman" w:hAnsi="Times New Roman"/>
          <w:b/>
          <w:bCs/>
          <w:color w:val="000000"/>
          <w:lang w:val="ru-RU"/>
        </w:rPr>
        <w:t xml:space="preserve">. ПРЕДМЕТ КОНТРАКТА</w:t>
      </w:r>
      <w:r>
        <w:rPr>
          <w:rFonts w:ascii="Times New Roman" w:hAnsi="Times New Roman"/>
          <w:color w:val="000000"/>
          <w:lang w:val="ru-RU"/>
        </w:rPr>
      </w:r>
    </w:p>
    <w:p>
      <w:pPr>
        <w:pStyle w:val="922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Поставщик </w:t>
      </w:r>
      <w:r>
        <w:rPr>
          <w:rFonts w:ascii="Times New Roman" w:hAnsi="Times New Roman"/>
          <w:sz w:val="22"/>
          <w:szCs w:val="22"/>
        </w:rPr>
        <w:t xml:space="preserve">обязуется в порядке и сроки, предусмотренные Контрактом, осуществить поставку батарей и аккумуляторов: элементов первичных и батарей первичных элементов, мела канцелярского, полотенец бумажных принадлежностей (далее - Товар), в соответствии Спецификацией (</w:t>
      </w:r>
      <w:hyperlink w:tooltip="#P365" w:anchor="P365" w:history="1">
        <w:r>
          <w:rPr>
            <w:rFonts w:ascii="Times New Roman" w:hAnsi="Times New Roman"/>
            <w:sz w:val="22"/>
            <w:szCs w:val="22"/>
          </w:rPr>
          <w:t xml:space="preserve">приложение № 1</w:t>
        </w:r>
      </w:hyperlink>
      <w:r>
        <w:rPr>
          <w:rFonts w:ascii="Times New Roman" w:hAnsi="Times New Roman"/>
          <w:sz w:val="22"/>
          <w:szCs w:val="22"/>
        </w:rPr>
        <w:t xml:space="preserve"> к Контракту), а Заказчик обязуется в порядке и сроки, предусмотренные Контрактом, принять и оплатить поставленный Товар. 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 Номенклатура Товара и его количество определяются Спецификацией (</w:t>
      </w:r>
      <w:hyperlink w:tooltip="#P365" w:anchor="P365" w:history="1">
        <w:r>
          <w:rPr>
            <w:rFonts w:ascii="Times New Roman" w:hAnsi="Times New Roman"/>
            <w:sz w:val="22"/>
            <w:szCs w:val="22"/>
          </w:rPr>
          <w:t xml:space="preserve">приложение № 1</w:t>
        </w:r>
      </w:hyperlink>
      <w:r>
        <w:rPr>
          <w:rFonts w:ascii="Times New Roman" w:hAnsi="Times New Roman"/>
          <w:sz w:val="22"/>
          <w:szCs w:val="22"/>
        </w:rPr>
        <w:t xml:space="preserve"> к Контракту) и Техническими характеристиками (</w:t>
      </w:r>
      <w:hyperlink w:tooltip="#P410" w:anchor="P410" w:history="1">
        <w:r>
          <w:rPr>
            <w:rFonts w:ascii="Times New Roman" w:hAnsi="Times New Roman"/>
            <w:sz w:val="22"/>
            <w:szCs w:val="22"/>
          </w:rPr>
          <w:t xml:space="preserve">приложение № 2</w:t>
        </w:r>
      </w:hyperlink>
      <w:r>
        <w:rPr>
          <w:rFonts w:ascii="Times New Roman" w:hAnsi="Times New Roman"/>
          <w:sz w:val="22"/>
          <w:szCs w:val="22"/>
        </w:rPr>
        <w:t xml:space="preserve"> к Контракту).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Поставка Товара осуществляется Поставщиком собственными силами с разгрузкой</w:t>
      </w:r>
      <w:r>
        <w:rPr>
          <w:rFonts w:ascii="Times New Roman" w:hAnsi="Times New Roman"/>
          <w:sz w:val="22"/>
          <w:szCs w:val="22"/>
        </w:rPr>
        <w:t xml:space="preserve"> транспортного средства по адресу: г. Хабаровск, ул. Муравьева - Амурского, 35, (далее – Место доставки) в соответствии с Отгрузочной разнарядкой (Планом распределения) (Приложение № 3 к Контракту), с даты заключения контракта в течение 20 (двадцати) дней.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4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en-US"/>
        </w:rPr>
        <w:t xml:space="preserve">II</w:t>
      </w:r>
      <w:r>
        <w:rPr>
          <w:rFonts w:ascii="Times New Roman" w:hAnsi="Times New Roman"/>
          <w:b/>
          <w:sz w:val="22"/>
          <w:szCs w:val="22"/>
        </w:rPr>
        <w:t xml:space="preserve">.</w:t>
      </w:r>
      <w:r>
        <w:rPr>
          <w:rFonts w:ascii="Times New Roman" w:hAnsi="Times New Roman"/>
          <w:b/>
          <w:color w:val="000000"/>
          <w:sz w:val="22"/>
          <w:szCs w:val="22"/>
        </w:rPr>
        <w:t xml:space="preserve"> ЦЕНА КОНТРАКТА И </w:t>
      </w:r>
      <w:r>
        <w:rPr>
          <w:rFonts w:ascii="Times New Roman" w:hAnsi="Times New Roman" w:eastAsia="Arial"/>
          <w:b/>
          <w:color w:val="000000"/>
          <w:sz w:val="22"/>
          <w:szCs w:val="22"/>
          <w:lang w:eastAsia="ar-SA"/>
        </w:rPr>
        <w:t xml:space="preserve">ПОРЯДОК РАСЧЕТОВ</w:t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22"/>
        <w:pBdr/>
        <w:spacing/>
        <w:ind w:firstLine="54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Цена Контракта составляет </w:t>
      </w:r>
      <w:r>
        <w:rPr>
          <w:rFonts w:ascii="Times New Roman" w:hAnsi="Times New Roman"/>
          <w:b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  <w:t xml:space="preserve">(________________________) рублей </w:t>
      </w:r>
      <w:r>
        <w:rPr>
          <w:rFonts w:ascii="Times New Roman" w:hAnsi="Times New Roman"/>
          <w:b/>
          <w:sz w:val="22"/>
          <w:szCs w:val="22"/>
        </w:rPr>
        <w:t xml:space="preserve">___</w:t>
      </w:r>
      <w:r>
        <w:rPr>
          <w:rFonts w:ascii="Times New Roman" w:hAnsi="Times New Roman"/>
          <w:sz w:val="22"/>
          <w:szCs w:val="22"/>
        </w:rPr>
        <w:t xml:space="preserve"> копеек, в том числе НДС - _________________ / либо НДС – не облагается</w:t>
      </w:r>
      <w:r>
        <w:rPr>
          <w:rFonts w:ascii="Times New Roman" w:hAnsi="Times New Roman"/>
          <w:b/>
          <w:sz w:val="22"/>
          <w:szCs w:val="22"/>
        </w:rPr>
        <w:t xml:space="preserve">.</w:t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Цена Контракта включает в себя: стоимость Товара, расходы, связ</w:t>
      </w:r>
      <w:r>
        <w:rPr>
          <w:rFonts w:ascii="Times New Roman" w:hAnsi="Times New Roman"/>
          <w:sz w:val="22"/>
          <w:szCs w:val="22"/>
        </w:rPr>
        <w:t xml:space="preserve">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Цена Контракта является твердой и определяется на весь срок исполнения Контракта, за исключением следующего случая:</w:t>
      </w:r>
      <w:bookmarkStart w:id="0" w:name="P1460"/>
      <w:r/>
      <w:bookmarkEnd w:id="0"/>
      <w:r/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2.3.1. Цена Контракта может быть снижена по соглашению Сторон без изменения, предусмотренного Контрактом количества и качества поставляемого Товара и иных условий Контракта.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2.4. Источник финансирования Контракта – средства бюджетного учреждения. </w:t>
      </w:r>
      <w:bookmarkStart w:id="1" w:name="P1462"/>
      <w:r/>
      <w:bookmarkStart w:id="2" w:name="P1466"/>
      <w:r/>
      <w:bookmarkEnd w:id="1"/>
      <w:r/>
      <w:bookmarkEnd w:id="2"/>
      <w:r/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2.5. </w:t>
      </w:r>
      <w:bookmarkStart w:id="3" w:name="P1475"/>
      <w:r/>
      <w:bookmarkEnd w:id="3"/>
      <w:r>
        <w:rPr>
          <w:rFonts w:ascii="Times New Roman" w:hAnsi="Times New Roman"/>
          <w:sz w:val="22"/>
          <w:szCs w:val="22"/>
        </w:rPr>
        <w:t xml:space="preserve">Расчеты между Заказчиком и Поставщиком производятся не позднее 10 (десяти) рабочих дней с даты подписания Заказчиком 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акта приема-передачи Товара, </w:t>
      </w:r>
      <w:r>
        <w:rPr>
          <w:rFonts w:ascii="Times New Roman" w:hAnsi="Times New Roman"/>
          <w:sz w:val="22"/>
          <w:szCs w:val="22"/>
        </w:rPr>
        <w:t xml:space="preserve">товарной накладной или универсально-передаточного документа (далее УПД), составленного по форме в соответствии с законодательством Российской Федерац</w:t>
      </w:r>
      <w:r>
        <w:rPr>
          <w:rFonts w:ascii="Times New Roman" w:hAnsi="Times New Roman"/>
          <w:sz w:val="22"/>
          <w:szCs w:val="22"/>
        </w:rPr>
        <w:t xml:space="preserve">ии и при предоставлении документов: счета, счет-фактуры (при наличии), сводного реестра товарных накладных на поставку Товара (при необходимости) и документа, подтверждающего соответствие качества Товара, выданного уполномоченными органами (организациями).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2.6. Оплата по</w:t>
      </w:r>
      <w:r>
        <w:rPr>
          <w:rFonts w:ascii="Times New Roman" w:hAnsi="Times New Roman"/>
          <w:sz w:val="22"/>
          <w:szCs w:val="22"/>
        </w:rPr>
        <w:t xml:space="preserve">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</w:t>
      </w:r>
      <w:r>
        <w:rPr>
          <w:rFonts w:ascii="Times New Roman" w:hAnsi="Times New Roman"/>
          <w:sz w:val="22"/>
          <w:szCs w:val="22"/>
        </w:rPr>
        <w:t xml:space="preserve">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center"/>
        <w:outlineLvl w:val="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III. ПОРЯДОК, СРОКИ И УСЛОВИЯ ПОСТАВКИ И ПРИЕМКИ ТОВАРА</w:t>
      </w:r>
      <w:r>
        <w:rPr>
          <w:rFonts w:ascii="Times New Roman" w:hAnsi="Times New Roman"/>
          <w:b/>
          <w:sz w:val="22"/>
          <w:szCs w:val="22"/>
        </w:rPr>
      </w:r>
    </w:p>
    <w:p>
      <w:pPr>
        <w:pBdr/>
        <w:tabs>
          <w:tab w:val="left" w:leader="none" w:pos="709"/>
        </w:tabs>
        <w:spacing/>
        <w:ind w:firstLine="567"/>
        <w:jc w:val="both"/>
        <w:rPr>
          <w:rFonts w:eastAsia="Calibri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 Поставщик самостоятельно доставляет Товар Заказчику по адресу: в соответствии с Технической частью </w:t>
      </w:r>
      <w:r>
        <w:rPr>
          <w:sz w:val="22"/>
          <w:szCs w:val="22"/>
        </w:rPr>
        <w:t xml:space="preserve">(далее - место доставки), в течение 20 дней со дня заключения контракта.</w:t>
      </w:r>
      <w:r>
        <w:rPr>
          <w:color w:val="000000"/>
          <w:sz w:val="22"/>
          <w:szCs w:val="22"/>
        </w:rPr>
        <w:t xml:space="preserve"> Поставщик </w:t>
      </w:r>
      <w:r>
        <w:rPr>
          <w:rFonts w:eastAsia="Calibri"/>
          <w:color w:val="000000"/>
          <w:sz w:val="22"/>
          <w:szCs w:val="22"/>
        </w:rPr>
        <w:t xml:space="preserve">не менее чем за 2 рабочих дня до осуществления поставки Товара направляет в адрес Заказчика уведомление о времени и дате доставки Товара в место доставки. </w:t>
      </w:r>
      <w:r>
        <w:rPr>
          <w:rFonts w:eastAsia="Calibri"/>
          <w:color w:val="000000"/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Приемка Товара осуществляется путем пе</w:t>
      </w:r>
      <w:r>
        <w:rPr>
          <w:sz w:val="22"/>
          <w:szCs w:val="22"/>
        </w:rPr>
        <w:t xml:space="preserve">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 Для проверки предоставленных Поставщиком результатов, предусмотренных Контрактом, в части их соответствия условиям Контр</w:t>
      </w:r>
      <w:r>
        <w:rPr>
          <w:sz w:val="22"/>
          <w:szCs w:val="22"/>
        </w:rPr>
        <w:t xml:space="preserve">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bookmarkStart w:id="4" w:name="P1489"/>
      <w:r/>
      <w:bookmarkEnd w:id="4"/>
      <w:r>
        <w:rPr>
          <w:sz w:val="22"/>
          <w:szCs w:val="22"/>
        </w:rPr>
        <w:t xml:space="preserve">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</w:t>
      </w:r>
      <w:r>
        <w:rPr>
          <w:sz w:val="22"/>
          <w:szCs w:val="22"/>
        </w:rPr>
      </w:r>
    </w:p>
    <w:p>
      <w:pPr>
        <w:pStyle w:val="922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 факту приемки Товара Поставщик и Заказчик подписывают 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акт приема-передачи Товара и </w:t>
      </w:r>
      <w:r>
        <w:rPr>
          <w:rFonts w:ascii="Times New Roman" w:hAnsi="Times New Roman"/>
          <w:color w:val="000000"/>
          <w:sz w:val="22"/>
          <w:szCs w:val="22"/>
        </w:rPr>
        <w:t xml:space="preserve">Акт приемки (ф. 0510452), предусмотренный приказом Минфина России от 15.04.2021 № 61н «Об утверждении унифицированных форм электронных документов бухгалтерского учёта, применяемых при ведении бюджетного учёт</w:t>
      </w:r>
      <w:r>
        <w:rPr>
          <w:rFonts w:ascii="Times New Roman" w:hAnsi="Times New Roman"/>
          <w:color w:val="000000"/>
          <w:sz w:val="22"/>
          <w:szCs w:val="22"/>
        </w:rPr>
        <w:t xml:space="preserve">а, бухгалтерского учёта государственных (муниципальных) учреждений, и Методических указаний по их формированию и применению» (далее – Акт приёмки (ф. 0510452)). При отсутствии Поставщика при приемке поставленного товара, подписание Акта приёмки (ф. 0510452</w:t>
      </w:r>
      <w:r>
        <w:rPr>
          <w:rFonts w:ascii="Times New Roman" w:hAnsi="Times New Roman"/>
          <w:color w:val="000000"/>
          <w:sz w:val="22"/>
          <w:szCs w:val="22"/>
        </w:rPr>
        <w:t xml:space="preserve">) поставщиком не предусмотрено. Акт приёмки (ф. 0510452) утверждается без поставщика, и в его адрес в целях подтверждения возникновения у принимающей стороны обязанности оплатить поставленный товар  направляется Акт приёмки (ф. 0510452) или его скан-копия.</w:t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При отсутствии у Заказчика претензий по количеству и качеству поставленного Товара Заказчик в течение 10 дней с момента доставки Товара Поставщиком подписывает Акт приемки (ф. 0510452), </w:t>
      </w:r>
      <w:r>
        <w:rPr>
          <w:color w:val="000000"/>
          <w:sz w:val="22"/>
          <w:szCs w:val="22"/>
          <w:shd w:val="clear" w:color="auto" w:fill="ffffff"/>
        </w:rPr>
        <w:t xml:space="preserve">акт приема-передачи Товара, </w:t>
      </w:r>
      <w:r>
        <w:rPr>
          <w:sz w:val="22"/>
          <w:szCs w:val="22"/>
        </w:rPr>
        <w:t xml:space="preserve">товарную (товарно-транспортную) накладную или УПД, счет, счет-фактуру (при наличии). После этого Товар считается переданным Поставщиком Заказчику.</w:t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При выявлении несоответствий в поставленном Товаре (наименования, количества, качества, в т</w:t>
      </w:r>
      <w:r>
        <w:rPr>
          <w:sz w:val="22"/>
          <w:szCs w:val="22"/>
        </w:rPr>
        <w:t xml:space="preserve">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</w:t>
      </w:r>
      <w:hyperlink w:tooltip="#P1489" w:anchor="P1489" w:history="1">
        <w:r>
          <w:rPr>
            <w:color w:val="000000"/>
            <w:sz w:val="22"/>
            <w:szCs w:val="22"/>
          </w:rPr>
          <w:t xml:space="preserve">3.5</w:t>
        </w:r>
      </w:hyperlink>
      <w:r>
        <w:rPr>
          <w:sz w:val="22"/>
          <w:szCs w:val="22"/>
        </w:rPr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Во всех случаях, влекущих возврат Товара Поставщику, Заказчик обязан обеспечить сохранность этого Товара до моме</w:t>
      </w:r>
      <w:r>
        <w:rPr>
          <w:sz w:val="22"/>
          <w:szCs w:val="22"/>
        </w:rPr>
        <w:t xml:space="preserve">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3.8.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</w:t>
      </w:r>
      <w:hyperlink w:tooltip="#P1489" w:anchor="P1489" w:history="1">
        <w:r>
          <w:rPr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 Контракта.</w:t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3.9.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  <w:r>
        <w:rPr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pBdr/>
        <w:spacing/>
        <w:ind w:firstLine="567"/>
        <w:jc w:val="center"/>
        <w:outlineLvl w:val="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IV. ВЗАИМОДЕЙСТВИЕ СТОРОН</w:t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Поставщик обязан: 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4.1.1. поставить Товар в порядке, количестве, в срок и на условиях, предусмотренных Контрактом и спецификацией;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/>
      <w:bookmarkStart w:id="5" w:name="P1499"/>
      <w:r/>
      <w:bookmarkEnd w:id="5"/>
      <w:r>
        <w:rPr>
          <w:rFonts w:ascii="Times New Roman" w:hAnsi="Times New Roman"/>
          <w:sz w:val="22"/>
          <w:szCs w:val="22"/>
        </w:rPr>
        <w:t xml:space="preserve">4.1.2. обеспечить соответствие поставляемог</w:t>
      </w:r>
      <w:r>
        <w:rPr>
          <w:rFonts w:ascii="Times New Roman" w:hAnsi="Times New Roman"/>
          <w:sz w:val="22"/>
          <w:szCs w:val="22"/>
        </w:rPr>
        <w:t xml:space="preserve">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/>
      <w:bookmarkStart w:id="6" w:name="P1502"/>
      <w:r/>
      <w:bookmarkStart w:id="7" w:name="P1503"/>
      <w:r/>
      <w:bookmarkStart w:id="8" w:name="P1504"/>
      <w:r/>
      <w:bookmarkEnd w:id="6"/>
      <w:r/>
      <w:bookmarkEnd w:id="7"/>
      <w:r/>
      <w:bookmarkEnd w:id="8"/>
      <w:r>
        <w:rPr>
          <w:rFonts w:ascii="Times New Roman" w:hAnsi="Times New Roman"/>
          <w:sz w:val="22"/>
          <w:szCs w:val="22"/>
        </w:rPr>
        <w:t xml:space="preserve">4.1.4. в случае принятия решения об одностороннем отказе от исполнения Контракта не позднее чем </w:t>
      </w:r>
      <w:r>
        <w:rPr>
          <w:rFonts w:ascii="Times New Roman" w:hAnsi="Times New Roman"/>
          <w:sz w:val="22"/>
          <w:szCs w:val="22"/>
        </w:rPr>
        <w:t xml:space="preserve">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</w:t>
      </w:r>
      <w:r>
        <w:rPr>
          <w:rFonts w:ascii="Times New Roman" w:hAnsi="Times New Roman"/>
          <w:sz w:val="22"/>
          <w:szCs w:val="22"/>
        </w:rPr>
        <w:t xml:space="preserve">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 </w:t>
      </w:r>
      <w:bookmarkStart w:id="9" w:name="P1505"/>
      <w:r/>
      <w:bookmarkEnd w:id="9"/>
      <w:r/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4.1.5. </w:t>
      </w:r>
      <w:r>
        <w:rPr>
          <w:rFonts w:ascii="Times New Roman" w:hAnsi="Times New Roman"/>
          <w:sz w:val="22"/>
          <w:szCs w:val="22"/>
        </w:rPr>
        <w:t xml:space="preserve"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  <w:r>
        <w:rPr>
          <w:rFonts w:ascii="Times New Roman" w:hAnsi="Times New Roman"/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4.1.6. соответствовать требованиям ч.1 ст.31 Федерального закона №44-ФЗ.</w:t>
      </w:r>
      <w:r>
        <w:rPr>
          <w:sz w:val="22"/>
          <w:szCs w:val="22"/>
        </w:rPr>
      </w:r>
    </w:p>
    <w:p>
      <w:pPr>
        <w:widowControl w:val="false"/>
        <w:pBdr/>
        <w:spacing/>
        <w:ind w:firstLine="567"/>
        <w:contextualSpacing w:val="true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3.2. Поставщик вправе:</w:t>
      </w:r>
      <w:r>
        <w:rPr>
          <w:b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/>
      <w:bookmarkStart w:id="10" w:name="P1507"/>
      <w:r/>
      <w:bookmarkStart w:id="11" w:name="P1512"/>
      <w:r/>
      <w:bookmarkStart w:id="12" w:name="P1515"/>
      <w:r/>
      <w:bookmarkEnd w:id="10"/>
      <w:r/>
      <w:bookmarkEnd w:id="11"/>
      <w:r/>
      <w:bookmarkEnd w:id="12"/>
      <w:r>
        <w:rPr>
          <w:rFonts w:ascii="Times New Roman" w:hAnsi="Times New Roman"/>
          <w:sz w:val="22"/>
          <w:szCs w:val="22"/>
        </w:rPr>
        <w:t xml:space="preserve">4.2. Поставщик вправе: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4.2.1. требовать от Заказчика произвести приемку Товара в порядке и в сроки, предусмотренные Контрактом;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/>
      <w:bookmarkStart w:id="13" w:name="P1518"/>
      <w:r/>
      <w:bookmarkEnd w:id="13"/>
      <w:r>
        <w:rPr>
          <w:rFonts w:ascii="Times New Roman" w:hAnsi="Times New Roman"/>
          <w:sz w:val="22"/>
          <w:szCs w:val="22"/>
        </w:rPr>
        <w:t xml:space="preserve">4.2.2. требовать своевременной оплаты на условиях, установленных Контрактом, надлежащим образом поставленного и принятого Заказчиком Товара; 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/>
      <w:bookmarkStart w:id="14" w:name="P1519"/>
      <w:r/>
      <w:bookmarkEnd w:id="14"/>
      <w:r>
        <w:rPr>
          <w:rFonts w:ascii="Times New Roman" w:hAnsi="Times New Roman"/>
          <w:sz w:val="22"/>
          <w:szCs w:val="22"/>
        </w:rPr>
        <w:t xml:space="preserve">4.2.3. принять решение об одностороннем отказе от исполнения Контракта в соответствии с гражданским законодательством; 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4.2.4. требовать возмещения убытков, уплаты неустоек (штрафов, пеней) в соответствии с </w:t>
      </w:r>
      <w:hyperlink w:tooltip="#P1550" w:anchor="P1550" w:history="1">
        <w:r>
          <w:rPr>
            <w:rFonts w:ascii="Times New Roman" w:hAnsi="Times New Roman"/>
            <w:sz w:val="22"/>
            <w:szCs w:val="22"/>
          </w:rPr>
          <w:t xml:space="preserve">разделом VI</w:t>
        </w:r>
      </w:hyperlink>
      <w:r>
        <w:rPr>
          <w:rFonts w:ascii="Times New Roman" w:hAnsi="Times New Roman"/>
          <w:sz w:val="22"/>
          <w:szCs w:val="22"/>
        </w:rPr>
        <w:t xml:space="preserve"> Контракта.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/>
      <w:bookmarkStart w:id="15" w:name="P1521"/>
      <w:r/>
      <w:bookmarkEnd w:id="15"/>
      <w:r>
        <w:rPr>
          <w:rFonts w:ascii="Times New Roman" w:hAnsi="Times New Roman"/>
          <w:sz w:val="22"/>
          <w:szCs w:val="22"/>
        </w:rPr>
        <w:t xml:space="preserve">4.2.5. по согласованию с Заказчиком (путем заключения дополнительного соглашения) поставить Товар, качество, технические и функциональные характеристи</w:t>
      </w:r>
      <w:r>
        <w:rPr>
          <w:rFonts w:ascii="Times New Roman" w:hAnsi="Times New Roman"/>
          <w:sz w:val="22"/>
          <w:szCs w:val="22"/>
        </w:rPr>
        <w:t xml:space="preserve">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</w:t>
      </w:r>
      <w:hyperlink r:id="rId11" w:tooltip="consultantplus://offline/ref=782E9CC4CCC6932545801925E3B536176E50B53C1FD70BD7655CABC93DB89C271041D8CD0197EEC2617428125779CB07805FED4BE83BV7P" w:history="1">
        <w:r>
          <w:rPr>
            <w:rFonts w:ascii="Times New Roman" w:hAnsi="Times New Roman"/>
            <w:sz w:val="22"/>
            <w:szCs w:val="22"/>
          </w:rPr>
          <w:t xml:space="preserve">частью 6 статьи 14</w:t>
        </w:r>
      </w:hyperlink>
      <w:r>
        <w:rPr>
          <w:rFonts w:ascii="Times New Roman" w:hAnsi="Times New Roman"/>
          <w:sz w:val="22"/>
          <w:szCs w:val="22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4.3. Заказчик обязуется: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Контрактом; </w:t>
      </w:r>
      <w:bookmarkStart w:id="16" w:name="P1525"/>
      <w:r/>
      <w:bookmarkEnd w:id="16"/>
      <w:r/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4.3.2. в случае принятия решения об одностороннем отказе от исполнения Контракта не поз</w:t>
      </w:r>
      <w:r>
        <w:rPr>
          <w:rFonts w:ascii="Times New Roman" w:hAnsi="Times New Roman"/>
          <w:sz w:val="22"/>
          <w:szCs w:val="22"/>
        </w:rPr>
        <w:t xml:space="preserve">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Контракте, </w:t>
      </w:r>
      <w:r>
        <w:rPr>
          <w:rFonts w:ascii="Times New Roman" w:hAnsi="Times New Roman"/>
          <w:sz w:val="22"/>
          <w:szCs w:val="22"/>
        </w:rPr>
        <w:t xml:space="preserve">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 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4.3.3. требовать уплаты неустоек (штрафов, пеней) в соответствии с </w:t>
      </w:r>
      <w:hyperlink w:tooltip="#P1550" w:anchor="P1550" w:history="1">
        <w:r>
          <w:rPr>
            <w:rFonts w:ascii="Times New Roman" w:hAnsi="Times New Roman"/>
            <w:sz w:val="22"/>
            <w:szCs w:val="22"/>
          </w:rPr>
          <w:t xml:space="preserve">разделом VI</w:t>
        </w:r>
      </w:hyperlink>
      <w:r>
        <w:rPr>
          <w:rFonts w:ascii="Times New Roman" w:hAnsi="Times New Roman"/>
          <w:sz w:val="22"/>
          <w:szCs w:val="22"/>
        </w:rPr>
        <w:t xml:space="preserve"> Контракта;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4.3.4. провести экспертизу поставленного Товара для проверки его соответствия условиям Контракта в соответствии с Федеральным </w:t>
      </w:r>
      <w:hyperlink r:id="rId12" w:tooltip="consultantplus://offline/ref=782E9CC4CCC6932545801925E3B536176E50B53C1FD70BD7655CABC93DB89C27024180C10398FB96372E7F1F5737VEP" w:history="1">
        <w:r>
          <w:rPr>
            <w:rFonts w:ascii="Times New Roman" w:hAnsi="Times New Roman"/>
            <w:sz w:val="22"/>
            <w:szCs w:val="22"/>
          </w:rPr>
          <w:t xml:space="preserve">законом</w:t>
        </w:r>
      </w:hyperlink>
      <w:r>
        <w:rPr>
          <w:rFonts w:ascii="Times New Roman" w:hAnsi="Times New Roman"/>
          <w:sz w:val="22"/>
          <w:szCs w:val="22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/>
      <w:bookmarkStart w:id="17" w:name="P1529"/>
      <w:r/>
      <w:bookmarkEnd w:id="17"/>
      <w:r>
        <w:rPr>
          <w:rFonts w:ascii="Times New Roman" w:hAnsi="Times New Roman"/>
          <w:sz w:val="22"/>
          <w:szCs w:val="22"/>
        </w:rPr>
        <w:t xml:space="preserve">4.4. Заказчик вправе: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4.4.1. требовать от Поставщика надлежащего исполнения обязательств по Контракту;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4.4.3. проверять ход и качество выполнения Поставщиком условий Контракта без вмешательства в оперативно-хозяйственную деятельность Поставщика;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4.4.4. требовать возмещения убытков в соответствии с </w:t>
      </w:r>
      <w:hyperlink w:tooltip="#P1550" w:anchor="P1550" w:history="1">
        <w:r>
          <w:rPr>
            <w:rFonts w:ascii="Times New Roman" w:hAnsi="Times New Roman"/>
            <w:sz w:val="22"/>
            <w:szCs w:val="22"/>
          </w:rPr>
          <w:t xml:space="preserve">разделом VI</w:t>
        </w:r>
      </w:hyperlink>
      <w:r>
        <w:rPr>
          <w:rFonts w:ascii="Times New Roman" w:hAnsi="Times New Roman"/>
          <w:sz w:val="22"/>
          <w:szCs w:val="22"/>
        </w:rPr>
        <w:t xml:space="preserve"> Контракта, причиненных по вине Поставщика;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/>
      <w:bookmarkStart w:id="18" w:name="P1534"/>
      <w:r/>
      <w:bookmarkEnd w:id="18"/>
      <w:r>
        <w:rPr>
          <w:rFonts w:ascii="Times New Roman" w:hAnsi="Times New Roman"/>
          <w:sz w:val="22"/>
          <w:szCs w:val="22"/>
        </w:rPr>
        <w:t xml:space="preserve">4.4.5. отказаться от приемки и оплаты Товара, не соответствующего условиям Контракта;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/>
      <w:bookmarkStart w:id="19" w:name="P1536"/>
      <w:r/>
      <w:bookmarkEnd w:id="19"/>
      <w:r>
        <w:rPr>
          <w:rFonts w:ascii="Times New Roman" w:hAnsi="Times New Roman"/>
          <w:sz w:val="22"/>
          <w:szCs w:val="22"/>
        </w:rPr>
        <w:t xml:space="preserve">4.4.6. принять решение об одностороннем отказе от исполнения Контракта в соответствии с гражданским законодательством; </w:t>
      </w:r>
      <w:bookmarkStart w:id="20" w:name="P1537"/>
      <w:r/>
      <w:bookmarkEnd w:id="20"/>
      <w:r/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4.4.7.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 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center"/>
        <w:outlineLvl w:val="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V. КАЧЕСТВО ТОВАРА</w:t>
      </w:r>
      <w:r>
        <w:rPr>
          <w:rFonts w:ascii="Times New Roman" w:hAnsi="Times New Roman"/>
          <w:b/>
          <w:sz w:val="22"/>
          <w:szCs w:val="22"/>
        </w:rPr>
      </w:r>
    </w:p>
    <w:p>
      <w:pPr>
        <w:pBdr/>
        <w:tabs>
          <w:tab w:val="left" w:leader="none" w:pos="709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9160"/>
          <w:tab w:val="left" w:leader="none" w:pos="93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5.1. Поставщик гарантирует, что поставляемый Товар соответствует требованиям, установленным Контрактом.</w:t>
      </w:r>
      <w:r>
        <w:rPr>
          <w:color w:val="000000"/>
          <w:sz w:val="22"/>
          <w:szCs w:val="22"/>
        </w:rPr>
      </w:r>
    </w:p>
    <w:p>
      <w:pPr>
        <w:pBdr/>
        <w:tabs>
          <w:tab w:val="left" w:leader="none" w:pos="709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9160"/>
          <w:tab w:val="left" w:leader="none" w:pos="93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  <w:r>
        <w:rPr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5.3. Товар должен быть упакован и замаркирован в соответствии с действующими стандартами.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Поставщик поставляет Товар в у</w:t>
      </w:r>
      <w:r>
        <w:rPr>
          <w:rFonts w:ascii="Times New Roman" w:hAnsi="Times New Roman"/>
          <w:sz w:val="22"/>
          <w:szCs w:val="22"/>
        </w:rPr>
        <w:t xml:space="preserve">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/>
      <w:bookmarkStart w:id="21" w:name="P1546"/>
      <w:r/>
      <w:bookmarkEnd w:id="21"/>
      <w:r>
        <w:rPr>
          <w:rFonts w:ascii="Times New Roman" w:hAnsi="Times New Roman"/>
          <w:sz w:val="22"/>
          <w:szCs w:val="22"/>
        </w:rPr>
        <w:t xml:space="preserve"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 </w:t>
      </w:r>
      <w:bookmarkStart w:id="22" w:name="P1547"/>
      <w:r/>
      <w:bookmarkEnd w:id="22"/>
      <w:r/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5.5. Требования к предоставлению гарантии производителя и (или) Поставщика Товара и к сроку действия такой гарантии указаны в спецификации.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709"/>
        <w:contextualSpacing w:val="true"/>
        <w:jc w:val="both"/>
        <w:outlineLvl w:val="1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</w:r>
      <w:r>
        <w:rPr>
          <w:rFonts w:ascii="Times New Roman" w:hAnsi="Times New Roman"/>
          <w:b/>
          <w:color w:val="000000"/>
          <w:sz w:val="22"/>
          <w:szCs w:val="22"/>
        </w:rPr>
      </w:r>
    </w:p>
    <w:p>
      <w:pPr>
        <w:pBdr/>
        <w:tabs>
          <w:tab w:val="left" w:leader="none" w:pos="709"/>
        </w:tabs>
        <w:spacing/>
        <w:ind w:firstLine="567"/>
        <w:jc w:val="center"/>
        <w:outlineLvl w:val="0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VI. </w:t>
      </w:r>
      <w:r>
        <w:rPr>
          <w:b/>
          <w:color w:val="000000"/>
          <w:sz w:val="22"/>
          <w:szCs w:val="22"/>
        </w:rPr>
        <w:t xml:space="preserve">ОТВЕТСТВЕННОСТЬ СТОРОН</w:t>
      </w:r>
      <w:r>
        <w:rPr>
          <w:b/>
          <w:color w:val="000000"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 w:firstLine="567"/>
        <w:contextualSpacing w:val="tru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6.1. За неисполнение или ненадлежащее исполнение </w:t>
      </w:r>
      <w:r>
        <w:rPr>
          <w:rFonts w:ascii="Times New Roman" w:hAnsi="Times New Roman"/>
          <w:sz w:val="22"/>
          <w:szCs w:val="22"/>
        </w:rPr>
        <w:t xml:space="preserve">условий Контракта Стороны несут ответственность в соответствии с законодательством Российской Федерации. 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 w:firstLine="567"/>
        <w:contextualSpacing w:val="tru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Размер штрафа устанавливается Контрактом в порядке, установленном Постановлением Правительства Российской Федерации от 30.08.2017 № 1042.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 w:firstLine="567"/>
        <w:contextualSpacing w:val="tru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В случае </w:t>
      </w:r>
      <w:r>
        <w:rPr>
          <w:rFonts w:ascii="Times New Roman" w:hAnsi="Times New Roman"/>
          <w:sz w:val="22"/>
          <w:szCs w:val="22"/>
        </w:rPr>
        <w:t xml:space="preserve">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 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 w:firstLine="567"/>
        <w:contextualSpacing w:val="tru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6.4. Пеня начисляется за каждый день просрочки исполнения Заказчиком обязательства, предусмотренного Контрактом, начиная со дня, следующего посл</w:t>
      </w:r>
      <w:r>
        <w:rPr>
          <w:rFonts w:ascii="Times New Roman" w:hAnsi="Times New Roman"/>
          <w:sz w:val="22"/>
          <w:szCs w:val="22"/>
        </w:rPr>
        <w:t xml:space="preserve">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 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 w:firstLine="567"/>
        <w:contextualSpacing w:val="tru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6.5. 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Контрактом, Поставщик вправе взыскать с Заказчика штраф в размере 1000 рублей.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 w:firstLine="567"/>
        <w:contextualSpacing w:val="tru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6.6. В случае нарушения Поставщиком срока предоставления документов, предусмотренного пунктом 3.4. Контракта, Заказчик не несет ответственность, установленную пунктами 6.3 – 6.5 Контракта.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 w:firstLine="567"/>
        <w:contextualSpacing w:val="tru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 w:firstLine="567"/>
        <w:contextualSpacing w:val="tru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6.8. В случае просрочки исполн</w:t>
      </w:r>
      <w:r>
        <w:rPr>
          <w:rFonts w:ascii="Times New Roman" w:hAnsi="Times New Roman"/>
          <w:sz w:val="22"/>
          <w:szCs w:val="22"/>
        </w:rPr>
        <w:t xml:space="preserve">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 w:firstLine="567"/>
        <w:contextualSpacing w:val="tru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6.9. Пеня начисляется за каждый день просрочки исполнения Поставщиком обязательства, предусмотренного Контрактом, в </w:t>
      </w:r>
      <w:r>
        <w:rPr>
          <w:rFonts w:ascii="Times New Roman" w:hAnsi="Times New Roman"/>
          <w:sz w:val="22"/>
          <w:szCs w:val="22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 w:firstLine="567"/>
        <w:contextualSpacing w:val="tru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6.10. За каждый факт неисполнения или ненадлежащего испо</w:t>
      </w:r>
      <w:r>
        <w:rPr>
          <w:rFonts w:ascii="Times New Roman" w:hAnsi="Times New Roman"/>
          <w:sz w:val="22"/>
          <w:szCs w:val="22"/>
        </w:rPr>
        <w:t xml:space="preserve">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 w:firstLine="567"/>
        <w:contextualSpacing w:val="tru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1000 рублей.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 w:firstLine="567"/>
        <w:contextualSpacing w:val="tru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6.12. Общая сумма начисленных штрафов за ненадлежащее исполнение Поставщиком обязательств, предусмотренных Контрактом, не может превышать цену Контракта.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 w:firstLine="567"/>
        <w:contextualSpacing w:val="true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tabs>
          <w:tab w:val="left" w:leader="none" w:pos="709"/>
        </w:tabs>
        <w:spacing/>
        <w:ind w:firstLine="567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VII. ОБЕСПЕЧЕНИЕ ИСПОЛНЕНИЯ КОНТРАКТА</w:t>
      </w:r>
      <w:r>
        <w:rPr>
          <w:b/>
          <w:sz w:val="22"/>
          <w:szCs w:val="22"/>
        </w:rPr>
      </w:r>
    </w:p>
    <w:p>
      <w:pPr>
        <w:pStyle w:val="922"/>
        <w:pBdr/>
        <w:spacing/>
        <w:ind w:firstLine="567"/>
        <w:contextualSpacing w:val="true"/>
        <w:jc w:val="both"/>
        <w:outlineLvl w:val="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7.1 Обеспечение исполнения контракт не устанавливается.</w:t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922"/>
        <w:pBdr/>
        <w:spacing/>
        <w:ind w:firstLine="567"/>
        <w:contextualSpacing w:val="true"/>
        <w:jc w:val="both"/>
        <w:outlineLvl w:val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widowControl w:val="false"/>
        <w:pBdr/>
        <w:spacing/>
        <w:ind w:firstLine="567"/>
        <w:jc w:val="center"/>
        <w:outlineLvl w:val="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VIII. ОБЕСПЕЧЕНИЕ ГАРАНТИЙНЫХ ОБЯЗАТЕЛЬСТВ</w:t>
      </w:r>
      <w:r>
        <w:rPr>
          <w:b/>
          <w:sz w:val="22"/>
          <w:szCs w:val="22"/>
        </w:rPr>
      </w:r>
    </w:p>
    <w:p>
      <w:pPr>
        <w:pBdr/>
        <w:spacing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Обеспечение гарантийных обязательств не устанавливается</w:t>
      </w:r>
      <w:r>
        <w:rPr>
          <w:sz w:val="22"/>
          <w:szCs w:val="22"/>
        </w:rPr>
      </w:r>
    </w:p>
    <w:p>
      <w:pPr>
        <w:pStyle w:val="922"/>
        <w:pBdr/>
        <w:spacing/>
        <w:ind w:firstLine="567"/>
        <w:jc w:val="both"/>
        <w:outlineLvl w:val="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22"/>
        <w:pBdr/>
        <w:spacing/>
        <w:ind w:firstLine="567"/>
        <w:jc w:val="center"/>
        <w:outlineLvl w:val="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IX. ИСКЛЮЧИТЕЛЬНЫЕ ПРАВА</w:t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9.1. Поставщик гарантирует отсутствие нарушения исключительных прав третьих лиц, связанных с поставкой и использованием Товара.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9.2. Все убытки, понесенные Заказчиком в случае нарушения исключительных прав третьих лиц на результаты интеллектуа</w:t>
      </w:r>
      <w:r>
        <w:rPr>
          <w:rFonts w:ascii="Times New Roman" w:hAnsi="Times New Roman"/>
          <w:sz w:val="22"/>
          <w:szCs w:val="22"/>
        </w:rPr>
        <w:t xml:space="preserve">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tabs>
          <w:tab w:val="left" w:leader="none" w:pos="2745"/>
        </w:tabs>
        <w:spacing/>
        <w:ind w:firstLine="567"/>
        <w:contextualSpacing w:val="true"/>
        <w:jc w:val="both"/>
        <w:outlineLvl w:val="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pBdr/>
        <w:tabs>
          <w:tab w:val="left" w:leader="none" w:pos="709"/>
        </w:tabs>
        <w:spacing/>
        <w:ind w:firstLine="567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X.</w:t>
      </w:r>
      <w:r>
        <w:rPr>
          <w:b/>
          <w:color w:val="000000"/>
          <w:sz w:val="22"/>
          <w:szCs w:val="22"/>
        </w:rPr>
        <w:t xml:space="preserve"> ОБСТОЯТЕЛЬСТВА НЕПРЕОДОЛИМОЙ СИЛЫ</w:t>
      </w:r>
      <w:r>
        <w:rPr>
          <w:b/>
          <w:color w:val="000000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10.2. В случае если надлежащее исполнение Стороной предусмотренных Контрактом обязательств </w:t>
      </w:r>
      <w:r>
        <w:rPr>
          <w:rFonts w:ascii="Times New Roman" w:hAnsi="Times New Roman"/>
          <w:sz w:val="22"/>
          <w:szCs w:val="22"/>
        </w:rPr>
        <w:t xml:space="preserve">оказалось невозможным вследствие обстоятельств непреодолимой силы, такая Сторона не позднее 5 (пяти)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outlineLvl w:val="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22"/>
        <w:pBdr/>
        <w:spacing/>
        <w:ind w:firstLine="567"/>
        <w:jc w:val="center"/>
        <w:outlineLvl w:val="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X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I</w:t>
      </w:r>
      <w:r>
        <w:rPr>
          <w:rFonts w:ascii="Times New Roman" w:hAnsi="Times New Roman"/>
          <w:b/>
          <w:sz w:val="22"/>
          <w:szCs w:val="22"/>
        </w:rPr>
        <w:t xml:space="preserve">. РАССМОТРЕНИЕ И РАЗРЕШЕНИЕ СПОРОВ</w:t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11.2. Претензия оформляется в письменной форме. В претензии перечисляются доп</w:t>
      </w:r>
      <w:r>
        <w:rPr>
          <w:rFonts w:ascii="Times New Roman" w:hAnsi="Times New Roman"/>
          <w:sz w:val="22"/>
          <w:szCs w:val="22"/>
        </w:rPr>
        <w:t xml:space="preserve">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</w:t>
      </w:r>
      <w:r>
        <w:rPr>
          <w:rFonts w:ascii="Times New Roman" w:hAnsi="Times New Roman"/>
          <w:sz w:val="22"/>
          <w:szCs w:val="22"/>
        </w:rPr>
        <w:t xml:space="preserve">.3. Срок рассмотрения претензии не может превышать 10 (десять)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11.4. При не урегулировании Сторонами спора в досудебном порядке, спор разрешается в судебном порядке </w:t>
      </w:r>
      <w:r>
        <w:rPr>
          <w:rFonts w:ascii="Times New Roman" w:hAnsi="Times New Roman"/>
          <w:color w:val="000000"/>
          <w:sz w:val="22"/>
          <w:szCs w:val="22"/>
        </w:rPr>
        <w:t xml:space="preserve">в Арбитражном суде Хабаровского края.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tabs>
          <w:tab w:val="left" w:leader="none" w:pos="2745"/>
        </w:tabs>
        <w:spacing/>
        <w:ind w:firstLine="567"/>
        <w:contextualSpacing w:val="true"/>
        <w:jc w:val="both"/>
        <w:outlineLvl w:val="1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</w:r>
      <w:r>
        <w:rPr>
          <w:rFonts w:ascii="Times New Roman" w:hAnsi="Times New Roman"/>
          <w:color w:val="000000"/>
          <w:sz w:val="22"/>
          <w:szCs w:val="22"/>
        </w:rPr>
      </w:r>
    </w:p>
    <w:p>
      <w:pPr>
        <w:pStyle w:val="922"/>
        <w:pBdr/>
        <w:spacing/>
        <w:ind w:firstLine="567"/>
        <w:jc w:val="center"/>
        <w:outlineLvl w:val="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XI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I</w:t>
      </w:r>
      <w:r>
        <w:rPr>
          <w:rFonts w:ascii="Times New Roman" w:hAnsi="Times New Roman" w:eastAsia="Arial"/>
          <w:b/>
          <w:color w:val="000000"/>
          <w:sz w:val="22"/>
          <w:szCs w:val="22"/>
          <w:lang w:eastAsia="ar-SA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 xml:space="preserve">СРОК ДЕЙСТВИЯ И ПОРЯДОК РАСТОРЖЕНИЯ КОНТРАКТА</w:t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12.1.</w:t>
      </w:r>
      <w:r>
        <w:rPr>
          <w:rFonts w:ascii="Times New Roman" w:hAnsi="Times New Roman"/>
          <w:sz w:val="22"/>
          <w:szCs w:val="22"/>
        </w:rPr>
        <w:t xml:space="preserve"> Контракт вступает в силу с момента его подписания обеими Сторонами и действует по 31 декабря 2026 г. 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 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12.2.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</w:t>
      </w:r>
      <w:hyperlink r:id="rId13" w:tooltip="consultantplus://offline/ref=782E9CC4CCC6932545801925E3B536176E50B53C1FD70BD7655CABC93DB89C271041D8CD019EE29F343B294E112BD805805FEF4CF4B5672237V6P" w:history="1">
        <w:r>
          <w:rPr>
            <w:rFonts w:ascii="Times New Roman" w:hAnsi="Times New Roman"/>
            <w:sz w:val="22"/>
            <w:szCs w:val="22"/>
          </w:rPr>
          <w:t xml:space="preserve">частями 9</w:t>
        </w:r>
      </w:hyperlink>
      <w:r>
        <w:rPr>
          <w:rFonts w:ascii="Times New Roman" w:hAnsi="Times New Roman"/>
          <w:sz w:val="22"/>
          <w:szCs w:val="22"/>
        </w:rPr>
        <w:t xml:space="preserve"> - </w:t>
      </w:r>
      <w:hyperlink r:id="rId14" w:tooltip="consultantplus://offline/ref=782E9CC4CCC6932545801925E3B536176E50B53C1FD70BD7655CABC93DB89C271041D8CD019EE692303B294E112BD805805FEF4CF4B5672237V6P" w:history="1">
        <w:r>
          <w:rPr>
            <w:rFonts w:ascii="Times New Roman" w:hAnsi="Times New Roman"/>
            <w:sz w:val="22"/>
            <w:szCs w:val="22"/>
          </w:rPr>
          <w:t xml:space="preserve">23 статьи 95</w:t>
        </w:r>
      </w:hyperlink>
      <w:r>
        <w:rPr>
          <w:rFonts w:ascii="Times New Roman" w:hAnsi="Times New Roman"/>
          <w:sz w:val="22"/>
          <w:szCs w:val="22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tabs>
          <w:tab w:val="left" w:leader="none" w:pos="709"/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9160"/>
          <w:tab w:val="left" w:leader="none" w:pos="93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567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XII</w:t>
      </w:r>
      <w:r>
        <w:rPr>
          <w:b/>
          <w:sz w:val="22"/>
          <w:szCs w:val="22"/>
          <w:lang w:val="en-US"/>
        </w:rPr>
        <w:t xml:space="preserve">I</w:t>
      </w:r>
      <w:r>
        <w:rPr>
          <w:b/>
          <w:sz w:val="22"/>
          <w:szCs w:val="22"/>
        </w:rPr>
        <w:t xml:space="preserve">.</w:t>
      </w:r>
      <w:r>
        <w:rPr>
          <w:b/>
          <w:color w:val="000000"/>
          <w:sz w:val="22"/>
          <w:szCs w:val="22"/>
        </w:rPr>
        <w:t xml:space="preserve"> ПРОЧИЕ ПОЛОЖЕНИЯ</w:t>
      </w:r>
      <w:r>
        <w:rPr>
          <w:b/>
          <w:color w:val="000000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13.1. Во всем, что не предусмотрено Контрактом, Стороны руководствуются законодательством Российской Федерации.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13.2.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</w:t>
      </w:r>
      <w:r>
        <w:rPr>
          <w:rFonts w:ascii="Times New Roman" w:hAnsi="Times New Roman"/>
          <w:sz w:val="22"/>
          <w:szCs w:val="22"/>
        </w:rPr>
        <w:t xml:space="preserve">3.3.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13.4. Изменение условий Контракта при его исполнении не допускается, за исключением случаев, предусмотренных </w:t>
      </w:r>
      <w:hyperlink r:id="rId15" w:tooltip="consultantplus://offline/ref=782E9CC4CCC6932545801925E3B536176E50B53C1FD70BD7655CABC93DB89C271041D8CD019EE696393B294E112BD805805FEF4CF4B5672237V6P" w:history="1">
        <w:r>
          <w:rPr>
            <w:rFonts w:ascii="Times New Roman" w:hAnsi="Times New Roman"/>
            <w:sz w:val="22"/>
            <w:szCs w:val="22"/>
          </w:rPr>
          <w:t xml:space="preserve">статьей 95</w:t>
        </w:r>
      </w:hyperlink>
      <w:r>
        <w:rPr>
          <w:rFonts w:ascii="Times New Roman" w:hAnsi="Times New Roman"/>
          <w:sz w:val="22"/>
          <w:szCs w:val="22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13.5. При исполнении Контракта не допускается перемена Поставщика, за исключением случая, </w:t>
      </w:r>
      <w:r>
        <w:rPr>
          <w:rFonts w:ascii="Times New Roman" w:hAnsi="Times New Roman"/>
          <w:sz w:val="22"/>
          <w:szCs w:val="22"/>
        </w:rPr>
        <w:t xml:space="preserve">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13.6.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/>
      <w:bookmarkStart w:id="23" w:name="P1633"/>
      <w:r/>
      <w:bookmarkEnd w:id="23"/>
      <w:r>
        <w:rPr>
          <w:rFonts w:ascii="Times New Roman" w:hAnsi="Times New Roman"/>
          <w:sz w:val="22"/>
          <w:szCs w:val="22"/>
        </w:rPr>
        <w:t xml:space="preserve">13.7. Контракт составлен </w:t>
      </w:r>
      <w:r>
        <w:rPr>
          <w:rFonts w:ascii="Times New Roman" w:hAnsi="Times New Roman"/>
          <w:sz w:val="22"/>
          <w:szCs w:val="22"/>
        </w:rPr>
        <w:t xml:space="preserve">в 2 (</w:t>
      </w:r>
      <w:r>
        <w:rPr>
          <w:rFonts w:ascii="Times New Roman" w:hAnsi="Times New Roman"/>
          <w:sz w:val="22"/>
          <w:szCs w:val="22"/>
        </w:rPr>
        <w:t xml:space="preserve">двух) экземплярах, идентичных по содержанию и имеющих одинаковую юридическую силу, один из которых передан Поставщику, один находятся у Заказчика.</w:t>
      </w:r>
      <w:r>
        <w:rPr>
          <w:rFonts w:ascii="Times New Roman" w:hAnsi="Times New Roman"/>
          <w:sz w:val="22"/>
          <w:szCs w:val="22"/>
        </w:rPr>
      </w:r>
    </w:p>
    <w:p>
      <w:pPr>
        <w:widowControl w:val="false"/>
        <w:pBdr/>
        <w:spacing/>
        <w:ind/>
        <w:contextualSpacing w:val="true"/>
        <w:jc w:val="center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</w:r>
      <w:r>
        <w:rPr>
          <w:b/>
          <w:color w:val="000000"/>
          <w:sz w:val="22"/>
          <w:szCs w:val="22"/>
          <w:lang w:val="en-US"/>
        </w:rPr>
      </w:r>
    </w:p>
    <w:p>
      <w:pPr>
        <w:widowControl w:val="false"/>
        <w:pBdr/>
        <w:spacing/>
        <w:ind/>
        <w:contextualSpacing w:val="true"/>
        <w:jc w:val="center"/>
        <w:rPr>
          <w:b/>
          <w:color w:val="000000"/>
          <w:sz w:val="22"/>
          <w:szCs w:val="22"/>
        </w:rPr>
      </w:pPr>
      <w:r/>
      <w:bookmarkStart w:id="24" w:name="_GoBack"/>
      <w:r/>
      <w:bookmarkEnd w:id="24"/>
      <w:r>
        <w:rPr>
          <w:b/>
          <w:color w:val="000000"/>
          <w:sz w:val="22"/>
          <w:szCs w:val="22"/>
          <w:lang w:val="en-US"/>
        </w:rPr>
        <w:t xml:space="preserve">XIV</w:t>
      </w:r>
      <w:r>
        <w:rPr>
          <w:b/>
          <w:color w:val="000000"/>
          <w:sz w:val="22"/>
          <w:szCs w:val="22"/>
        </w:rPr>
        <w:t xml:space="preserve">. </w:t>
      </w:r>
      <w:r>
        <w:rPr>
          <w:b/>
          <w:caps/>
          <w:color w:val="000000"/>
          <w:sz w:val="22"/>
          <w:szCs w:val="22"/>
        </w:rPr>
        <w:t xml:space="preserve">Антикоррупционная оговорка</w:t>
      </w:r>
      <w:r>
        <w:rPr>
          <w:b/>
          <w:color w:val="000000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14.1. При исполнении своих обязательств по настоящему контракту Стороны, их аффилированные лица, работники или посредники не выплачивают, не</w:t>
      </w:r>
      <w:r>
        <w:rPr>
          <w:rFonts w:ascii="Times New Roman" w:hAnsi="Times New Roman"/>
          <w:sz w:val="22"/>
          <w:szCs w:val="22"/>
        </w:rPr>
        <w:t xml:space="preserve">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14.2. 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</w:t>
      </w:r>
      <w:r>
        <w:rPr>
          <w:rFonts w:ascii="Times New Roman" w:hAnsi="Times New Roman"/>
          <w:sz w:val="22"/>
          <w:szCs w:val="22"/>
        </w:rPr>
        <w:t xml:space="preserve">ящего контракта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14.3.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</w:t>
      </w:r>
      <w:r>
        <w:rPr>
          <w:rFonts w:ascii="Times New Roman" w:hAnsi="Times New Roman"/>
          <w:sz w:val="22"/>
          <w:szCs w:val="22"/>
        </w:rPr>
        <w:t xml:space="preserve">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с даты направления письменного уведомления.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14.4. В письменном уведомлении Сторона обязана сослаться на обоснованные факты или предоставить материалы,</w:t>
      </w:r>
      <w:r>
        <w:rPr>
          <w:rFonts w:ascii="Times New Roman" w:hAnsi="Times New Roman"/>
          <w:sz w:val="22"/>
          <w:szCs w:val="22"/>
        </w:rPr>
        <w:t xml:space="preserve">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</w:t>
      </w:r>
      <w:r>
        <w:rPr>
          <w:rFonts w:ascii="Times New Roman" w:hAnsi="Times New Roman"/>
          <w:sz w:val="22"/>
          <w:szCs w:val="22"/>
        </w:rPr>
        <w:t xml:space="preserve">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rPr>
          <w:rFonts w:ascii="Times New Roman" w:hAnsi="Times New Roman"/>
          <w:sz w:val="22"/>
          <w:szCs w:val="22"/>
        </w:rPr>
      </w:r>
    </w:p>
    <w:p>
      <w:pPr>
        <w:pStyle w:val="943"/>
        <w:pBdr/>
        <w:spacing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14.5. В случае нарушения одной Стороной обязательств воздерживаться от запрещенных в разделах настоящего контракта действий и (или) неполучения другой Стороно</w:t>
      </w:r>
      <w:r>
        <w:rPr>
          <w:rFonts w:ascii="Times New Roman" w:hAnsi="Times New Roman"/>
        </w:rPr>
        <w:t xml:space="preserve">й в установленный настоящим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  <w:r>
        <w:rPr>
          <w:rFonts w:ascii="Times New Roman" w:hAnsi="Times New Roman"/>
        </w:rPr>
      </w:r>
    </w:p>
    <w:p>
      <w:pPr>
        <w:pStyle w:val="943"/>
        <w:pBdr/>
        <w:spacing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14.6. Стороны гарантируют осуществление надлежащего разбирательства по фактам нарушения положений настоящего раздела контракта и применение эффективных мер по предотвращению возможных конфликтных ситуаций.</w:t>
      </w:r>
      <w:r>
        <w:rPr>
          <w:rFonts w:ascii="Times New Roman" w:hAnsi="Times New Roman"/>
        </w:rPr>
      </w:r>
    </w:p>
    <w:p>
      <w:pPr>
        <w:pStyle w:val="943"/>
        <w:pBdr/>
        <w:spacing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22"/>
        <w:pBdr/>
        <w:spacing/>
        <w:ind w:firstLine="567"/>
        <w:jc w:val="center"/>
        <w:outlineLvl w:val="1"/>
        <w:rPr>
          <w:rFonts w:ascii="Times New Roman" w:hAnsi="Times New Roman"/>
          <w:b/>
          <w:caps/>
          <w:sz w:val="22"/>
          <w:szCs w:val="22"/>
        </w:rPr>
      </w:pPr>
      <w:r>
        <w:rPr>
          <w:rFonts w:ascii="Times New Roman" w:hAnsi="Times New Roman"/>
          <w:b/>
          <w:caps/>
          <w:sz w:val="22"/>
          <w:szCs w:val="22"/>
        </w:rPr>
        <w:t xml:space="preserve">X</w:t>
      </w:r>
      <w:r>
        <w:rPr>
          <w:rFonts w:ascii="Times New Roman" w:hAnsi="Times New Roman"/>
          <w:b/>
          <w:caps/>
          <w:sz w:val="22"/>
          <w:szCs w:val="22"/>
          <w:lang w:val="en-US"/>
        </w:rPr>
        <w:t xml:space="preserve">V</w:t>
      </w:r>
      <w:r>
        <w:rPr>
          <w:rFonts w:ascii="Times New Roman" w:hAnsi="Times New Roman"/>
          <w:b/>
          <w:caps/>
          <w:sz w:val="22"/>
          <w:szCs w:val="22"/>
        </w:rPr>
        <w:t xml:space="preserve">. Перечень приложений</w:t>
      </w:r>
      <w:r>
        <w:rPr>
          <w:rFonts w:ascii="Times New Roman" w:hAnsi="Times New Roman"/>
          <w:b/>
          <w:caps/>
          <w:sz w:val="22"/>
          <w:szCs w:val="22"/>
        </w:rPr>
      </w:r>
    </w:p>
    <w:p>
      <w:pPr>
        <w:pStyle w:val="922"/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15.1. Неотъемлемой частью Контракта является следующее приложение:</w:t>
      </w:r>
      <w:r>
        <w:rPr>
          <w:rFonts w:ascii="Times New Roman" w:hAnsi="Times New Roman"/>
          <w:sz w:val="22"/>
          <w:szCs w:val="22"/>
        </w:rPr>
      </w:r>
    </w:p>
    <w:p>
      <w:pPr>
        <w:pBdr/>
        <w:tabs>
          <w:tab w:val="left" w:leader="none" w:pos="709"/>
        </w:tabs>
        <w:spacing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Спецификация (приложение №1). </w:t>
      </w:r>
      <w:r>
        <w:rPr>
          <w:color w:val="000000"/>
          <w:sz w:val="22"/>
          <w:szCs w:val="22"/>
        </w:rPr>
      </w:r>
    </w:p>
    <w:p>
      <w:pPr>
        <w:pBdr/>
        <w:spacing/>
        <w:ind/>
        <w:contextualSpacing w:val="tru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18. Банковские реквизиты и подписи сторон</w:t>
      </w:r>
      <w:r>
        <w:rPr>
          <w:b/>
          <w:sz w:val="22"/>
          <w:szCs w:val="22"/>
        </w:rPr>
      </w:r>
    </w:p>
    <w:p>
      <w:pPr>
        <w:pBdr/>
        <w:spacing/>
        <w:ind/>
        <w:contextualSpacing w:val="tru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W w:w="4957" w:type="pct"/>
        <w:tblBorders/>
        <w:tblLayout w:type="fixed"/>
        <w:tblLook w:val="01E0" w:firstRow="1" w:lastRow="1" w:firstColumn="1" w:lastColumn="1" w:noHBand="0" w:noVBand="0"/>
      </w:tblPr>
      <w:tblGrid>
        <w:gridCol w:w="4995"/>
        <w:gridCol w:w="5197"/>
      </w:tblGrid>
      <w:tr>
        <w:trPr>
          <w:trHeight w:val="141"/>
        </w:trPr>
        <w:tc>
          <w:tcPr>
            <w:tcBorders/>
            <w:tcW w:w="492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Заказчик:</w:t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ФГБОУ ВО ДВГМУ Минздрава России </w:t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Юридический/почтовый адрес: 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680000, Хабаровский край, г. Хабаровск, 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 Муравьева-Амурского, д. 35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Тел./факс (4212) 32-55-92, 34-66-20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snab@m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  <w:lang w:val="en-US"/>
              </w:rPr>
              <w:t xml:space="preserve">il.fesmu.ru </w:t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2721020896 КПП 272101001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ОКТМО 08701000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ОКПО 01962959 ОГРН 1032700296078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УФК по Хабаровскому краю (ФГБОУ ВО 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ДВГМУ Минздрава России ЛС 20226Х51140)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ОКЦ №2 ДГУ Банка России//УФК по Хабаровскому краю г. Хабаровск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010813050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счета банка получателя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(Единый казначейский счет) 40102810845370000014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счета получателя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(казначейский счет) 03214643000000012200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Банковские реквизиты с 22.06.2026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УФК по Приморскому краю (ФГБОУ ВО 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ДВГМУ Минздрава России ЛС 20226Х51140)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ОКЦ №1 ДГУ Банка России//УФК по Приморскому краю г. Владивосток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010507002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счета банка получателя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(Единый казначейский счет) 40102810545370000012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счета получателя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(казначейский счет) 03214643000000012006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708"/>
              </w:tabs>
              <w:spacing/>
              <w:ind/>
              <w:contextualSpacing w:val="tru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Должность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____________________/</w:t>
            </w:r>
            <w:r>
              <w:rPr>
                <w:sz w:val="22"/>
                <w:szCs w:val="22"/>
                <w:u w:val="single"/>
              </w:rPr>
              <w:t xml:space="preserve">____________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Подпись, печать 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12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Поставщик:</w:t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 w:firstLine="14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Наименование организации_________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 w:firstLine="14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Юридический адрес: 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 w:firstLine="14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Тел./факс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 w:firstLine="14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ИНН/КПП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 w:firstLine="14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р/с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 w:firstLine="14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к/с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 w:firstLine="14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Банк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 w:firstLine="14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БИК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 w:firstLine="14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ОКПО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 w:firstLine="14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ОГРН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tabs>
                <w:tab w:val="left" w:leader="none" w:pos="9923"/>
              </w:tabs>
              <w:spacing/>
              <w:ind w:firstLine="142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ОКТМО</w:t>
            </w:r>
            <w:r>
              <w:rPr>
                <w:sz w:val="22"/>
                <w:szCs w:val="22"/>
                <w:lang w:eastAsia="ar-SA"/>
              </w:rPr>
            </w:r>
          </w:p>
          <w:p>
            <w:pPr>
              <w:pBdr/>
              <w:spacing/>
              <w:ind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Электр. почта: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contextualSpacing w:val="true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contextualSpacing w:val="tru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 w:right="4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contextualSpacing w:val="tru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tabs>
                <w:tab w:val="left" w:leader="none" w:pos="708"/>
              </w:tabs>
              <w:spacing/>
              <w:ind/>
              <w:contextualSpacing w:val="tru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Bdr/>
              <w:tabs>
                <w:tab w:val="left" w:leader="none" w:pos="708"/>
              </w:tabs>
              <w:spacing/>
              <w:ind/>
              <w:contextualSpacing w:val="tru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Bdr/>
              <w:tabs>
                <w:tab w:val="left" w:leader="none" w:pos="708"/>
              </w:tabs>
              <w:spacing/>
              <w:ind/>
              <w:contextualSpacing w:val="tru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Должность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Bdr/>
              <w:tabs>
                <w:tab w:val="left" w:leader="none" w:pos="708"/>
              </w:tabs>
              <w:spacing/>
              <w:ind/>
              <w:contextualSpacing w:val="tru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_____________________</w:t>
            </w:r>
            <w:r>
              <w:rPr>
                <w:sz w:val="22"/>
                <w:szCs w:val="22"/>
                <w:u w:val="single"/>
              </w:rPr>
              <w:t xml:space="preserve">/_______________/</w:t>
            </w:r>
            <w:r>
              <w:rPr>
                <w:sz w:val="22"/>
                <w:szCs w:val="22"/>
                <w:u w:val="single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Подпись, печать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</w:r>
            <w:r>
              <w:rPr>
                <w:sz w:val="22"/>
                <w:szCs w:val="22"/>
                <w:u w:val="single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ageBreakBefore w:val="true"/>
        <w:widowControl w:val="false"/>
        <w:pBdr/>
        <w:tabs>
          <w:tab w:val="left" w:leader="none" w:pos="9923"/>
        </w:tabs>
        <w:spacing/>
        <w:ind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Приложение № 1</w:t>
      </w:r>
      <w:r>
        <w:rPr>
          <w:sz w:val="22"/>
          <w:szCs w:val="22"/>
        </w:rPr>
      </w:r>
    </w:p>
    <w:p>
      <w:pPr>
        <w:widowControl w:val="false"/>
        <w:pBdr/>
        <w:tabs>
          <w:tab w:val="left" w:leader="none" w:pos="9923"/>
        </w:tabs>
        <w:spacing/>
        <w:ind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Контракту №       от "       "              202</w:t>
      </w:r>
      <w:r>
        <w:rPr>
          <w:sz w:val="22"/>
          <w:szCs w:val="22"/>
          <w:lang w:val="en-US"/>
        </w:rPr>
        <w:t xml:space="preserve">6</w:t>
      </w:r>
      <w:r>
        <w:rPr>
          <w:sz w:val="22"/>
          <w:szCs w:val="22"/>
        </w:rPr>
        <w:t xml:space="preserve"> г.</w:t>
      </w:r>
      <w:r>
        <w:rPr>
          <w:sz w:val="22"/>
          <w:szCs w:val="22"/>
        </w:rPr>
      </w:r>
    </w:p>
    <w:p>
      <w:pPr>
        <w:widowControl w:val="false"/>
        <w:pBdr/>
        <w:tabs>
          <w:tab w:val="left" w:leader="none" w:pos="9923"/>
        </w:tabs>
        <w:spacing/>
        <w:ind/>
        <w:contextualSpacing w:val="true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tabs>
          <w:tab w:val="left" w:leader="none" w:pos="9923"/>
        </w:tabs>
        <w:spacing/>
        <w:ind/>
        <w:contextualSpacing w:val="true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tabs>
          <w:tab w:val="left" w:leader="none" w:pos="9923"/>
        </w:tabs>
        <w:spacing/>
        <w:ind/>
        <w:contextualSpacing w:val="true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tabs>
          <w:tab w:val="left" w:leader="none" w:pos="9923"/>
        </w:tabs>
        <w:spacing/>
        <w:ind/>
        <w:contextualSpacing w:val="true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widowControl w:val="false"/>
        <w:pBdr/>
        <w:tabs>
          <w:tab w:val="left" w:leader="none" w:pos="9923"/>
        </w:tabs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СПЕЦИФИКАЦИЯ </w:t>
      </w:r>
      <w:r>
        <w:rPr>
          <w:b/>
          <w:sz w:val="22"/>
          <w:szCs w:val="22"/>
        </w:rPr>
      </w:r>
    </w:p>
    <w:p>
      <w:pPr>
        <w:widowControl w:val="false"/>
        <w:pBdr/>
        <w:tabs>
          <w:tab w:val="left" w:leader="none" w:pos="9923"/>
        </w:tabs>
        <w:spacing/>
        <w:ind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jc w:val="center"/>
        <w:tblW w:w="10136" w:type="dxa"/>
        <w:tblCellMar>
          <w:left w:w="67" w:type="dxa"/>
          <w:top w:w="102" w:type="dxa"/>
          <w:right w:w="62" w:type="dxa"/>
          <w:bottom w:w="102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44"/>
        <w:gridCol w:w="2776"/>
        <w:gridCol w:w="1389"/>
        <w:gridCol w:w="1011"/>
        <w:gridCol w:w="695"/>
        <w:gridCol w:w="703"/>
        <w:gridCol w:w="884"/>
        <w:gridCol w:w="1134"/>
        <w:gridCol w:w="1100"/>
      </w:tblGrid>
      <w:tr>
        <w:trPr>
          <w:jc w:val="center"/>
          <w:trHeight w:val="1637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4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п/п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776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Товара (с указанием количества единиц в  упаковке)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ОКПД2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страны происхождения Товара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 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8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за единицу измерения, руб. (с учетом НДС)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НДС в руб.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Стоимость, руб. (с учетом НДС)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4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277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38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11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95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8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0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4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27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3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27.20.11.000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1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9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84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4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27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3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27.20.11.000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1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9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84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4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27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3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27.20.11.000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1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9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84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4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27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3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27.20.11.000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1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9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5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4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27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3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17.22.11.130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11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9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упак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84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3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43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27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38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32.99.15.140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1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9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упак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443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776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1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9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8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922"/>
        <w:pBdr/>
        <w:tabs>
          <w:tab w:val="left" w:leader="none" w:pos="9923"/>
        </w:tabs>
        <w:spacing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 w:firstLine="426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Цена Контракта составляет </w:t>
      </w:r>
      <w:r>
        <w:rPr>
          <w:rFonts w:ascii="Times New Roman" w:hAnsi="Times New Roman"/>
          <w:b/>
          <w:sz w:val="22"/>
          <w:szCs w:val="22"/>
        </w:rPr>
        <w:t xml:space="preserve">______________________________________</w:t>
      </w:r>
      <w:r>
        <w:rPr>
          <w:rFonts w:ascii="Times New Roman" w:hAnsi="Times New Roman"/>
          <w:sz w:val="22"/>
          <w:szCs w:val="22"/>
        </w:rPr>
        <w:t xml:space="preserve"> в том числе НДС - _________________ / либо НДС – не облагается</w:t>
      </w:r>
      <w:r>
        <w:rPr>
          <w:rFonts w:ascii="Times New Roman" w:hAnsi="Times New Roman"/>
          <w:b/>
          <w:sz w:val="22"/>
          <w:szCs w:val="22"/>
        </w:rPr>
        <w:t xml:space="preserve">.</w:t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Общие требования к условиям закупки: поставляемый товар должен соответствовать техническим требованиям настоящей части. В этих случаях товар считается соответствующий требованиям:</w:t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Товар, поставка которого предусмотрена требованиям настоящей технической части, должен быть разрешен к применению на территории Российской Федерации.</w:t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Поставляемый товар должен быть новым, ранее не использованным, не подвергнутый восстановлению, в том числе в качестве выставочного образца и свободным от прав третьих лиц.</w:t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Поставляемый товар должен быть упакован в заводских условиях. Упаковка каждой единицы товара должна быть</w:t>
      </w:r>
      <w:r>
        <w:rPr>
          <w:sz w:val="22"/>
          <w:szCs w:val="22"/>
        </w:rPr>
        <w:t xml:space="preserve"> выполнена в соответствии с техническими условиями производителя и соответствовать требованиям ГОСТ. Упаковка товара должна иметь информацию об изделии, фирме изготовителе, стране происхождения (производства), каталожный номер (если предусмотрен производит</w:t>
      </w:r>
      <w:r>
        <w:rPr>
          <w:sz w:val="22"/>
          <w:szCs w:val="22"/>
        </w:rPr>
        <w:t xml:space="preserve">елем), номер и серию партии, дату изготовления и срок годности. Информация о продукции, содержащаяся на упаковке должна быть на русском языке, либо содержать перевод на русский язык. Если это предусмотрено нормативами и стандартами, принятыми для соответст</w:t>
      </w:r>
      <w:r>
        <w:rPr>
          <w:sz w:val="22"/>
          <w:szCs w:val="22"/>
        </w:rPr>
        <w:t xml:space="preserve">вующего вида продукции на территории Российской Федерации, упаковка такой продукции должна содержать инструкцию по эксплуатации (применению, использованию) на русском языке. Товар должен поставляться в не нарушенной (не поврежденной) упаковке изготовителя.</w:t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Товар должен соответствовать современным нормам качества и функциональности</w:t>
      </w:r>
      <w:r>
        <w:rPr>
          <w:sz w:val="22"/>
          <w:szCs w:val="22"/>
        </w:rPr>
        <w:t xml:space="preserve">. Участник обязан гарантировать качество и годность продукции к эксплуатации, при использовании, в целях, для которых предназначен данный товар. Сроки годности, гарантии каждого вида товара должны соответствовать, указанным в настоящем техническом задании.</w:t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Товар должен соответствовать его функциональному назначению. Внешний вид товара, его целостность, дизайн, стиль, производственное исполнение должны удовлетворять эстетические потребности человека.</w:t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Товар должен быть безопасными для окружающей среды и человека. Гигиенические характеристик</w:t>
      </w:r>
      <w:r>
        <w:rPr>
          <w:sz w:val="22"/>
          <w:szCs w:val="22"/>
        </w:rPr>
        <w:t xml:space="preserve">и товара могут быть подтверждено по желанию Участника при поставке товара копиями документов: сертификатами качества товара, декларациями соответствия, отказными письмами или иными документами на усмотрение участника (документы не являются обязательными). </w:t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1.7. Требования к функциональным, техническим, качественным и эксплуатационным характеристикам, требования к безопасности товаров и их количество предусмотрены настоящей технической частью.</w:t>
      </w:r>
      <w:r>
        <w:rPr>
          <w:sz w:val="22"/>
          <w:szCs w:val="22"/>
        </w:rPr>
      </w:r>
    </w:p>
    <w:p>
      <w:pPr>
        <w:pBdr/>
        <w:spacing/>
        <w:ind/>
        <w:contextualSpacing w:val="true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Поставщик должен поставить товар в соответствии с положениями настоящей технической частью. Частичная поставка не допускается</w:t>
      </w:r>
      <w:r>
        <w:rPr>
          <w:bCs/>
          <w:sz w:val="22"/>
          <w:szCs w:val="22"/>
        </w:rPr>
      </w:r>
    </w:p>
    <w:p>
      <w:pPr>
        <w:pBdr/>
        <w:spacing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Место поставки: </w:t>
      </w:r>
      <w:r>
        <w:rPr>
          <w:sz w:val="22"/>
          <w:szCs w:val="22"/>
        </w:rPr>
        <w:t xml:space="preserve">г. Хабаровск, ул. Муравьева-Амурского, д.35</w:t>
      </w:r>
      <w:r>
        <w:rPr>
          <w:sz w:val="22"/>
          <w:szCs w:val="22"/>
        </w:rPr>
      </w:r>
    </w:p>
    <w:p>
      <w:pPr>
        <w:pStyle w:val="922"/>
        <w:pBdr/>
        <w:spacing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Срок поставки: </w:t>
      </w:r>
      <w:r>
        <w:rPr>
          <w:rFonts w:ascii="Times New Roman" w:hAnsi="Times New Roman"/>
          <w:sz w:val="22"/>
          <w:szCs w:val="22"/>
        </w:rPr>
        <w:t xml:space="preserve">с даты заключения контракта в течение 20 (двадцать) дней.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922"/>
        <w:pBdr/>
        <w:spacing/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Спецификация на поставляемый товар</w:t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922"/>
        <w:pBdr/>
        <w:spacing/>
        <w:ind w:firstLine="709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tbl>
      <w:tblPr>
        <w:tblStyle w:val="738"/>
        <w:tblInd w:w="97" w:type="dxa"/>
        <w:tblW w:w="10231" w:type="dxa"/>
        <w:tblBorders/>
        <w:tblLayout w:type="fixed"/>
        <w:tblLook w:val="04A0" w:firstRow="1" w:lastRow="0" w:firstColumn="1" w:lastColumn="0" w:noHBand="0" w:noVBand="1"/>
      </w:tblPr>
      <w:tblGrid>
        <w:gridCol w:w="566"/>
        <w:gridCol w:w="3543"/>
        <w:gridCol w:w="1134"/>
        <w:gridCol w:w="1134"/>
        <w:gridCol w:w="1431"/>
        <w:gridCol w:w="2423"/>
      </w:tblGrid>
      <w:tr>
        <w:trPr/>
        <w:tc>
          <w:tcPr>
            <w:tcBorders/>
            <w:tcW w:w="5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Borders/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</w:rPr>
              <w:t xml:space="preserve">Наименование товара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</w:rPr>
              <w:t xml:space="preserve">Ед. изм.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</w:rPr>
              <w:t xml:space="preserve">Кол-во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Borders/>
            <w:tcW w:w="14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</w:rPr>
              <w:t xml:space="preserve">ОКПД 2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Borders/>
            <w:tcW w:w="2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</w:rPr>
              <w:t xml:space="preserve">КТРУ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>
          <w:trHeight w:val="467"/>
        </w:trPr>
        <w:tc>
          <w:tcPr>
            <w:tcBorders/>
            <w:tcW w:w="5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4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27.20.11.000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2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27.20.11.000 -00000005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126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4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27.20.11.000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2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27.20.11.000 -00000005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шт.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50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4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27.20.11.000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2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27.20.11.000 -00000005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4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27.20.11.000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2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27.20.11.000 -00000005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5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упак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4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17.22.11.130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2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17.22.11.130-00000005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56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35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упак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43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32.99.15.140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242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32.99.15.140-00000003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Bdr/>
        <w:spacing/>
        <w:ind/>
        <w:contextualSpacing w:val="tru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/>
        <w:ind/>
        <w:contextualSpacing w:val="tru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/>
        <w:ind/>
        <w:contextualSpacing w:val="tru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Функциональные, технические и качественные характеристики, эксплуатационные характеристики товара.</w:t>
      </w:r>
      <w:r>
        <w:rPr>
          <w:b/>
          <w:bCs/>
          <w:sz w:val="22"/>
          <w:szCs w:val="22"/>
        </w:rPr>
      </w:r>
    </w:p>
    <w:p>
      <w:pPr>
        <w:pBdr/>
        <w:spacing/>
        <w:ind/>
        <w:contextualSpacing w:val="tru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показателей, а также значения показателей, которые не могут изменяться</w:t>
      </w:r>
      <w:r>
        <w:rPr>
          <w:b/>
          <w:bCs/>
          <w:sz w:val="22"/>
          <w:szCs w:val="22"/>
        </w:rPr>
      </w:r>
    </w:p>
    <w:tbl>
      <w:tblPr>
        <w:tblStyle w:val="738"/>
        <w:tblInd w:w="97" w:type="dxa"/>
        <w:tblW w:w="10109" w:type="dxa"/>
        <w:tblBorders/>
        <w:tblLayout w:type="fixed"/>
        <w:tblLook w:val="04A0" w:firstRow="1" w:lastRow="0" w:firstColumn="1" w:lastColumn="0" w:noHBand="0" w:noVBand="1"/>
      </w:tblPr>
      <w:tblGrid>
        <w:gridCol w:w="707"/>
        <w:gridCol w:w="4218"/>
        <w:gridCol w:w="2457"/>
        <w:gridCol w:w="2727"/>
      </w:tblGrid>
      <w:tr>
        <w:trPr>
          <w:trHeight w:val="629"/>
        </w:trPr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</w:rPr>
              <w:t xml:space="preserve">№          п/п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</w:rPr>
              <w:t xml:space="preserve">Наименование, характеристики, параметры товара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</w:rPr>
              <w:t xml:space="preserve">Требуемое значение, величина параметра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</w:rPr>
              <w:t xml:space="preserve">Обоснование включение дополнительной информации и сведений о товаре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Наименование Товара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Товарный знак 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Страна происхождения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333333"/>
                <w:sz w:val="22"/>
                <w:szCs w:val="22"/>
                <w:shd w:val="clear" w:color="auto" w:fill="ffffff"/>
              </w:rPr>
              <w:t xml:space="preserve">обеспечение питания устройств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Вид элемента питания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LR03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441"/>
        </w:trPr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shd w:val="clear" w:color="auto" w:fill="ffffff"/>
              </w:rPr>
              <w:t xml:space="preserve">Номинальное напряжение, Вольт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shd w:val="clear" w:color="auto" w:fill="ffffff"/>
              </w:rPr>
              <w:t xml:space="preserve">1.5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30"/>
        </w:trPr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shd w:val="clear" w:color="auto" w:fill="ffffff"/>
              </w:rPr>
              <w:t xml:space="preserve">Размер элемента питания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334059"/>
                <w:sz w:val="22"/>
                <w:szCs w:val="22"/>
                <w:shd w:val="clear" w:color="auto" w:fill="ffffff"/>
              </w:rPr>
              <w:t xml:space="preserve">ААА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shd w:val="clear" w:color="auto" w:fill="ffffff"/>
              </w:rPr>
              <w:t xml:space="preserve">Тип элемента питания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shd w:val="clear" w:color="auto" w:fill="ffffff"/>
              </w:rPr>
              <w:t xml:space="preserve">Щелочной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shd w:val="clear" w:color="auto" w:fill="ffffff"/>
              </w:rPr>
              <w:t xml:space="preserve">Форма элемента питания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shd w:val="clear" w:color="auto" w:fill="ffffff"/>
              </w:rPr>
              <w:t xml:space="preserve">Цилиндрическая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Наименование Товара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Товарный знак 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Страна происхождения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333333"/>
                <w:sz w:val="22"/>
                <w:szCs w:val="22"/>
                <w:shd w:val="clear" w:color="auto" w:fill="ffffff"/>
              </w:rPr>
              <w:t xml:space="preserve">обеспечение питания устройств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Вид элемента питания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LR6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Номинальное напряжение, Вольт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1.5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Размер элемента питания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АА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Тип элемента питания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Щелочной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Форма элемента питания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Цилиндрическая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Наименование Товара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Товарный знак 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Страна происхождения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57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/>
                <w:color w:val="333333"/>
                <w:sz w:val="22"/>
                <w:szCs w:val="22"/>
                <w:shd w:val="clear" w:color="auto" w:fill="ffffff"/>
              </w:rPr>
              <w:t xml:space="preserve">обеспечение питания устройств</w:t>
            </w:r>
            <w: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557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Вид элемента питания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LR14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shd w:val="clear" w:color="auto" w:fill="ffffff"/>
              </w:rPr>
              <w:t xml:space="preserve">Номинальное напряжение, Вольт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1.5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shd w:val="clear" w:color="auto" w:fill="ffffff"/>
              </w:rPr>
              <w:t xml:space="preserve">Размер элемента питания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shd w:val="clear" w:color="auto" w:fill="ffffff"/>
              </w:rPr>
              <w:t xml:space="preserve">Тип элемента питания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Щелочной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Style w:val="973"/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shd w:val="clear" w:color="auto" w:fill="ffffff"/>
              </w:rPr>
              <w:t xml:space="preserve">Форма элемента питания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Цилиндрическая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Наименование Товара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Товарный знак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Страна происхождения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333333"/>
                <w:sz w:val="22"/>
                <w:szCs w:val="22"/>
                <w:shd w:val="clear" w:color="auto" w:fill="ffffff"/>
              </w:rPr>
              <w:t xml:space="preserve">обеспечение питания устройств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Вид элемента питания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6LR61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5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Номинальное напряжение, Вольт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79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Размер элемента питания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9V(Крона)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Тип элемента питания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Щелочной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Форма элемента питания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Плоская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Наименование в соответствии с техническим паспортом и/или руководством по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эксплуатации и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/или этикеткой производителя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Товарный знак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Страна происхождения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Санитарно-гигиеническое средство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Форма выпуска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Лист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Количество листов в упаковке, штука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Количество слоев 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Однослойные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Для использования в диспенсере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Длина, миллиметр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shd w:val="clear" w:color="auto" w:fill="ffffff"/>
              </w:rPr>
              <w:t xml:space="preserve">230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В соответствии  с параметрами диспенсера - «Lotus professional» Marathon,  находящегося в эксплуатации у Заказчика.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Ширина, миллиметр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shd w:val="clear" w:color="auto" w:fill="ffffff"/>
              </w:rPr>
              <w:t xml:space="preserve">230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</w:rPr>
              <w:t xml:space="preserve">В соответствии  с параметрами диспенсера - «Lotus professional» Marathon,  находящегося в эксплуатации у Заказчика.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b/>
                <w:bCs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Наименование Товара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76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Товарный знак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Страна происхождения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Назначение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Для письма и рисования на аудиторных досках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Количество штук в упаковке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19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Цвет мела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белый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19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Длинна, 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Оптимальный размер для письма на аудиторной доске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319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Форма мелка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квадрат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Оптимальная форма для письма на аудиторной доске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rPr>
          <w:trHeight w:val="319"/>
        </w:trPr>
        <w:tc>
          <w:tcPr>
            <w:tcBorders/>
            <w:tcW w:w="7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421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Вес упаковки, килограмм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4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/>
            <w:tcW w:w="27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  <w:t xml:space="preserve">Для рационального распределения по учебным подразделениям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pBdr/>
        <w:spacing/>
        <w:ind/>
        <w:contextualSpacing w:val="true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72"/>
        <w:pBdr/>
        <w:spacing/>
        <w:ind w:firstLine="567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Место и условия поставки товара</w:t>
      </w:r>
      <w:r>
        <w:rPr>
          <w:b/>
          <w:color w:val="000000"/>
          <w:sz w:val="22"/>
          <w:szCs w:val="22"/>
        </w:rPr>
      </w:r>
    </w:p>
    <w:p>
      <w:pPr>
        <w:pStyle w:val="972"/>
        <w:pBdr/>
        <w:spacing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Поставка Товара осуществляется силами и за счет средств Поставщика на условиях поставки, разгрузки в месте доставки Товара, с</w:t>
      </w:r>
      <w:r>
        <w:rPr>
          <w:rFonts w:eastAsia="Calibri"/>
          <w:sz w:val="22"/>
          <w:szCs w:val="22"/>
        </w:rPr>
        <w:t xml:space="preserve">кладирования в месте поставки</w:t>
      </w:r>
      <w:r>
        <w:rPr>
          <w:sz w:val="22"/>
          <w:szCs w:val="22"/>
        </w:rPr>
        <w:t xml:space="preserve"> по адресу Заказчика</w:t>
      </w:r>
      <w:r>
        <w:rPr>
          <w:rFonts w:eastAsia="Calibri"/>
          <w:sz w:val="22"/>
          <w:szCs w:val="22"/>
          <w:lang w:eastAsia="en-US"/>
        </w:rPr>
        <w:t xml:space="preserve">:</w:t>
      </w:r>
      <w:r>
        <w:rPr>
          <w:rFonts w:eastAsia="Calibri"/>
          <w:sz w:val="22"/>
          <w:szCs w:val="22"/>
          <w:lang w:eastAsia="en-US"/>
        </w:rPr>
      </w:r>
    </w:p>
    <w:p>
      <w:pPr>
        <w:pStyle w:val="922"/>
        <w:pBdr/>
        <w:tabs>
          <w:tab w:val="left" w:leader="none" w:pos="9923"/>
        </w:tabs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Место поставки: </w:t>
      </w:r>
      <w:r>
        <w:rPr>
          <w:rFonts w:ascii="Times New Roman" w:hAnsi="Times New Roman"/>
          <w:b/>
          <w:sz w:val="22"/>
          <w:szCs w:val="22"/>
        </w:rPr>
      </w:r>
    </w:p>
    <w:tbl>
      <w:tblPr>
        <w:jc w:val="center"/>
        <w:tblW w:w="10415" w:type="dxa"/>
        <w:tblCellMar>
          <w:left w:w="67" w:type="dxa"/>
          <w:top w:w="102" w:type="dxa"/>
          <w:right w:w="62" w:type="dxa"/>
          <w:bottom w:w="102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10"/>
        <w:gridCol w:w="3179"/>
        <w:gridCol w:w="992"/>
        <w:gridCol w:w="709"/>
        <w:gridCol w:w="1415"/>
        <w:gridCol w:w="3610"/>
      </w:tblGrid>
      <w:tr>
        <w:trPr>
          <w:jc w:val="center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31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Товара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измерения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Получатель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610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доставки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78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0" w:sz="4" w:space="0"/>
            </w:tcBorders>
            <w:tcW w:w="5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ДВГМУ</w:t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(склад)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610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Хабаровск, ул. Муравьева-Амурского, 35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504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ДВГМУ</w:t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(склад)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6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Хабаровск, ул. Муравьева-Амурского, 35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504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ДВГМУ</w:t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(склад)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6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Хабаровск, ул. Муравьева-Амурского, 35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504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ДВГМУ</w:t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(склад)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6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Хабаровск, ул. Муравьева-Амурского, 35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504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упак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ДВГМУ</w:t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(склад)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6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Хабаровск, ул. Муравьева-Амурского, 35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504"/>
        </w:trPr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7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упак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41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ДВГМУ</w:t>
            </w:r>
            <w:r>
              <w:rPr>
                <w:sz w:val="22"/>
                <w:szCs w:val="22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(склад)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610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Хабаровск, ул. Муравьева-Амурского, 35</w:t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contextualSpacing w:val="true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</w:r>
      <w:r>
        <w:rPr>
          <w:b/>
          <w:bCs/>
          <w:sz w:val="22"/>
          <w:szCs w:val="22"/>
          <w:lang w:eastAsia="zh-CN"/>
        </w:rPr>
      </w:r>
    </w:p>
    <w:p>
      <w:pPr>
        <w:pBdr/>
        <w:spacing/>
        <w:ind w:firstLine="708"/>
        <w:contextualSpacing w:val="true"/>
        <w:rPr>
          <w:b/>
          <w:sz w:val="22"/>
          <w:szCs w:val="22"/>
        </w:rPr>
      </w:pPr>
      <w:r>
        <w:rPr>
          <w:b/>
          <w:sz w:val="22"/>
          <w:szCs w:val="22"/>
          <w:lang w:eastAsia="zh-CN"/>
        </w:rPr>
        <w:t xml:space="preserve">Требования к упаковке, маркировке, этикеткам, подтверждению соответствия, процессам и методам производства в соответствии с требованиями технических регламентов, стандартов, технических условий:</w:t>
      </w:r>
      <w:r>
        <w:rPr>
          <w:b/>
          <w:sz w:val="22"/>
          <w:szCs w:val="22"/>
        </w:rPr>
      </w:r>
    </w:p>
    <w:p>
      <w:pPr>
        <w:pBdr/>
        <w:spacing/>
        <w:ind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ab/>
        <w:t xml:space="preserve">Безопасность товара должна соответствовать требованиям технических регламентов и ГОСТ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zh-CN"/>
        </w:rPr>
        <w:t xml:space="preserve">действующих на территории Российской Федерации.</w:t>
      </w:r>
      <w:r>
        <w:rPr>
          <w:sz w:val="22"/>
          <w:szCs w:val="22"/>
        </w:rPr>
      </w:r>
    </w:p>
    <w:p>
      <w:pPr>
        <w:pBdr/>
        <w:spacing/>
        <w:ind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Товар должен поставляться в упаковке, обеспечивающей защиту Товара от внешних воздействующих факторов (в т.ч. климатических, механических) при транспортировании, хранении и погрузочно-разгрузочных работах.</w:t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Маркировка Товара и тары (упаковки) Товара, должна содержать информацию о наименовании Товара, наименовании изготовителя, адресе изготовителя, дате изготовления Товара.</w:t>
      </w:r>
      <w:r>
        <w:rPr>
          <w:sz w:val="22"/>
          <w:szCs w:val="22"/>
        </w:rPr>
      </w:r>
    </w:p>
    <w:p>
      <w:pPr>
        <w:pBdr/>
        <w:spacing/>
        <w:ind w:firstLine="709"/>
        <w:contextualSpacing w:val="true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Прослеживание товара в системе «Честный знак»: Маркировка товара согласно действующему законодательству Российской Федерации.</w:t>
      </w:r>
      <w:r>
        <w:rPr>
          <w:sz w:val="22"/>
          <w:szCs w:val="22"/>
        </w:rPr>
      </w:r>
    </w:p>
    <w:p>
      <w:pPr>
        <w:pBdr/>
        <w:spacing/>
        <w:ind/>
        <w:contextualSpacing w:val="true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</w:r>
      <w:r>
        <w:rPr>
          <w:sz w:val="22"/>
          <w:szCs w:val="22"/>
          <w:lang w:eastAsia="zh-CN"/>
        </w:rPr>
      </w:r>
    </w:p>
    <w:tbl>
      <w:tblPr>
        <w:jc w:val="center"/>
        <w:tblW w:w="5051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7297"/>
        <w:gridCol w:w="1720"/>
      </w:tblGrid>
      <w:tr>
        <w:trPr>
          <w:jc w:val="center"/>
          <w:trHeight w:val="20"/>
        </w:trPr>
        <w:tc>
          <w:tcPr>
            <w:gridSpan w:val="3"/>
            <w:shd w:val="clear" w:color="ffffff" w:fill="ffffff"/>
            <w:tcBorders/>
            <w:tcW w:w="99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1.Требования к документам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/>
            <w:tcW w:w="13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996" w:type="dxa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Копия сертификата соответствия на Товар и/или копия Декларации о соответствии для Товара, по которому наличие данного документа является обязательным в соответствии с требованиями, установленными в Российской Федерации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6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76"/>
        </w:trPr>
        <w:tc>
          <w:tcPr>
            <w:shd w:val="clear" w:color="ffffff" w:fill="ffffff"/>
            <w:tcBorders/>
            <w:tcW w:w="131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99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ar-SA"/>
              </w:rPr>
              <w:t xml:space="preserve">Гарантийный талон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6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———-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"/>
        </w:trPr>
        <w:tc>
          <w:tcPr>
            <w:gridSpan w:val="3"/>
            <w:shd w:val="clear" w:color="ffffff" w:fill="ffffff"/>
            <w:tcBorders/>
            <w:tcW w:w="99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Требования к упаковке и маркировке </w:t>
            </w:r>
            <w:r>
              <w:rPr>
                <w:sz w:val="22"/>
                <w:szCs w:val="22"/>
              </w:rPr>
            </w:r>
          </w:p>
        </w:tc>
      </w:tr>
      <w:tr>
        <w:trPr>
          <w:jc w:val="center"/>
          <w:trHeight w:val="20"/>
        </w:trPr>
        <w:tc>
          <w:tcPr>
            <w:shd w:val="clear" w:color="ffffff" w:fill="ffffff"/>
            <w:tcBorders/>
            <w:tcW w:w="131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699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Маркировка наименования изделия на упаковке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/>
            <w:tcW w:w="164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</w:t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contextualSpacing w:val="true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center"/>
        <w:rPr>
          <w:rFonts w:eastAsia="Batang, 바탕"/>
          <w:b/>
          <w:sz w:val="22"/>
          <w:szCs w:val="22"/>
        </w:rPr>
      </w:pPr>
      <w:r>
        <w:rPr>
          <w:rFonts w:eastAsia="Batang, 바탕"/>
          <w:b/>
          <w:sz w:val="22"/>
          <w:szCs w:val="22"/>
          <w:lang w:eastAsia="ko-KR"/>
        </w:rPr>
        <w:t xml:space="preserve">Требования к году (месяцу) изготовления Товара</w:t>
      </w:r>
      <w:r>
        <w:rPr>
          <w:rFonts w:eastAsia="Batang, 바탕"/>
          <w:b/>
          <w:sz w:val="22"/>
          <w:szCs w:val="22"/>
        </w:rPr>
      </w:r>
    </w:p>
    <w:p>
      <w:pPr>
        <w:pBdr/>
        <w:spacing/>
        <w:ind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  <w:lang w:eastAsia="zh-CN"/>
        </w:rPr>
        <w:t xml:space="preserve">Год изготовления Товара должен не ранее 2025.</w:t>
      </w:r>
      <w:r>
        <w:rPr>
          <w:sz w:val="22"/>
          <w:szCs w:val="22"/>
        </w:rPr>
      </w:r>
    </w:p>
    <w:p>
      <w:pPr>
        <w:pBdr/>
        <w:spacing/>
        <w:ind/>
        <w:contextualSpacing w:val="tru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Порядок контроля и приемки поставленного товара</w:t>
      </w:r>
      <w:r>
        <w:rPr>
          <w:b/>
          <w:bCs/>
          <w:sz w:val="22"/>
          <w:szCs w:val="22"/>
        </w:rPr>
      </w:r>
    </w:p>
    <w:p>
      <w:pPr>
        <w:pBdr/>
        <w:spacing/>
        <w:ind w:firstLine="284" w:left="-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Остаточный гарантийный срок хранения (срок годности Товара) на дату поставки не менее 12 месяцев.</w:t>
      </w:r>
      <w:r>
        <w:rPr>
          <w:b/>
          <w:sz w:val="22"/>
          <w:szCs w:val="22"/>
        </w:rPr>
      </w:r>
    </w:p>
    <w:p>
      <w:pPr>
        <w:pStyle w:val="931"/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ffffff"/>
        <w:spacing w:after="0" w:line="240" w:lineRule="auto"/>
        <w:ind w:right="34" w:firstLine="567" w:left="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Приемка Товара производится в соответствии с контрактом. Поставщик должен передать Заказчику:</w:t>
      </w:r>
      <w:r>
        <w:rPr>
          <w:rFonts w:ascii="Times New Roman" w:hAnsi="Times New Roman"/>
          <w:lang w:val="ru-RU"/>
        </w:rPr>
      </w:r>
    </w:p>
    <w:p>
      <w:pPr>
        <w:pStyle w:val="922"/>
        <w:pBdr/>
        <w:spacing/>
        <w:ind w:right="34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а) счет;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right="34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б) счет-фактуру (при наличии)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right="34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в) товарную накладную или универсальный передаточный документ (далее - УПД), составленный по форме в соответствии с законодательством Российской Федерации;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right="34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г) 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акт приема-передачи Товара</w:t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spacing/>
        <w:ind w:right="34"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zh-CN" w:bidi="hi-IN"/>
        </w:rPr>
        <w:t xml:space="preserve">На всех документах, перечисленных, обязательно должны быть указаны наименование Заказчика, Поставщика, номер и дата Контракта, даты оформления и подписания документов.</w:t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 w:firstLine="284" w:left="-284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pBdr/>
        <w:spacing/>
        <w:ind w:firstLine="284" w:left="-284"/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Примечание: </w:t>
      </w:r>
      <w:r>
        <w:rPr>
          <w:b/>
          <w:bCs/>
          <w:sz w:val="18"/>
          <w:szCs w:val="18"/>
        </w:rPr>
      </w:r>
    </w:p>
    <w:p>
      <w:pPr>
        <w:pBdr/>
        <w:spacing w:line="240" w:lineRule="exact"/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Во всех случаях, когда в Технической части или в приложениях к ней (при наличии) имеются ссылки на конкретные стандарт</w:t>
      </w:r>
      <w:r>
        <w:rPr>
          <w:sz w:val="18"/>
          <w:szCs w:val="18"/>
        </w:rPr>
        <w:t xml:space="preserve">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</w:t>
      </w:r>
      <w:r>
        <w:rPr>
          <w:sz w:val="18"/>
          <w:szCs w:val="18"/>
        </w:rPr>
        <w:t xml:space="preserve">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  <w:r>
        <w:rPr>
          <w:sz w:val="18"/>
          <w:szCs w:val="18"/>
        </w:rPr>
      </w:r>
    </w:p>
    <w:p>
      <w:pPr>
        <w:pBdr/>
        <w:spacing/>
        <w:ind/>
        <w:contextualSpacing w:val="true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contextualSpacing w:val="true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922"/>
        <w:pBdr/>
        <w:tabs>
          <w:tab w:val="left" w:leader="none" w:pos="9923"/>
        </w:tabs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22"/>
        <w:pBdr/>
        <w:tabs>
          <w:tab w:val="left" w:leader="none" w:pos="9923"/>
        </w:tabs>
        <w:spacing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Bdr/>
        <w:spacing/>
        <w:ind/>
        <w:rPr>
          <w:vanish/>
        </w:rPr>
      </w:pPr>
      <w:r>
        <w:rPr>
          <w:vanish/>
        </w:rPr>
      </w:r>
      <w:r>
        <w:rPr>
          <w:vanish/>
        </w:rPr>
      </w:r>
    </w:p>
    <w:tbl>
      <w:tblPr>
        <w:tblW w:w="4878" w:type="pct"/>
        <w:tblBorders/>
        <w:tblLayout w:type="fixed"/>
        <w:tblpPr w:horzAnchor="margin" w:tblpXSpec="right" w:vertAnchor="text" w:tblpY="310" w:leftFromText="180" w:topFromText="0" w:rightFromText="180" w:bottomFromText="0"/>
        <w:tblLook w:val="01E0" w:firstRow="1" w:lastRow="1" w:firstColumn="1" w:lastColumn="1" w:noHBand="0" w:noVBand="0"/>
      </w:tblPr>
      <w:tblGrid>
        <w:gridCol w:w="4959"/>
        <w:gridCol w:w="5070"/>
      </w:tblGrid>
      <w:tr>
        <w:trPr>
          <w:trHeight w:val="1612"/>
        </w:trPr>
        <w:tc>
          <w:tcPr>
            <w:tcBorders/>
            <w:tcW w:w="4959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Заказчик:</w:t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_____________________/</w:t>
            </w:r>
            <w:r>
              <w:rPr>
                <w:sz w:val="22"/>
                <w:szCs w:val="22"/>
              </w:rPr>
              <w:t xml:space="preserve">_____________</w:t>
            </w:r>
            <w:r>
              <w:rPr>
                <w:rFonts w:eastAsia="Calibri"/>
                <w:sz w:val="22"/>
                <w:szCs w:val="22"/>
              </w:rPr>
              <w:t xml:space="preserve">/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Подпись, печать</w:t>
            </w:r>
            <w:r>
              <w:rPr>
                <w:sz w:val="22"/>
                <w:szCs w:val="22"/>
              </w:rPr>
            </w:r>
          </w:p>
        </w:tc>
        <w:tc>
          <w:tcPr>
            <w:tcBorders/>
            <w:tcW w:w="5070" w:type="dxa"/>
            <w:textDirection w:val="lrTb"/>
            <w:noWrap w:val="false"/>
          </w:tcPr>
          <w:p>
            <w:pPr>
              <w:pBdr/>
              <w:spacing/>
              <w:ind w:hanging="108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Поставщик:</w:t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____________________</w:t>
            </w:r>
            <w:r>
              <w:rPr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  <w:t xml:space="preserve">____________/</w:t>
            </w:r>
            <w:r>
              <w:rPr>
                <w:rFonts w:eastAsia="Calibri"/>
                <w:sz w:val="22"/>
                <w:szCs w:val="22"/>
              </w:rPr>
            </w:r>
          </w:p>
          <w:p>
            <w:pPr>
              <w:pBdr/>
              <w:spacing/>
              <w:ind w:hanging="108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 Подпись, печать</w:t>
            </w:r>
            <w:r>
              <w:rPr>
                <w:sz w:val="22"/>
                <w:szCs w:val="22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38" w:orient="portrait" w:w="11906"/>
      <w:pgMar w:top="709" w:right="566" w:bottom="709" w:left="1276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Roboto">
    <w:panose1 w:val="02000000000000000000"/>
  </w:font>
  <w:font w:name="Calibri Light">
    <w:panose1 w:val="020F0502020204030204"/>
  </w:font>
  <w:font w:name="Courier New">
    <w:panose1 w:val="02070409020205020404"/>
  </w:font>
  <w:font w:name="Tahoma">
    <w:panose1 w:val="020B0604030504040204"/>
  </w:font>
  <w:font w:name="Cambria">
    <w:panose1 w:val="02040503050406030204"/>
  </w:font>
  <w:font w:name="Batang, 바탕">
    <w:panose1 w:val="02020603050405020304"/>
  </w:font>
  <w:font w:name="Times New Roman">
    <w:panose1 w:val="02020603050405020304"/>
  </w:font>
  <w:font w:name="FreeSans">
    <w:panose1 w:val="020206030504050203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957"/>
      <w:rPr>
        <w:rFonts w:ascii="Symbol" w:hAnsi="Symbol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0B19695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2">
    <w:nsid w:val="182B5F09"/>
    <w:lvl w:ilvl="0">
      <w:isLgl w:val="false"/>
      <w:lvlJc w:val="left"/>
      <w:lvlText w:val="%1."/>
      <w:numFmt w:val="decimal"/>
      <w:pPr>
        <w:pBdr/>
        <w:spacing/>
        <w:ind w:hanging="360" w:left="644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4B170535"/>
    <w:lvl w:ilvl="0">
      <w:isLgl w:val="false"/>
      <w:lvlJc w:val="left"/>
      <w:lvlText w:val="%1-"/>
      <w:numFmt w:val="decimal"/>
      <w:pPr>
        <w:pBdr/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04"/>
      </w:pPr>
      <w:rPr/>
      <w:start w:val="1"/>
      <w:suff w:val="tab"/>
    </w:lvl>
  </w:abstractNum>
  <w:abstractNum w:abstractNumId="4">
    <w:nsid w:val="4B2B7D5C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1">
    <w:name w:val="Heading 2 Char"/>
    <w:basedOn w:val="735"/>
    <w:link w:val="7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4">
    <w:name w:val="Heading 5 Char"/>
    <w:basedOn w:val="735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5"/>
    <w:link w:val="7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5"/>
    <w:link w:val="7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5"/>
    <w:link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5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35"/>
    <w:link w:val="8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35"/>
    <w:link w:val="8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35"/>
    <w:link w:val="87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35"/>
    <w:link w:val="87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735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35"/>
    <w:link w:val="895"/>
    <w:uiPriority w:val="99"/>
    <w:semiHidden/>
    <w:pPr>
      <w:pBdr/>
      <w:spacing/>
      <w:ind/>
    </w:pPr>
    <w:rPr>
      <w:sz w:val="20"/>
      <w:szCs w:val="20"/>
    </w:rPr>
  </w:style>
  <w:style w:type="paragraph" w:styleId="725" w:default="1">
    <w:name w:val="Normal"/>
    <w:qFormat/>
    <w:pPr>
      <w:pBdr/>
      <w:spacing/>
      <w:ind/>
    </w:pPr>
    <w:rPr>
      <w:sz w:val="24"/>
      <w:szCs w:val="24"/>
      <w:lang w:eastAsia="ru-RU"/>
    </w:rPr>
  </w:style>
  <w:style w:type="paragraph" w:styleId="726">
    <w:name w:val="Heading 1"/>
    <w:basedOn w:val="725"/>
    <w:next w:val="725"/>
    <w:link w:val="951"/>
    <w:uiPriority w:val="99"/>
    <w:qFormat/>
    <w:pPr>
      <w:keepNext w:val="true"/>
      <w:pBdr/>
      <w:spacing w:after="60" w:before="240"/>
      <w:ind/>
      <w:outlineLvl w:val="0"/>
    </w:pPr>
    <w:rPr>
      <w:rFonts w:ascii="Arial" w:hAnsi="Arial"/>
      <w:b/>
      <w:bCs/>
      <w:sz w:val="32"/>
      <w:szCs w:val="32"/>
      <w:lang w:val="en-US" w:eastAsia="en-US"/>
    </w:rPr>
  </w:style>
  <w:style w:type="paragraph" w:styleId="727">
    <w:name w:val="Heading 2"/>
    <w:basedOn w:val="725"/>
    <w:next w:val="725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8">
    <w:name w:val="Heading 3"/>
    <w:basedOn w:val="725"/>
    <w:next w:val="725"/>
    <w:link w:val="952"/>
    <w:qFormat/>
    <w:pPr>
      <w:keepNext w:val="true"/>
      <w:pBdr/>
      <w:spacing w:after="60" w:before="240"/>
      <w:ind/>
      <w:outlineLvl w:val="2"/>
    </w:pPr>
    <w:rPr>
      <w:rFonts w:ascii="Arial" w:hAnsi="Arial" w:eastAsia="Calibri"/>
      <w:b/>
      <w:bCs/>
      <w:sz w:val="26"/>
      <w:szCs w:val="26"/>
      <w:lang w:val="en-US" w:eastAsia="en-US"/>
    </w:rPr>
  </w:style>
  <w:style w:type="paragraph" w:styleId="729">
    <w:name w:val="Heading 4"/>
    <w:basedOn w:val="725"/>
    <w:next w:val="725"/>
    <w:link w:val="953"/>
    <w:qFormat/>
    <w:pPr>
      <w:keepNext w:val="true"/>
      <w:pBdr/>
      <w:spacing w:after="60" w:before="240"/>
      <w:ind/>
      <w:outlineLvl w:val="3"/>
    </w:pPr>
    <w:rPr>
      <w:b/>
      <w:bCs/>
      <w:sz w:val="28"/>
      <w:szCs w:val="28"/>
      <w:lang w:val="en-US" w:eastAsia="en-US"/>
    </w:rPr>
  </w:style>
  <w:style w:type="paragraph" w:styleId="730">
    <w:name w:val="Heading 5"/>
    <w:basedOn w:val="725"/>
    <w:next w:val="725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31">
    <w:name w:val="Heading 6"/>
    <w:basedOn w:val="725"/>
    <w:next w:val="725"/>
    <w:link w:val="86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2">
    <w:name w:val="Heading 7"/>
    <w:basedOn w:val="725"/>
    <w:next w:val="725"/>
    <w:link w:val="86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3">
    <w:name w:val="Heading 8"/>
    <w:basedOn w:val="725"/>
    <w:next w:val="725"/>
    <w:link w:val="87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4">
    <w:name w:val="Heading 9"/>
    <w:basedOn w:val="725"/>
    <w:next w:val="725"/>
    <w:link w:val="87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5" w:default="1">
    <w:name w:val="Default Paragraph Font"/>
    <w:uiPriority w:val="1"/>
    <w:semiHidden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table" w:styleId="738">
    <w:name w:val="Table Grid"/>
    <w:basedOn w:val="736"/>
    <w:uiPriority w:val="59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Table Grid Light"/>
    <w:basedOn w:val="73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1"/>
    <w:basedOn w:val="73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2"/>
    <w:basedOn w:val="73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3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4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5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1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2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3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4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5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6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1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2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3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4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5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6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basedOn w:val="73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1"/>
    <w:basedOn w:val="736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2"/>
    <w:basedOn w:val="736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3"/>
    <w:basedOn w:val="736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4"/>
    <w:basedOn w:val="736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5"/>
    <w:basedOn w:val="736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6"/>
    <w:basedOn w:val="736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1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2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3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4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5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6"/>
    <w:basedOn w:val="73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1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2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3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4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5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6"/>
    <w:basedOn w:val="73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"/>
    <w:basedOn w:val="73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1"/>
    <w:basedOn w:val="736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2"/>
    <w:basedOn w:val="736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3"/>
    <w:basedOn w:val="736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4"/>
    <w:basedOn w:val="736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5"/>
    <w:basedOn w:val="736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6"/>
    <w:basedOn w:val="736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1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2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3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4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5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6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1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2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3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4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5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6"/>
    <w:basedOn w:val="73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1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2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3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4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5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6"/>
    <w:basedOn w:val="736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4" w:customStyle="1">
    <w:name w:val="Heading 1 Char"/>
    <w:basedOn w:val="73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65" w:customStyle="1">
    <w:name w:val="Заголовок 2 Знак"/>
    <w:basedOn w:val="735"/>
    <w:link w:val="72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66" w:customStyle="1">
    <w:name w:val="Heading 4 Char"/>
    <w:basedOn w:val="735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67" w:customStyle="1">
    <w:name w:val="Заголовок 5 Знак"/>
    <w:basedOn w:val="735"/>
    <w:link w:val="73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68" w:customStyle="1">
    <w:name w:val="Заголовок 6 Знак"/>
    <w:basedOn w:val="735"/>
    <w:link w:val="7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9" w:customStyle="1">
    <w:name w:val="Заголовок 7 Знак"/>
    <w:basedOn w:val="735"/>
    <w:link w:val="7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0" w:customStyle="1">
    <w:name w:val="Заголовок 8 Знак"/>
    <w:basedOn w:val="735"/>
    <w:link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1" w:customStyle="1">
    <w:name w:val="Заголовок 9 Знак"/>
    <w:basedOn w:val="735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2">
    <w:name w:val="Title"/>
    <w:basedOn w:val="725"/>
    <w:next w:val="725"/>
    <w:link w:val="87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3" w:customStyle="1">
    <w:name w:val="Заголовок Знак"/>
    <w:basedOn w:val="735"/>
    <w:link w:val="8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4">
    <w:name w:val="Subtitle"/>
    <w:basedOn w:val="725"/>
    <w:next w:val="725"/>
    <w:link w:val="87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5" w:customStyle="1">
    <w:name w:val="Подзаголовок Знак"/>
    <w:basedOn w:val="735"/>
    <w:link w:val="8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6">
    <w:name w:val="Quote"/>
    <w:basedOn w:val="725"/>
    <w:next w:val="725"/>
    <w:link w:val="87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7" w:customStyle="1">
    <w:name w:val="Цитата 2 Знак"/>
    <w:basedOn w:val="735"/>
    <w:link w:val="87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8">
    <w:name w:val="Intense Emphasis"/>
    <w:basedOn w:val="73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79">
    <w:name w:val="Intense Quote"/>
    <w:basedOn w:val="725"/>
    <w:next w:val="725"/>
    <w:link w:val="880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80" w:customStyle="1">
    <w:name w:val="Выделенная цитата Знак"/>
    <w:basedOn w:val="735"/>
    <w:link w:val="879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81">
    <w:name w:val="Intense Reference"/>
    <w:basedOn w:val="73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82">
    <w:name w:val="Subtle Emphasis"/>
    <w:basedOn w:val="7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735"/>
    <w:qFormat/>
    <w:pPr>
      <w:pBdr/>
      <w:spacing/>
      <w:ind/>
    </w:pPr>
    <w:rPr>
      <w:i/>
      <w:iCs/>
    </w:rPr>
  </w:style>
  <w:style w:type="character" w:styleId="884">
    <w:name w:val="Strong"/>
    <w:basedOn w:val="735"/>
    <w:qFormat/>
    <w:pPr>
      <w:pBdr/>
      <w:spacing/>
      <w:ind/>
    </w:pPr>
    <w:rPr>
      <w:b/>
      <w:bCs/>
    </w:rPr>
  </w:style>
  <w:style w:type="character" w:styleId="885">
    <w:name w:val="Subtle Reference"/>
    <w:basedOn w:val="7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6">
    <w:name w:val="Book Title"/>
    <w:basedOn w:val="7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7">
    <w:name w:val="Header"/>
    <w:basedOn w:val="725"/>
    <w:link w:val="958"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888" w:customStyle="1">
    <w:name w:val="Header Char"/>
    <w:basedOn w:val="735"/>
    <w:uiPriority w:val="99"/>
    <w:pPr>
      <w:pBdr/>
      <w:spacing/>
      <w:ind/>
    </w:pPr>
  </w:style>
  <w:style w:type="paragraph" w:styleId="889">
    <w:name w:val="Footer"/>
    <w:basedOn w:val="725"/>
    <w:link w:val="959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en-US" w:eastAsia="en-US"/>
    </w:rPr>
  </w:style>
  <w:style w:type="character" w:styleId="890" w:customStyle="1">
    <w:name w:val="Footer Char"/>
    <w:basedOn w:val="735"/>
    <w:uiPriority w:val="99"/>
    <w:pPr>
      <w:pBdr/>
      <w:spacing/>
      <w:ind/>
    </w:pPr>
  </w:style>
  <w:style w:type="paragraph" w:styleId="891">
    <w:name w:val="Caption"/>
    <w:basedOn w:val="725"/>
    <w:qFormat/>
    <w:pPr>
      <w:suppressLineNumbers w:val="true"/>
      <w:pBdr/>
      <w:spacing w:after="120" w:before="120"/>
      <w:ind/>
    </w:pPr>
    <w:rPr>
      <w:rFonts w:cs="FreeSans"/>
      <w:i/>
      <w:iCs/>
    </w:rPr>
  </w:style>
  <w:style w:type="paragraph" w:styleId="892">
    <w:name w:val="footnote text"/>
    <w:basedOn w:val="725"/>
    <w:link w:val="89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3" w:customStyle="1">
    <w:name w:val="Текст сноски Знак"/>
    <w:basedOn w:val="735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foot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endnote text"/>
    <w:basedOn w:val="725"/>
    <w:link w:val="89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96" w:customStyle="1">
    <w:name w:val="Текст концевой сноски Знак"/>
    <w:basedOn w:val="735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end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character" w:styleId="898">
    <w:name w:val="Hyperlink"/>
    <w:basedOn w:val="735"/>
    <w:uiPriority w:val="99"/>
    <w:pPr>
      <w:pBdr/>
      <w:spacing/>
      <w:ind/>
    </w:pPr>
    <w:rPr>
      <w:rFonts w:cs="Times New Roman"/>
      <w:color w:val="0000ff"/>
      <w:u w:val="single"/>
    </w:rPr>
  </w:style>
  <w:style w:type="character" w:styleId="899">
    <w:name w:val="FollowedHyperlink"/>
    <w:basedOn w:val="73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00">
    <w:name w:val="toc 1"/>
    <w:basedOn w:val="725"/>
    <w:next w:val="725"/>
    <w:uiPriority w:val="39"/>
    <w:unhideWhenUsed/>
    <w:pPr>
      <w:pBdr/>
      <w:spacing w:after="100"/>
      <w:ind/>
    </w:pPr>
  </w:style>
  <w:style w:type="paragraph" w:styleId="901">
    <w:name w:val="toc 2"/>
    <w:basedOn w:val="725"/>
    <w:next w:val="725"/>
    <w:uiPriority w:val="39"/>
    <w:unhideWhenUsed/>
    <w:pPr>
      <w:pBdr/>
      <w:spacing w:after="100"/>
      <w:ind w:left="220"/>
    </w:pPr>
  </w:style>
  <w:style w:type="paragraph" w:styleId="902">
    <w:name w:val="toc 3"/>
    <w:basedOn w:val="725"/>
    <w:next w:val="725"/>
    <w:uiPriority w:val="39"/>
    <w:unhideWhenUsed/>
    <w:pPr>
      <w:pBdr/>
      <w:spacing w:after="100"/>
      <w:ind w:left="440"/>
    </w:pPr>
  </w:style>
  <w:style w:type="paragraph" w:styleId="903">
    <w:name w:val="toc 4"/>
    <w:basedOn w:val="725"/>
    <w:next w:val="725"/>
    <w:uiPriority w:val="39"/>
    <w:unhideWhenUsed/>
    <w:pPr>
      <w:pBdr/>
      <w:spacing w:after="100"/>
      <w:ind w:left="660"/>
    </w:pPr>
  </w:style>
  <w:style w:type="paragraph" w:styleId="904">
    <w:name w:val="toc 5"/>
    <w:basedOn w:val="725"/>
    <w:next w:val="725"/>
    <w:uiPriority w:val="39"/>
    <w:unhideWhenUsed/>
    <w:pPr>
      <w:pBdr/>
      <w:spacing w:after="100"/>
      <w:ind w:left="880"/>
    </w:pPr>
  </w:style>
  <w:style w:type="paragraph" w:styleId="905">
    <w:name w:val="toc 6"/>
    <w:basedOn w:val="725"/>
    <w:next w:val="725"/>
    <w:uiPriority w:val="39"/>
    <w:unhideWhenUsed/>
    <w:pPr>
      <w:pBdr/>
      <w:spacing w:after="100"/>
      <w:ind w:left="1100"/>
    </w:pPr>
  </w:style>
  <w:style w:type="paragraph" w:styleId="906">
    <w:name w:val="toc 7"/>
    <w:basedOn w:val="725"/>
    <w:next w:val="725"/>
    <w:uiPriority w:val="39"/>
    <w:unhideWhenUsed/>
    <w:pPr>
      <w:pBdr/>
      <w:spacing w:after="100"/>
      <w:ind w:left="1320"/>
    </w:pPr>
  </w:style>
  <w:style w:type="paragraph" w:styleId="907">
    <w:name w:val="toc 8"/>
    <w:basedOn w:val="725"/>
    <w:next w:val="725"/>
    <w:uiPriority w:val="39"/>
    <w:unhideWhenUsed/>
    <w:pPr>
      <w:pBdr/>
      <w:spacing w:after="100"/>
      <w:ind w:left="1540"/>
    </w:pPr>
  </w:style>
  <w:style w:type="paragraph" w:styleId="908">
    <w:name w:val="toc 9"/>
    <w:basedOn w:val="725"/>
    <w:next w:val="725"/>
    <w:uiPriority w:val="39"/>
    <w:unhideWhenUsed/>
    <w:pPr>
      <w:pBdr/>
      <w:spacing w:after="100"/>
      <w:ind w:left="1760"/>
    </w:pPr>
  </w:style>
  <w:style w:type="character" w:styleId="909">
    <w:name w:val="Placeholder Text"/>
    <w:basedOn w:val="735"/>
    <w:uiPriority w:val="99"/>
    <w:semiHidden/>
    <w:pPr>
      <w:pBdr/>
      <w:spacing/>
      <w:ind/>
    </w:pPr>
    <w:rPr>
      <w:color w:val="666666"/>
    </w:r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725"/>
    <w:next w:val="725"/>
    <w:uiPriority w:val="99"/>
    <w:unhideWhenUsed/>
    <w:pPr>
      <w:pBdr/>
      <w:spacing/>
      <w:ind/>
    </w:pPr>
  </w:style>
  <w:style w:type="character" w:styleId="912" w:customStyle="1">
    <w:name w:val="Heading 3 Char"/>
    <w:pPr>
      <w:pBdr/>
      <w:spacing/>
      <w:ind/>
    </w:pPr>
    <w:rPr>
      <w:rFonts w:ascii="Cambria" w:hAnsi="Cambria" w:cs="Times New Roman"/>
      <w:b/>
      <w:bCs/>
      <w:sz w:val="26"/>
      <w:szCs w:val="26"/>
    </w:rPr>
  </w:style>
  <w:style w:type="character" w:styleId="913" w:customStyle="1">
    <w:name w:val="Balloon Text Char"/>
    <w:pPr>
      <w:pBdr/>
      <w:spacing/>
      <w:ind/>
    </w:pPr>
    <w:rPr>
      <w:rFonts w:ascii="Tahoma" w:hAnsi="Tahoma" w:cs="Tahoma"/>
      <w:sz w:val="16"/>
      <w:szCs w:val="16"/>
      <w:lang w:eastAsia="ru-RU"/>
    </w:rPr>
  </w:style>
  <w:style w:type="character" w:styleId="914" w:customStyle="1">
    <w:name w:val="ListLabel 1"/>
    <w:pPr>
      <w:pBdr/>
      <w:spacing/>
      <w:ind/>
    </w:pPr>
    <w:rPr>
      <w:rFonts w:cs="Times New Roman"/>
    </w:rPr>
  </w:style>
  <w:style w:type="character" w:styleId="915" w:customStyle="1">
    <w:name w:val="ListLabel 2"/>
    <w:pPr>
      <w:pBdr/>
      <w:spacing/>
      <w:ind/>
    </w:pPr>
    <w:rPr>
      <w:rFonts w:cs="Times New Roman"/>
    </w:rPr>
  </w:style>
  <w:style w:type="character" w:styleId="916" w:customStyle="1">
    <w:name w:val="ListLabel 3"/>
    <w:pPr>
      <w:pBdr/>
      <w:spacing/>
      <w:ind/>
    </w:pPr>
    <w:rPr>
      <w:rFonts w:cs="Times New Roman"/>
    </w:rPr>
  </w:style>
  <w:style w:type="character" w:styleId="917" w:customStyle="1">
    <w:name w:val="ListLabel 4"/>
    <w:pPr>
      <w:pBdr/>
      <w:spacing/>
      <w:ind/>
    </w:pPr>
    <w:rPr>
      <w:rFonts w:cs="Times New Roman"/>
    </w:rPr>
  </w:style>
  <w:style w:type="character" w:styleId="918" w:customStyle="1">
    <w:name w:val="ListLabel 5"/>
    <w:pPr>
      <w:pBdr/>
      <w:spacing/>
      <w:ind/>
    </w:pPr>
    <w:rPr>
      <w:rFonts w:cs="Times New Roman"/>
    </w:rPr>
  </w:style>
  <w:style w:type="paragraph" w:styleId="919">
    <w:name w:val="Body Text"/>
    <w:basedOn w:val="725"/>
    <w:link w:val="954"/>
    <w:uiPriority w:val="99"/>
    <w:pPr>
      <w:pBdr/>
      <w:spacing w:after="140" w:line="288" w:lineRule="auto"/>
      <w:ind/>
    </w:pPr>
    <w:rPr>
      <w:lang w:val="en-US" w:eastAsia="en-US"/>
    </w:rPr>
  </w:style>
  <w:style w:type="paragraph" w:styleId="920">
    <w:name w:val="List"/>
    <w:basedOn w:val="919"/>
    <w:pPr>
      <w:pBdr/>
      <w:spacing/>
      <w:ind/>
    </w:pPr>
    <w:rPr>
      <w:rFonts w:cs="FreeSans"/>
    </w:rPr>
  </w:style>
  <w:style w:type="paragraph" w:styleId="921" w:customStyle="1">
    <w:name w:val="Указатель1"/>
    <w:basedOn w:val="725"/>
    <w:pPr>
      <w:suppressLineNumbers w:val="true"/>
      <w:pBdr/>
      <w:spacing/>
      <w:ind/>
    </w:pPr>
    <w:rPr>
      <w:rFonts w:cs="FreeSans"/>
    </w:rPr>
  </w:style>
  <w:style w:type="paragraph" w:styleId="922" w:customStyle="1">
    <w:name w:val="ConsPlusNormal"/>
    <w:link w:val="948"/>
    <w:qFormat/>
    <w:pPr>
      <w:widowControl w:val="false"/>
      <w:pBdr/>
      <w:spacing/>
      <w:ind/>
    </w:pPr>
    <w:rPr>
      <w:rFonts w:ascii="Calibri" w:hAnsi="Calibri"/>
      <w:sz w:val="24"/>
      <w:lang w:eastAsia="ru-RU"/>
    </w:rPr>
  </w:style>
  <w:style w:type="paragraph" w:styleId="923" w:customStyle="1">
    <w:name w:val="ConsPlusNonformat"/>
    <w:pPr>
      <w:widowControl w:val="false"/>
      <w:pBdr/>
      <w:spacing/>
      <w:ind/>
    </w:pPr>
    <w:rPr>
      <w:rFonts w:ascii="Courier New" w:hAnsi="Courier New" w:cs="Courier New"/>
      <w:lang w:eastAsia="ru-RU"/>
    </w:rPr>
  </w:style>
  <w:style w:type="paragraph" w:styleId="924" w:customStyle="1">
    <w:name w:val="ConsPlusTitle"/>
    <w:pPr>
      <w:widowControl w:val="false"/>
      <w:pBdr/>
      <w:spacing/>
      <w:ind/>
    </w:pPr>
    <w:rPr>
      <w:rFonts w:ascii="Calibri" w:hAnsi="Calibri" w:cs="Calibri"/>
      <w:b/>
      <w:sz w:val="24"/>
      <w:lang w:eastAsia="ru-RU"/>
    </w:rPr>
  </w:style>
  <w:style w:type="paragraph" w:styleId="925" w:customStyle="1">
    <w:name w:val="ConsPlusCell"/>
    <w:pPr>
      <w:widowControl w:val="false"/>
      <w:pBdr/>
      <w:spacing/>
      <w:ind/>
    </w:pPr>
    <w:rPr>
      <w:rFonts w:ascii="Courier New" w:hAnsi="Courier New" w:cs="Courier New"/>
      <w:lang w:eastAsia="ru-RU"/>
    </w:rPr>
  </w:style>
  <w:style w:type="paragraph" w:styleId="926" w:customStyle="1">
    <w:name w:val="ConsPlusDocList"/>
    <w:pPr>
      <w:widowControl w:val="false"/>
      <w:pBdr/>
      <w:spacing/>
      <w:ind/>
    </w:pPr>
    <w:rPr>
      <w:rFonts w:ascii="Courier New" w:hAnsi="Courier New" w:cs="Courier New"/>
      <w:lang w:eastAsia="ru-RU"/>
    </w:rPr>
  </w:style>
  <w:style w:type="paragraph" w:styleId="927" w:customStyle="1">
    <w:name w:val="ConsPlusTitlePage"/>
    <w:pPr>
      <w:widowControl w:val="false"/>
      <w:pBdr/>
      <w:spacing/>
      <w:ind/>
    </w:pPr>
    <w:rPr>
      <w:rFonts w:ascii="Tahoma" w:hAnsi="Tahoma" w:cs="Tahoma"/>
      <w:lang w:eastAsia="ru-RU"/>
    </w:rPr>
  </w:style>
  <w:style w:type="paragraph" w:styleId="928" w:customStyle="1">
    <w:name w:val="ConsPlusJurTerm"/>
    <w:pPr>
      <w:widowControl w:val="false"/>
      <w:pBdr/>
      <w:spacing/>
      <w:ind/>
    </w:pPr>
    <w:rPr>
      <w:rFonts w:ascii="Tahoma" w:hAnsi="Tahoma" w:cs="Tahoma"/>
      <w:sz w:val="26"/>
      <w:lang w:eastAsia="ru-RU"/>
    </w:rPr>
  </w:style>
  <w:style w:type="paragraph" w:styleId="929" w:customStyle="1">
    <w:name w:val="ConsPlusTextList"/>
    <w:pPr>
      <w:widowControl w:val="false"/>
      <w:pBdr/>
      <w:spacing/>
      <w:ind/>
    </w:pPr>
    <w:rPr>
      <w:rFonts w:ascii="Arial" w:hAnsi="Arial" w:cs="Arial"/>
      <w:lang w:eastAsia="ru-RU"/>
    </w:rPr>
  </w:style>
  <w:style w:type="paragraph" w:styleId="930">
    <w:name w:val="Balloon Text"/>
    <w:basedOn w:val="725"/>
    <w:link w:val="949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paragraph" w:styleId="931">
    <w:name w:val="List Paragraph"/>
    <w:basedOn w:val="725"/>
    <w:link w:val="969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/>
      <w:sz w:val="22"/>
      <w:szCs w:val="22"/>
      <w:lang w:val="en-US" w:eastAsia="en-US"/>
    </w:rPr>
  </w:style>
  <w:style w:type="character" w:styleId="932" w:customStyle="1">
    <w:name w:val="extra_fields_value"/>
    <w:basedOn w:val="735"/>
    <w:pPr>
      <w:pBdr/>
      <w:spacing/>
      <w:ind/>
    </w:pPr>
  </w:style>
  <w:style w:type="character" w:styleId="933" w:customStyle="1">
    <w:name w:val="extra_fields_name"/>
    <w:basedOn w:val="735"/>
    <w:pPr>
      <w:pBdr/>
      <w:spacing/>
      <w:ind/>
    </w:pPr>
  </w:style>
  <w:style w:type="character" w:styleId="934" w:customStyle="1">
    <w:name w:val="val hastip locate"/>
    <w:basedOn w:val="735"/>
    <w:pPr>
      <w:pBdr/>
      <w:spacing/>
      <w:ind/>
    </w:pPr>
  </w:style>
  <w:style w:type="character" w:styleId="935" w:customStyle="1">
    <w:name w:val="thname"/>
    <w:basedOn w:val="735"/>
    <w:pPr>
      <w:pBdr/>
      <w:spacing/>
      <w:ind/>
    </w:pPr>
  </w:style>
  <w:style w:type="character" w:styleId="936" w:customStyle="1">
    <w:name w:val="thvalue"/>
    <w:basedOn w:val="735"/>
    <w:pPr>
      <w:pBdr/>
      <w:spacing/>
      <w:ind/>
    </w:pPr>
  </w:style>
  <w:style w:type="character" w:styleId="937" w:customStyle="1">
    <w:name w:val="extended-text__short"/>
    <w:basedOn w:val="735"/>
    <w:pPr>
      <w:pBdr/>
      <w:spacing/>
      <w:ind/>
    </w:pPr>
  </w:style>
  <w:style w:type="paragraph" w:styleId="938">
    <w:name w:val="Normal (Web)"/>
    <w:basedOn w:val="725"/>
    <w:uiPriority w:val="99"/>
    <w:pPr>
      <w:pBdr/>
      <w:spacing w:after="100" w:afterAutospacing="1" w:before="100" w:beforeAutospacing="1"/>
      <w:ind/>
    </w:pPr>
  </w:style>
  <w:style w:type="character" w:styleId="939" w:customStyle="1">
    <w:name w:val="features-list-name"/>
    <w:basedOn w:val="735"/>
    <w:pPr>
      <w:pBdr/>
      <w:spacing/>
      <w:ind/>
    </w:pPr>
  </w:style>
  <w:style w:type="character" w:styleId="940" w:customStyle="1">
    <w:name w:val="features-list-value"/>
    <w:basedOn w:val="735"/>
    <w:pPr>
      <w:pBdr/>
      <w:spacing/>
      <w:ind/>
    </w:pPr>
  </w:style>
  <w:style w:type="character" w:styleId="941" w:customStyle="1">
    <w:name w:val="val"/>
    <w:basedOn w:val="735"/>
    <w:pPr>
      <w:pBdr/>
      <w:spacing/>
      <w:ind/>
    </w:pPr>
  </w:style>
  <w:style w:type="character" w:styleId="942" w:customStyle="1">
    <w:name w:val="td25"/>
    <w:pPr>
      <w:pBdr/>
      <w:spacing/>
      <w:ind/>
    </w:pPr>
    <w:rPr>
      <w:rFonts w:cs="Times New Roman"/>
    </w:rPr>
  </w:style>
  <w:style w:type="paragraph" w:styleId="943">
    <w:name w:val="No Spacing"/>
    <w:link w:val="965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44" w:customStyle="1">
    <w:name w:val="extended-text__full"/>
    <w:basedOn w:val="735"/>
    <w:pPr>
      <w:pBdr/>
      <w:spacing/>
      <w:ind/>
    </w:pPr>
  </w:style>
  <w:style w:type="paragraph" w:styleId="945">
    <w:name w:val="HTML Top of Form"/>
    <w:basedOn w:val="725"/>
    <w:next w:val="725"/>
    <w:link w:val="955"/>
    <w:hidden/>
    <w:pPr>
      <w:pBdr>
        <w:bottom w:val="single" w:color="000000" w:sz="6" w:space="1"/>
      </w:pBdr>
      <w:spacing/>
      <w:ind/>
      <w:jc w:val="center"/>
    </w:pPr>
    <w:rPr>
      <w:rFonts w:ascii="Arial" w:hAnsi="Arial"/>
      <w:vanish/>
      <w:sz w:val="16"/>
      <w:szCs w:val="16"/>
      <w:lang w:val="en-US" w:eastAsia="en-US"/>
    </w:rPr>
  </w:style>
  <w:style w:type="paragraph" w:styleId="946">
    <w:name w:val="HTML Bottom of Form"/>
    <w:basedOn w:val="725"/>
    <w:next w:val="725"/>
    <w:link w:val="956"/>
    <w:hidden/>
    <w:pPr>
      <w:pBdr>
        <w:top w:val="single" w:color="000000" w:sz="6" w:space="1"/>
      </w:pBdr>
      <w:spacing/>
      <w:ind/>
      <w:jc w:val="center"/>
    </w:pPr>
    <w:rPr>
      <w:rFonts w:ascii="Arial" w:hAnsi="Arial"/>
      <w:vanish/>
      <w:sz w:val="16"/>
      <w:szCs w:val="16"/>
      <w:lang w:val="en-US" w:eastAsia="en-US"/>
    </w:rPr>
  </w:style>
  <w:style w:type="paragraph" w:styleId="947" w:customStyle="1">
    <w:name w:val="msonormalcxspmiddle"/>
    <w:basedOn w:val="725"/>
    <w:pPr>
      <w:pBdr/>
      <w:spacing w:after="100" w:afterAutospacing="1" w:before="100" w:beforeAutospacing="1"/>
      <w:ind/>
    </w:pPr>
  </w:style>
  <w:style w:type="character" w:styleId="948" w:customStyle="1">
    <w:name w:val="ConsPlusNormal Знак"/>
    <w:link w:val="922"/>
    <w:pPr>
      <w:pBdr/>
      <w:spacing/>
      <w:ind/>
    </w:pPr>
    <w:rPr>
      <w:rFonts w:ascii="Calibri" w:hAnsi="Calibri"/>
      <w:sz w:val="24"/>
      <w:lang w:bidi="ar-SA"/>
    </w:rPr>
  </w:style>
  <w:style w:type="character" w:styleId="949" w:customStyle="1">
    <w:name w:val="Текст выноски Знак"/>
    <w:link w:val="930"/>
    <w:pPr>
      <w:pBdr/>
      <w:spacing/>
      <w:ind/>
    </w:pPr>
    <w:rPr>
      <w:rFonts w:ascii="Tahoma" w:hAnsi="Tahoma" w:cs="Tahoma"/>
      <w:sz w:val="16"/>
      <w:szCs w:val="16"/>
    </w:rPr>
  </w:style>
  <w:style w:type="character" w:styleId="950" w:customStyle="1">
    <w:name w:val="value"/>
    <w:uiPriority w:val="99"/>
    <w:pPr>
      <w:pBdr/>
      <w:spacing/>
      <w:ind/>
    </w:pPr>
    <w:rPr>
      <w:rFonts w:cs="Times New Roman"/>
    </w:rPr>
  </w:style>
  <w:style w:type="character" w:styleId="951" w:customStyle="1">
    <w:name w:val="Заголовок 1 Знак"/>
    <w:link w:val="726"/>
    <w:uiPriority w:val="99"/>
    <w:pPr>
      <w:pBdr/>
      <w:spacing/>
      <w:ind/>
    </w:pPr>
    <w:rPr>
      <w:rFonts w:ascii="Arial" w:hAnsi="Arial" w:cs="Arial"/>
      <w:b/>
      <w:bCs/>
      <w:sz w:val="32"/>
      <w:szCs w:val="32"/>
    </w:rPr>
  </w:style>
  <w:style w:type="character" w:styleId="952" w:customStyle="1">
    <w:name w:val="Заголовок 3 Знак"/>
    <w:link w:val="728"/>
    <w:pPr>
      <w:pBdr/>
      <w:spacing/>
      <w:ind/>
    </w:pPr>
    <w:rPr>
      <w:rFonts w:ascii="Arial" w:hAnsi="Arial" w:eastAsia="Calibri" w:cs="Arial"/>
      <w:b/>
      <w:bCs/>
      <w:sz w:val="26"/>
      <w:szCs w:val="26"/>
    </w:rPr>
  </w:style>
  <w:style w:type="character" w:styleId="953" w:customStyle="1">
    <w:name w:val="Заголовок 4 Знак"/>
    <w:link w:val="729"/>
    <w:pPr>
      <w:pBdr/>
      <w:spacing/>
      <w:ind/>
    </w:pPr>
    <w:rPr>
      <w:b/>
      <w:bCs/>
      <w:sz w:val="28"/>
      <w:szCs w:val="28"/>
    </w:rPr>
  </w:style>
  <w:style w:type="character" w:styleId="954" w:customStyle="1">
    <w:name w:val="Основной текст Знак"/>
    <w:link w:val="919"/>
    <w:uiPriority w:val="99"/>
    <w:pPr>
      <w:pBdr/>
      <w:spacing/>
      <w:ind/>
    </w:pPr>
    <w:rPr>
      <w:sz w:val="24"/>
      <w:szCs w:val="24"/>
    </w:rPr>
  </w:style>
  <w:style w:type="character" w:styleId="955" w:customStyle="1">
    <w:name w:val="z-Начало формы Знак"/>
    <w:link w:val="945"/>
    <w:pPr>
      <w:pBdr/>
      <w:spacing/>
      <w:ind/>
    </w:pPr>
    <w:rPr>
      <w:rFonts w:ascii="Arial" w:hAnsi="Arial" w:cs="Arial"/>
      <w:vanish/>
      <w:sz w:val="16"/>
      <w:szCs w:val="16"/>
    </w:rPr>
  </w:style>
  <w:style w:type="character" w:styleId="956" w:customStyle="1">
    <w:name w:val="z-Конец формы Знак"/>
    <w:link w:val="946"/>
    <w:pPr>
      <w:pBdr/>
      <w:spacing/>
      <w:ind/>
    </w:pPr>
    <w:rPr>
      <w:rFonts w:ascii="Arial" w:hAnsi="Arial" w:cs="Arial"/>
      <w:vanish/>
      <w:sz w:val="16"/>
      <w:szCs w:val="16"/>
    </w:rPr>
  </w:style>
  <w:style w:type="paragraph" w:styleId="957">
    <w:name w:val="List Bullet"/>
    <w:basedOn w:val="725"/>
    <w:pPr>
      <w:numPr>
        <w:numId w:val="3"/>
      </w:numPr>
      <w:pBdr/>
      <w:spacing/>
      <w:ind/>
      <w:contextualSpacing w:val="true"/>
    </w:pPr>
  </w:style>
  <w:style w:type="character" w:styleId="958" w:customStyle="1">
    <w:name w:val="Верхний колонтитул Знак"/>
    <w:link w:val="887"/>
    <w:pPr>
      <w:pBdr/>
      <w:spacing/>
      <w:ind/>
    </w:pPr>
    <w:rPr>
      <w:sz w:val="24"/>
      <w:szCs w:val="24"/>
    </w:rPr>
  </w:style>
  <w:style w:type="character" w:styleId="959" w:customStyle="1">
    <w:name w:val="Нижний колонтитул Знак"/>
    <w:link w:val="889"/>
    <w:uiPriority w:val="99"/>
    <w:pPr>
      <w:pBdr/>
      <w:spacing/>
      <w:ind/>
    </w:pPr>
    <w:rPr>
      <w:sz w:val="24"/>
      <w:szCs w:val="24"/>
    </w:rPr>
  </w:style>
  <w:style w:type="paragraph" w:styleId="960" w:customStyle="1">
    <w:name w:val="Название"/>
    <w:basedOn w:val="725"/>
    <w:next w:val="725"/>
    <w:link w:val="961"/>
    <w:qFormat/>
    <w:pPr>
      <w:pBdr/>
      <w:spacing w:after="60" w:before="240"/>
      <w:ind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/>
    </w:rPr>
  </w:style>
  <w:style w:type="character" w:styleId="961" w:customStyle="1">
    <w:name w:val="Название Знак"/>
    <w:link w:val="960"/>
    <w:pPr>
      <w:pBdr/>
      <w:spacing/>
      <w:ind/>
    </w:pPr>
    <w:rPr>
      <w:rFonts w:ascii="Calibri Light" w:hAnsi="Calibri Light"/>
      <w:b/>
      <w:bCs/>
      <w:sz w:val="32"/>
      <w:szCs w:val="32"/>
    </w:rPr>
  </w:style>
  <w:style w:type="character" w:styleId="962" w:customStyle="1">
    <w:name w:val="apple-style-span"/>
    <w:basedOn w:val="735"/>
    <w:pPr>
      <w:pBdr/>
      <w:spacing/>
      <w:ind/>
    </w:pPr>
  </w:style>
  <w:style w:type="character" w:styleId="963" w:customStyle="1">
    <w:name w:val="lots-wrap-content__body__val"/>
    <w:basedOn w:val="735"/>
    <w:pPr>
      <w:pBdr/>
      <w:spacing/>
      <w:ind/>
    </w:pPr>
  </w:style>
  <w:style w:type="character" w:styleId="964" w:customStyle="1">
    <w:name w:val="copy_target"/>
    <w:basedOn w:val="735"/>
    <w:pPr>
      <w:pBdr/>
      <w:spacing/>
      <w:ind/>
    </w:pPr>
  </w:style>
  <w:style w:type="character" w:styleId="965" w:customStyle="1">
    <w:name w:val="Без интервала Знак"/>
    <w:link w:val="943"/>
    <w:uiPriority w:val="1"/>
    <w:pPr>
      <w:pBdr/>
      <w:spacing/>
      <w:ind/>
    </w:pPr>
    <w:rPr>
      <w:rFonts w:ascii="Calibri" w:hAnsi="Calibri" w:eastAsia="Calibri"/>
      <w:sz w:val="22"/>
      <w:szCs w:val="22"/>
      <w:lang w:eastAsia="en-US" w:bidi="ar-SA"/>
    </w:rPr>
  </w:style>
  <w:style w:type="paragraph" w:styleId="966">
    <w:name w:val="Document Map"/>
    <w:basedOn w:val="725"/>
    <w:link w:val="967"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967" w:customStyle="1">
    <w:name w:val="Схема документа Знак"/>
    <w:link w:val="966"/>
    <w:pPr>
      <w:pBdr/>
      <w:spacing/>
      <w:ind/>
    </w:pPr>
    <w:rPr>
      <w:rFonts w:ascii="Tahoma" w:hAnsi="Tahoma" w:cs="Tahoma"/>
      <w:sz w:val="16"/>
      <w:szCs w:val="16"/>
    </w:rPr>
  </w:style>
  <w:style w:type="paragraph" w:styleId="968" w:customStyle="1">
    <w:name w:val="formattext"/>
    <w:basedOn w:val="725"/>
    <w:pPr>
      <w:pBdr/>
      <w:spacing w:after="100" w:afterAutospacing="1" w:before="100" w:beforeAutospacing="1"/>
      <w:ind/>
    </w:pPr>
  </w:style>
  <w:style w:type="character" w:styleId="969" w:customStyle="1">
    <w:name w:val="Абзац списка Знак"/>
    <w:link w:val="931"/>
    <w:uiPriority w:val="34"/>
    <w:qFormat/>
    <w:pPr>
      <w:pBdr/>
      <w:spacing/>
      <w:ind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70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both"/>
    </w:pPr>
    <w:rPr>
      <w:rFonts w:eastAsia="Calibri"/>
      <w:color w:val="00000a"/>
      <w:sz w:val="26"/>
      <w:szCs w:val="26"/>
      <w:lang w:eastAsia="ru-RU"/>
    </w:rPr>
  </w:style>
  <w:style w:type="paragraph" w:styleId="971" w:customStyle="1">
    <w:name w:val="Body Text 2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both"/>
    </w:pPr>
    <w:rPr>
      <w:sz w:val="24"/>
      <w:lang w:eastAsia="ru-RU"/>
    </w:rPr>
  </w:style>
  <w:style w:type="paragraph" w:styleId="972" w:customStyle="1">
    <w:name w:val="11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eastAsia="ru-RU"/>
    </w:rPr>
  </w:style>
  <w:style w:type="paragraph" w:styleId="973" w:customStyle="1">
    <w:name w:val="Без интервала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zakupki.gov.ru/epz/orderplan/pg2020/specialPurchase/special-purchase-info.html?plan-number=202603221000038001&amp;position-number=202603221000038001000006&amp;version=0" TargetMode="External"/><Relationship Id="rId11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12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4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15" Type="http://schemas.openxmlformats.org/officeDocument/2006/relationships/hyperlink" Target="consultantplus://offline/ref=782E9CC4CCC6932545801925E3B536176E50B53C1FD70BD7655CABC93DB89C271041D8CD019EE696393B294E112BD805805FEF4CF4B5672237V6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16</dc:title>
  <dc:creator>snab</dc:creator>
  <cp:revision>53</cp:revision>
  <dcterms:created xsi:type="dcterms:W3CDTF">2025-11-26T23:46:00Z</dcterms:created>
  <dcterms:modified xsi:type="dcterms:W3CDTF">2026-06-05T03:36:03Z</dcterms:modified>
  <cp:version>983040</cp:version>
</cp:coreProperties>
</file>