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t xml:space="preserve">Приложение № </w:t>
      </w:r>
      <w:r>
        <w:t xml:space="preserve">2</w:t>
      </w:r>
      <w:r>
        <w:t xml:space="preserve"> к извещению</w:t>
      </w:r>
      <w:r/>
    </w:p>
    <w:p>
      <w:pPr>
        <w:jc w:val="right"/>
      </w:pPr>
      <w:r>
        <w:t xml:space="preserve">о проведении запроса котировок в электронной форме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</w:rPr>
      </w:pPr>
      <w:r>
        <w:rPr>
          <w:b/>
        </w:rPr>
        <w:t xml:space="preserve">Обоснование начальной (максимальной) цены контракта</w:t>
      </w:r>
      <w:r>
        <w:rPr>
          <w:b/>
        </w:rPr>
      </w:r>
      <w:r>
        <w:rPr>
          <w:b/>
        </w:rPr>
      </w:r>
    </w:p>
    <w:p>
      <w:pPr>
        <w:pStyle w:val="855"/>
        <w:ind w:firstLine="708"/>
        <w:jc w:val="both"/>
        <w:spacing w:before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jc w:val="center"/>
        <w:rPr>
          <w:b/>
        </w:rPr>
      </w:pPr>
      <w:r>
        <w:rPr>
          <w:b/>
        </w:rPr>
        <w:t xml:space="preserve">Протокол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начальной (максимальной) цены контракта</w:t>
      </w:r>
      <w:r>
        <w:rPr>
          <w:b/>
        </w:rPr>
      </w:r>
      <w:r>
        <w:rPr>
          <w:b/>
        </w:rPr>
      </w:r>
    </w:p>
    <w:p>
      <w:pPr>
        <w:jc w:val="center"/>
      </w:pPr>
      <w:r/>
      <w:r/>
    </w:p>
    <w:p>
      <w:pPr>
        <w:pStyle w:val="880"/>
        <w:ind w:left="0" w:firstLine="709"/>
        <w:rPr>
          <w:shd w:val="clear" w:color="auto" w:fill="ffffff"/>
        </w:rPr>
      </w:pPr>
      <w:r>
        <w:t xml:space="preserve">Объект закупки: </w:t>
      </w:r>
      <w:r>
        <w:t xml:space="preserve">Выполнение работ по текущему ремонту помещений в здании, расположенном по адресу: Владимирская область, г. Ковров, ул. Лопатина, д. 48 (замена радиаторов отопления)</w:t>
      </w:r>
      <w:r/>
      <w:r>
        <w:rPr>
          <w:shd w:val="clear" w:color="auto" w:fill="ffffff"/>
        </w:rPr>
      </w:r>
    </w:p>
    <w:p>
      <w:pPr>
        <w:pStyle w:val="86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</w:pPr>
      <w:r>
        <w:t xml:space="preserve">Начальная </w:t>
      </w:r>
      <w:r>
        <w:t xml:space="preserve">(</w:t>
      </w:r>
      <w:r>
        <w:t xml:space="preserve">максимальная</w:t>
      </w:r>
      <w:r>
        <w:t xml:space="preserve">)</w:t>
      </w:r>
      <w:r>
        <w:t xml:space="preserve"> цена контракта составляет: </w:t>
      </w:r>
      <w:r/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  <w:t xml:space="preserve"> 281 738,60</w:t>
      </w:r>
      <w:r>
        <w:rPr>
          <w:b/>
        </w:rPr>
        <w:t xml:space="preserve"> </w:t>
      </w:r>
      <w:r>
        <w:rPr>
          <w:b/>
        </w:rPr>
        <w:t xml:space="preserve">руб. </w:t>
      </w:r>
      <w:r>
        <w:rPr>
          <w:b/>
        </w:rPr>
        <w:t xml:space="preserve">(двести восемьдесят одна тысяча семьсот тридцать восемь рублей 60 копеек</w:t>
      </w:r>
      <w:r>
        <w:rPr>
          <w:b/>
        </w:rPr>
        <w:t xml:space="preserve"> </w:t>
      </w:r>
      <w:r>
        <w:rPr>
          <w:b/>
        </w:rPr>
        <w:t xml:space="preserve">копеек</w:t>
      </w:r>
      <w:r>
        <w:rPr>
          <w:b/>
        </w:rPr>
        <w:t xml:space="preserve">)</w:t>
      </w:r>
      <w:r>
        <w:rPr>
          <w:b/>
        </w:rPr>
        <w:t xml:space="preserve">.</w:t>
      </w:r>
      <w:r>
        <w:rPr>
          <w:b/>
        </w:rPr>
      </w:r>
      <w:r>
        <w:rPr>
          <w:b/>
        </w:rPr>
      </w:r>
    </w:p>
    <w:p>
      <w:pPr>
        <w:jc w:val="both"/>
        <w:rPr>
          <w:bCs/>
        </w:rPr>
      </w:pPr>
      <w:r>
        <w:rPr>
          <w:bCs/>
        </w:rPr>
        <w:t xml:space="preserve">            </w:t>
      </w:r>
      <w:r>
        <w:rPr>
          <w:bCs/>
        </w:rPr>
        <w:t xml:space="preserve">Начальная максимальная цена контракта включает в себя расходы на выполнение строительно-монтаж</w:t>
      </w:r>
      <w:r>
        <w:rPr>
          <w:bCs/>
        </w:rPr>
        <w:t xml:space="preserve">ных работ, приобретение материалов, резерв средств на непредвиденные работы и затраты.</w:t>
      </w:r>
      <w:r>
        <w:rPr>
          <w:bCs/>
        </w:rPr>
      </w:r>
      <w:r>
        <w:rPr>
          <w:bCs/>
        </w:rPr>
      </w:r>
    </w:p>
    <w:p>
      <w:pPr>
        <w:ind w:firstLine="709"/>
        <w:jc w:val="both"/>
        <w:shd w:val="clear" w:color="auto" w:fill="ffffff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9"/>
        <w:jc w:val="both"/>
        <w:shd w:val="clear" w:color="auto" w:fill="ffffff"/>
        <w:rPr>
          <w:bCs/>
          <w:strike/>
        </w:rPr>
      </w:pPr>
      <w:r>
        <w:rPr>
          <w:bCs/>
        </w:rPr>
        <w:t xml:space="preserve"> Дата подготовки обоснования НМЦК: 04.08</w:t>
      </w:r>
      <w:r>
        <w:rPr>
          <w:bCs/>
        </w:rPr>
        <w:t xml:space="preserve">.2026</w:t>
      </w:r>
      <w:r>
        <w:rPr>
          <w:bCs/>
          <w:strike/>
        </w:rPr>
      </w:r>
      <w:r>
        <w:rPr>
          <w:bCs/>
          <w:strike/>
        </w:rPr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</w:pPr>
      <w:r>
        <w:rPr>
          <w:bCs/>
          <w:sz w:val="28"/>
          <w:szCs w:val="28"/>
        </w:rPr>
        <w:t xml:space="preserve">           </w:t>
      </w:r>
      <w:r>
        <w:rPr>
          <w:bCs/>
        </w:rPr>
        <w:t xml:space="preserve">Приложение: Расчет начальной (максимальной) цены контракта.</w:t>
      </w:r>
      <w:r/>
    </w:p>
    <w:p>
      <w:r/>
      <w:r/>
    </w:p>
    <w:p>
      <w:r/>
      <w:r/>
    </w:p>
    <w:p>
      <w:r/>
      <w:r/>
    </w:p>
    <w:p>
      <w:pPr>
        <w:rPr>
          <w:b/>
        </w:rPr>
        <w:outlineLvl w:val="1"/>
      </w:pPr>
      <w:r>
        <w:rPr>
          <w:b/>
        </w:rPr>
        <w:t xml:space="preserve">          Работник контрактной службы:</w:t>
      </w:r>
      <w:r>
        <w:rPr>
          <w:b/>
        </w:rPr>
      </w:r>
      <w:r>
        <w:rPr>
          <w:b/>
        </w:rPr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879"/>
        <w:gridCol w:w="170"/>
        <w:gridCol w:w="936"/>
        <w:gridCol w:w="397"/>
        <w:gridCol w:w="369"/>
        <w:gridCol w:w="397"/>
        <w:gridCol w:w="509"/>
        <w:gridCol w:w="170"/>
        <w:gridCol w:w="1333"/>
      </w:tblGrid>
      <w:tr>
        <w:tblPrEx/>
        <w:trPr/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98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н</w:t>
            </w:r>
            <w:r>
              <w:t xml:space="preserve">ачальник</w:t>
            </w:r>
            <w:r>
              <w:t xml:space="preserve">а</w:t>
            </w:r>
            <w:r>
              <w:t xml:space="preserve"> </w:t>
            </w:r>
            <w:r>
              <w:t xml:space="preserve">финансово экономического отдела</w:t>
            </w:r>
            <w:r/>
          </w:p>
        </w:tc>
      </w:tr>
      <w:tr>
        <w:tblPrEx/>
        <w:trPr/>
        <w:tc>
          <w:tcPr>
            <w:gridSpan w:val="12"/>
            <w:tcW w:w="5982" w:type="dxa"/>
            <w:textDirection w:val="lrTb"/>
            <w:noWrap w:val="false"/>
          </w:tcPr>
          <w:p>
            <w:pPr>
              <w:jc w:val="center"/>
            </w:pPr>
            <w:r>
              <w:t xml:space="preserve">(должность)</w:t>
            </w:r>
            <w:r/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/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И.С. Чорнаморян</w:t>
            </w:r>
            <w:r/>
          </w:p>
        </w:tc>
        <w:tc>
          <w:tcPr>
            <w:tcW w:w="170" w:type="dxa"/>
            <w:vAlign w:val="bottom"/>
            <w:textDirection w:val="lrTb"/>
            <w:noWrap w:val="false"/>
          </w:tcPr>
          <w:p>
            <w:r>
              <w:t xml:space="preserve">/</w:t>
            </w:r>
            <w:r/>
          </w:p>
        </w:tc>
      </w:tr>
      <w:tr>
        <w:tblPrEx/>
        <w:trPr>
          <w:gridAfter w:val="1"/>
        </w:trPr>
        <w:tc>
          <w:tcPr>
            <w:gridSpan w:val="11"/>
            <w:tcW w:w="464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(подпись/расшифровка подписи)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gridAfter w:val="3"/>
        </w:trPr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r>
              <w:t xml:space="preserve">”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августа</w:t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>
              <w:t xml:space="preserve">6</w:t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г</w:t>
            </w:r>
            <w:r>
              <w:t xml:space="preserve">.</w:t>
            </w:r>
            <w:r/>
          </w:p>
        </w:tc>
      </w:tr>
    </w:tbl>
    <w:p>
      <w:pPr>
        <w:jc w:val="both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r/>
      <w:r/>
    </w:p>
    <w:p>
      <w:pPr>
        <w:pStyle w:val="866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ротоколу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начальной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максимальной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цены контракта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0"/>
        <w:jc w:val="center"/>
        <w:rPr>
          <w:rFonts w:ascii="Times New Roman" w:hAnsi="Times New Roman" w:cs="Times New Roman"/>
          <w:b/>
          <w:sz w:val="24"/>
          <w:szCs w:val="24"/>
        </w:rPr>
      </w:pPr>
      <w:r/>
      <w:bookmarkStart w:id="0" w:name="P522"/>
      <w:r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Расчет начальной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(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cs="Times New Roman"/>
          <w:b/>
          <w:sz w:val="24"/>
          <w:szCs w:val="24"/>
        </w:rPr>
        <w:t xml:space="preserve">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объекту: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Выполнение работ по текущему ремонту помещений в здании, расположенном по адресу: Владимирская область, г. Ковров, ул. Лопатина, д. 48 (замена радиаторов отопления)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b/>
        </w:rPr>
      </w:pPr>
      <w:r>
        <w:rPr>
          <w:b/>
        </w:rPr>
        <w:t xml:space="preserve">Используемый метод определения начальной (максимальной) цены контракта (НМЦК) с обоснованием:</w:t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В соответствии</w:t>
      </w:r>
      <w:r>
        <w:t xml:space="preserve"> со статье</w:t>
      </w:r>
      <w:r>
        <w:t xml:space="preserve">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НМЦК определяется и обосновывается Заказчиком посредством применения проектно-сметного метода.</w:t>
      </w:r>
      <w:r>
        <w:t xml:space="preserve"> Расчет производится в соответствии с разделом </w:t>
      </w:r>
      <w:r>
        <w:rPr>
          <w:lang w:val="en-US"/>
        </w:rPr>
        <w:t xml:space="preserve">IV</w:t>
      </w:r>
      <w:r>
        <w:t xml:space="preserve"> Приказа </w:t>
      </w:r>
      <w:r>
        <w:t xml:space="preserve">Минстроя России от 23.12.2019 </w:t>
      </w:r>
      <w:r>
        <w:t xml:space="preserve">№</w:t>
      </w:r>
      <w:r>
        <w:t xml:space="preserve"> 841/</w:t>
      </w:r>
      <w:r>
        <w:t xml:space="preserve">пр</w:t>
      </w:r>
      <w:r>
        <w:t xml:space="preserve"> </w:t>
      </w:r>
      <w:r>
        <w:t xml:space="preserve">«</w:t>
      </w:r>
      <w:r>
        <w:t xml:space="preserve"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</w:t>
      </w:r>
      <w:r>
        <w:t xml:space="preserve">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</w:t>
      </w:r>
      <w:r>
        <w:t xml:space="preserve">» (далее Порядок).</w:t>
      </w:r>
      <w:r/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Расчет составлен на основании следующих документов, являющихся приложением к настоящему извещению об осуществлении заку</w:t>
      </w:r>
      <w:r>
        <w:rPr>
          <w:sz w:val="24"/>
          <w:szCs w:val="24"/>
          <w:highlight w:val="none"/>
        </w:rPr>
        <w:t xml:space="preserve">пки: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Ведомость объемов работ.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Локальный сметный расчёт (смета) № 1, составленный ресурсно-индексным методом в программном комплексе «</w:t>
      </w:r>
      <w:r>
        <w:rPr>
          <w:sz w:val="24"/>
          <w:szCs w:val="24"/>
        </w:rPr>
        <w:t xml:space="preserve">ПК РИК (вер. 1.3.260427)</w:t>
      </w:r>
      <w:r>
        <w:rPr>
          <w:sz w:val="24"/>
          <w:szCs w:val="24"/>
        </w:rPr>
        <w:t xml:space="preserve">» на II квартал 2026 года.</w:t>
      </w:r>
      <w:r>
        <w:rPr>
          <w:sz w:val="24"/>
          <w:szCs w:val="24"/>
        </w:rPr>
        <w:t xml:space="preserve"> И приведен к ценам на III квартал 2026 года.</w:t>
      </w:r>
      <w:r>
        <w:rPr>
          <w:sz w:val="24"/>
          <w:szCs w:val="24"/>
        </w:rPr>
      </w:r>
    </w:p>
    <w:p>
      <w:pPr>
        <w:ind w:firstLine="0"/>
        <w:jc w:val="both"/>
      </w:pPr>
      <w:r/>
      <w:r/>
    </w:p>
    <w:tbl>
      <w:tblPr>
        <w:tblStyle w:val="875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1701"/>
        <w:gridCol w:w="1134"/>
        <w:gridCol w:w="1559"/>
        <w:gridCol w:w="1276"/>
        <w:gridCol w:w="1559"/>
      </w:tblGrid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Наименование работ и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Стоимость работ в ценах на дату составления сметы (I квартал 2026 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Индекс фактической инфляции (К1)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Стоимость работ в ценах на дату формирования НМЦК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Индекс прогнозной инфляции на период выполнения работ (К2)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Стоимость работ с учётом индексации (гр. 4 × гр. 5)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Строительные (ремонтные) работы по локальной смете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243 584,61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1,0000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243 584,61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243 584,61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НДС (22%)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34401,18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34401,18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34401,18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ВСЕГО с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277 985,79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277 985,79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277 985,79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03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Дефлятор на 3 кв.2026г. К деф.=1,0135</w:t>
            </w:r>
            <w:r/>
            <w:r/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3 752,81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3 752,81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3 752,81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03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ВСЕГО по смете с дефлятором</w:t>
            </w:r>
            <w:r/>
            <w:r/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281 738,60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281 738,60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281 738,60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</w:tbl>
    <w:p>
      <w:pPr>
        <w:ind w:firstLine="709"/>
        <w:jc w:val="both"/>
      </w:pPr>
      <w:r/>
      <w:r/>
    </w:p>
    <w:p>
      <w:pPr>
        <w:ind w:firstLine="709"/>
        <w:jc w:val="both"/>
        <w:rPr>
          <w:rFonts w:ascii="Times New Roman" w:hAnsi="Times New Roman" w:eastAsia="Times New Roman" w:cs="Times New Roman"/>
          <w:color w:val="0f111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Период выполнения работ: август </w:t>
      </w:r>
      <w:r>
        <w:rPr>
          <w:rFonts w:ascii="Times New Roman" w:hAnsi="Times New Roman" w:eastAsia="Times New Roman" w:cs="Times New Roman"/>
          <w:b/>
          <w:color w:val="0f1115"/>
          <w:sz w:val="24"/>
        </w:rPr>
        <w:t xml:space="preserve">— сентябрь 2026 года</w:t>
      </w:r>
      <w:r>
        <w:rPr>
          <w:rFonts w:ascii="Times New Roman" w:hAnsi="Times New Roman" w:eastAsia="Times New Roman" w:cs="Times New Roman"/>
          <w:color w:val="0f1115"/>
          <w:sz w:val="24"/>
        </w:rPr>
        <w:t xml:space="preserve"> (3 квартал 2026 года).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highlight w:val="none"/>
        </w:rPr>
      </w:r>
    </w:p>
    <w:p>
      <w:pPr>
        <w:pStyle w:val="685"/>
        <w:ind w:left="0" w:right="0" w:firstLine="0"/>
        <w:jc w:val="both"/>
        <w:spacing w:before="480" w:after="240"/>
        <w:shd w:val="clear" w:color="ffffff" w:fill="ffffff"/>
        <w:rPr>
          <w:rFonts w:ascii="Times New Roman" w:hAnsi="Times New Roman" w:cs="Times New Roman"/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  <w:szCs w:val="24"/>
        </w:rPr>
        <w:t xml:space="preserve">Результат расчёта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0" w:right="0" w:firstLine="0"/>
        <w:jc w:val="both"/>
        <w:spacing w:before="240" w:after="240"/>
        <w:shd w:val="clear" w:color="ffffff" w:fill="ffffff"/>
        <w:rPr>
          <w:rFonts w:ascii="Times New Roman" w:hAnsi="Times New Roman" w:cs="Times New Roman"/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  <w:szCs w:val="24"/>
        </w:rPr>
        <w:t xml:space="preserve">Начальная (максимальная) цена контракта (НМЦК) определена проектно-сметным методом, с учетом положений Порядка,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  <w:szCs w:val="24"/>
        </w:rPr>
        <w:t xml:space="preserve"> НМЦК составляет 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  <w:szCs w:val="24"/>
        </w:rPr>
        <w:t xml:space="preserve"> 281 738,60 руб. (двести восемьдесят одна тысяча семьсот тридцать восемь рублей 60 копеек копеек)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  <w:szCs w:val="24"/>
        </w:rPr>
        <w:t xml:space="preserve">, что подтверждается локальным сметным расчётом № 1.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rPr>
          <w:b w:val="0"/>
          <w:bCs w:val="0"/>
          <w:sz w:val="24"/>
          <w:szCs w:val="24"/>
          <w:highlight w:val="none"/>
        </w:rPr>
        <w:outlineLvl w:val="1"/>
      </w:pPr>
      <w:r>
        <w:rPr>
          <w:b w:val="0"/>
          <w:bCs w:val="0"/>
          <w:sz w:val="24"/>
          <w:szCs w:val="24"/>
        </w:rPr>
        <w:t xml:space="preserve">Работник контрактной службы: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rPr>
          <w:b/>
          <w:bCs/>
        </w:rPr>
        <w:outlineLvl w:val="1"/>
      </w:pPr>
      <w:r>
        <w:rPr>
          <w:highlight w:val="none"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879"/>
        <w:gridCol w:w="170"/>
        <w:gridCol w:w="936"/>
        <w:gridCol w:w="397"/>
        <w:gridCol w:w="369"/>
        <w:gridCol w:w="397"/>
        <w:gridCol w:w="509"/>
        <w:gridCol w:w="170"/>
        <w:gridCol w:w="1333"/>
      </w:tblGrid>
      <w:tr>
        <w:tblPrEx/>
        <w:trPr/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98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н</w:t>
            </w:r>
            <w:r>
              <w:t xml:space="preserve">ачальник</w:t>
            </w:r>
            <w:r>
              <w:t xml:space="preserve">а</w:t>
            </w:r>
            <w:r>
              <w:t xml:space="preserve"> </w:t>
            </w:r>
            <w:r>
              <w:t xml:space="preserve">финансово экономического отдела</w:t>
            </w:r>
            <w:r/>
          </w:p>
        </w:tc>
      </w:tr>
      <w:tr>
        <w:tblPrEx/>
        <w:trPr/>
        <w:tc>
          <w:tcPr>
            <w:gridSpan w:val="12"/>
            <w:tcW w:w="598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/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0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И.С. Чорнаморян</w:t>
            </w:r>
            <w:r/>
          </w:p>
        </w:tc>
        <w:tc>
          <w:tcPr>
            <w:tcW w:w="170" w:type="dxa"/>
            <w:vAlign w:val="bottom"/>
            <w:textDirection w:val="lrTb"/>
            <w:noWrap w:val="false"/>
          </w:tcPr>
          <w:p>
            <w:r>
              <w:t xml:space="preserve">/</w:t>
            </w:r>
            <w:r/>
          </w:p>
        </w:tc>
      </w:tr>
      <w:tr>
        <w:tblPrEx/>
        <w:trPr>
          <w:gridAfter w:val="1"/>
        </w:trPr>
        <w:tc>
          <w:tcPr>
            <w:gridSpan w:val="11"/>
            <w:tcW w:w="464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(подпись/расшифровка подписи)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gridAfter w:val="3"/>
        </w:trPr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24</w:t>
            </w:r>
            <w:r/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r>
              <w:t xml:space="preserve">”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марта</w:t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26</w:t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г</w:t>
            </w:r>
            <w:r>
              <w:t xml:space="preserve">.</w:t>
            </w:r>
            <w:r/>
          </w:p>
        </w:tc>
      </w:tr>
    </w:tbl>
    <w:p>
      <w:pPr>
        <w:outlineLvl w:val="1"/>
      </w:pPr>
      <w:r/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709" w:right="10080"/>
      </w:pPr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567" w:bottom="426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egoe UI">
    <w:panose1 w:val="020B0502040504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2">
    <w:name w:val="Heading 1 Char"/>
    <w:basedOn w:val="856"/>
    <w:link w:val="855"/>
    <w:uiPriority w:val="9"/>
    <w:rPr>
      <w:rFonts w:ascii="Arial" w:hAnsi="Arial" w:eastAsia="Arial" w:cs="Arial"/>
      <w:sz w:val="40"/>
      <w:szCs w:val="40"/>
    </w:rPr>
  </w:style>
  <w:style w:type="paragraph" w:styleId="683">
    <w:name w:val="Heading 2"/>
    <w:basedOn w:val="854"/>
    <w:next w:val="854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4">
    <w:name w:val="Heading 2 Char"/>
    <w:basedOn w:val="856"/>
    <w:link w:val="683"/>
    <w:uiPriority w:val="9"/>
    <w:rPr>
      <w:rFonts w:ascii="Arial" w:hAnsi="Arial" w:eastAsia="Arial" w:cs="Arial"/>
      <w:sz w:val="34"/>
    </w:rPr>
  </w:style>
  <w:style w:type="paragraph" w:styleId="685">
    <w:name w:val="Heading 3"/>
    <w:basedOn w:val="854"/>
    <w:next w:val="854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6">
    <w:name w:val="Heading 3 Char"/>
    <w:basedOn w:val="856"/>
    <w:link w:val="685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4"/>
    <w:next w:val="854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basedOn w:val="856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4"/>
    <w:next w:val="854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basedOn w:val="856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4"/>
    <w:next w:val="854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basedOn w:val="856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4"/>
    <w:next w:val="854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basedOn w:val="85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4"/>
    <w:next w:val="854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basedOn w:val="856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4"/>
    <w:next w:val="854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basedOn w:val="856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4"/>
    <w:next w:val="854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basedOn w:val="856"/>
    <w:link w:val="700"/>
    <w:uiPriority w:val="10"/>
    <w:rPr>
      <w:sz w:val="48"/>
      <w:szCs w:val="48"/>
    </w:rPr>
  </w:style>
  <w:style w:type="paragraph" w:styleId="702">
    <w:name w:val="Subtitle"/>
    <w:basedOn w:val="854"/>
    <w:next w:val="854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basedOn w:val="856"/>
    <w:link w:val="702"/>
    <w:uiPriority w:val="11"/>
    <w:rPr>
      <w:sz w:val="24"/>
      <w:szCs w:val="24"/>
    </w:rPr>
  </w:style>
  <w:style w:type="paragraph" w:styleId="704">
    <w:name w:val="Quote"/>
    <w:basedOn w:val="854"/>
    <w:next w:val="854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4"/>
    <w:next w:val="854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character" w:styleId="708">
    <w:name w:val="Header Char"/>
    <w:basedOn w:val="856"/>
    <w:link w:val="863"/>
    <w:uiPriority w:val="99"/>
  </w:style>
  <w:style w:type="character" w:styleId="709">
    <w:name w:val="Footer Char"/>
    <w:basedOn w:val="856"/>
    <w:link w:val="877"/>
    <w:uiPriority w:val="99"/>
  </w:style>
  <w:style w:type="paragraph" w:styleId="710">
    <w:name w:val="Caption"/>
    <w:basedOn w:val="854"/>
    <w:next w:val="854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877"/>
    <w:uiPriority w:val="35"/>
  </w:style>
  <w:style w:type="table" w:styleId="712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6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6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  <w:rPr>
      <w:rFonts w:eastAsia="Calibri"/>
      <w:sz w:val="24"/>
      <w:szCs w:val="24"/>
    </w:rPr>
  </w:style>
  <w:style w:type="paragraph" w:styleId="855">
    <w:name w:val="Heading 1"/>
    <w:basedOn w:val="854"/>
    <w:next w:val="854"/>
    <w:link w:val="876"/>
    <w:uiPriority w:val="9"/>
    <w:qFormat/>
    <w:pPr>
      <w:keepNext/>
      <w:spacing w:before="240" w:after="60"/>
      <w:widowControl w:val="off"/>
      <w:outlineLvl w:val="0"/>
    </w:pPr>
    <w:rPr>
      <w:rFonts w:ascii="Arial" w:hAnsi="Arial" w:eastAsia="Times New Roman"/>
      <w:b/>
      <w:bCs/>
      <w:sz w:val="32"/>
      <w:szCs w:val="32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character" w:styleId="859">
    <w:name w:val="Strong"/>
    <w:uiPriority w:val="99"/>
    <w:rPr>
      <w:rFonts w:cs="Times New Roman"/>
      <w:b/>
      <w:bCs/>
    </w:rPr>
  </w:style>
  <w:style w:type="paragraph" w:styleId="86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61">
    <w:name w:val="Body Text Indent 2"/>
    <w:basedOn w:val="854"/>
    <w:link w:val="862"/>
    <w:pPr>
      <w:ind w:left="283"/>
      <w:spacing w:after="120" w:line="480" w:lineRule="auto"/>
    </w:pPr>
    <w:rPr>
      <w:rFonts w:eastAsia="Times New Roman"/>
    </w:rPr>
  </w:style>
  <w:style w:type="character" w:styleId="862" w:customStyle="1">
    <w:name w:val="Основной текст с отступом 2 Знак"/>
    <w:link w:val="861"/>
    <w:rPr>
      <w:sz w:val="24"/>
      <w:szCs w:val="24"/>
      <w:lang w:val="ru-RU" w:eastAsia="ru-RU" w:bidi="ar-SA"/>
    </w:rPr>
  </w:style>
  <w:style w:type="paragraph" w:styleId="863">
    <w:name w:val="Header"/>
    <w:basedOn w:val="854"/>
    <w:link w:val="864"/>
    <w:uiPriority w:val="99"/>
    <w:semiHidden/>
    <w:pPr>
      <w:tabs>
        <w:tab w:val="center" w:pos="4677" w:leader="none"/>
        <w:tab w:val="right" w:pos="9355" w:leader="none"/>
      </w:tabs>
    </w:pPr>
    <w:rPr>
      <w:rFonts w:ascii="Calibri" w:hAnsi="Calibri" w:eastAsia="Times New Roman"/>
      <w:sz w:val="22"/>
      <w:szCs w:val="22"/>
      <w:lang w:eastAsia="en-US"/>
    </w:rPr>
  </w:style>
  <w:style w:type="character" w:styleId="864" w:customStyle="1">
    <w:name w:val="Верхний колонтитул Знак"/>
    <w:link w:val="863"/>
    <w:semiHidden/>
    <w:rPr>
      <w:rFonts w:ascii="Calibri" w:hAnsi="Calibri"/>
      <w:sz w:val="22"/>
      <w:szCs w:val="22"/>
      <w:lang w:val="ru-RU" w:eastAsia="en-US" w:bidi="ar-SA"/>
    </w:rPr>
  </w:style>
  <w:style w:type="character" w:styleId="865">
    <w:name w:val="Hyperlink"/>
    <w:uiPriority w:val="99"/>
    <w:rPr>
      <w:rFonts w:cs="Times New Roman"/>
      <w:color w:val="0000ff"/>
      <w:u w:val="single"/>
    </w:rPr>
  </w:style>
  <w:style w:type="paragraph" w:styleId="866" w:customStyle="1">
    <w:name w:val="ConsPlusNormal"/>
    <w:link w:val="870"/>
    <w:pPr>
      <w:ind w:firstLine="720"/>
      <w:widowControl w:val="off"/>
    </w:pPr>
    <w:rPr>
      <w:rFonts w:ascii="Arial" w:hAnsi="Arial" w:cs="Arial"/>
    </w:rPr>
  </w:style>
  <w:style w:type="paragraph" w:styleId="867" w:customStyle="1">
    <w:name w:val="PEA"/>
    <w:pPr>
      <w:ind w:firstLine="720"/>
      <w:widowControl w:val="off"/>
    </w:pPr>
    <w:rPr>
      <w:rFonts w:ascii="Arial" w:hAnsi="Arial" w:cs="Arial"/>
    </w:rPr>
  </w:style>
  <w:style w:type="paragraph" w:styleId="868">
    <w:name w:val="Body Text"/>
    <w:basedOn w:val="854"/>
    <w:link w:val="869"/>
    <w:pPr>
      <w:spacing w:after="120"/>
    </w:pPr>
    <w:rPr>
      <w:sz w:val="18"/>
      <w:szCs w:val="18"/>
    </w:rPr>
  </w:style>
  <w:style w:type="character" w:styleId="869" w:customStyle="1">
    <w:name w:val="Основной текст Знак"/>
    <w:link w:val="868"/>
    <w:rPr>
      <w:rFonts w:eastAsia="Calibri"/>
      <w:sz w:val="18"/>
      <w:szCs w:val="18"/>
    </w:rPr>
  </w:style>
  <w:style w:type="character" w:styleId="870" w:customStyle="1">
    <w:name w:val="ConsPlusNormal Знак"/>
    <w:link w:val="866"/>
    <w:rPr>
      <w:rFonts w:ascii="Arial" w:hAnsi="Arial" w:cs="Arial"/>
      <w:lang w:val="ru-RU" w:eastAsia="ru-RU" w:bidi="ar-SA"/>
    </w:rPr>
  </w:style>
  <w:style w:type="paragraph" w:styleId="871">
    <w:name w:val="Balloon Text"/>
    <w:basedOn w:val="854"/>
    <w:link w:val="872"/>
    <w:rPr>
      <w:rFonts w:ascii="Segoe UI" w:hAnsi="Segoe UI" w:cs="Segoe UI"/>
      <w:sz w:val="18"/>
      <w:szCs w:val="18"/>
    </w:rPr>
  </w:style>
  <w:style w:type="character" w:styleId="872" w:customStyle="1">
    <w:name w:val="Текст выноски Знак"/>
    <w:link w:val="871"/>
    <w:rPr>
      <w:rFonts w:ascii="Segoe UI" w:hAnsi="Segoe UI" w:eastAsia="Calibri" w:cs="Segoe UI"/>
      <w:sz w:val="18"/>
      <w:szCs w:val="18"/>
    </w:rPr>
  </w:style>
  <w:style w:type="paragraph" w:styleId="873">
    <w:name w:val="Document Map"/>
    <w:basedOn w:val="854"/>
    <w:link w:val="874"/>
    <w:rPr>
      <w:rFonts w:ascii="Tahoma" w:hAnsi="Tahoma" w:cs="Tahoma"/>
      <w:sz w:val="16"/>
      <w:szCs w:val="16"/>
    </w:rPr>
  </w:style>
  <w:style w:type="character" w:styleId="874" w:customStyle="1">
    <w:name w:val="Схема документа Знак"/>
    <w:basedOn w:val="856"/>
    <w:link w:val="873"/>
    <w:rPr>
      <w:rFonts w:ascii="Tahoma" w:hAnsi="Tahoma" w:eastAsia="Calibri" w:cs="Tahoma"/>
      <w:sz w:val="16"/>
      <w:szCs w:val="16"/>
    </w:rPr>
  </w:style>
  <w:style w:type="table" w:styleId="875">
    <w:name w:val="Table Grid"/>
    <w:basedOn w:val="85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6" w:customStyle="1">
    <w:name w:val="Заголовок 1 Знак"/>
    <w:basedOn w:val="856"/>
    <w:link w:val="855"/>
    <w:uiPriority w:val="99"/>
    <w:rPr>
      <w:rFonts w:ascii="Arial" w:hAnsi="Arial"/>
      <w:b/>
      <w:bCs/>
      <w:sz w:val="32"/>
      <w:szCs w:val="32"/>
    </w:rPr>
  </w:style>
  <w:style w:type="paragraph" w:styleId="877">
    <w:name w:val="Footer"/>
    <w:basedOn w:val="854"/>
    <w:link w:val="87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856"/>
    <w:link w:val="877"/>
    <w:rPr>
      <w:rFonts w:eastAsia="Calibri"/>
      <w:sz w:val="24"/>
      <w:szCs w:val="24"/>
    </w:rPr>
  </w:style>
  <w:style w:type="character" w:styleId="879" w:customStyle="1">
    <w:name w:val="spellchecker-word-highlight"/>
    <w:basedOn w:val="856"/>
  </w:style>
  <w:style w:type="paragraph" w:styleId="880">
    <w:name w:val="List Paragraph"/>
    <w:basedOn w:val="854"/>
    <w:uiPriority w:val="34"/>
    <w:qFormat/>
    <w:pPr>
      <w:ind w:left="708"/>
      <w:jc w:val="both"/>
    </w:pPr>
    <w:rPr>
      <w:rFonts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1931E-017A-4430-A80F-EDC8E53A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Управление Росреестра по Владимирской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</dc:title>
  <dc:creator>BelovAO</dc:creator>
  <cp:lastModifiedBy>i.chernomoryan</cp:lastModifiedBy>
  <cp:revision>27</cp:revision>
  <dcterms:created xsi:type="dcterms:W3CDTF">2024-02-17T08:58:00Z</dcterms:created>
  <dcterms:modified xsi:type="dcterms:W3CDTF">2026-08-04T14:06:12Z</dcterms:modified>
</cp:coreProperties>
</file>