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832"/>
        <w:ind w:left="0" w:firstLine="680"/>
        <w:jc w:val="right"/>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ar-SA"/>
        </w:rPr>
        <w:t xml:space="preserve">Приложение № 4</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left"/>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jc w:val="center"/>
        <w:spacing w:line="276" w:lineRule="auto"/>
        <w:rPr>
          <w:rFonts w:ascii="Times New Roman" w:hAnsi="Times New Roman" w:cs="Times New Roman"/>
          <w:b/>
          <w:bCs/>
          <w:color w:val="0f1115"/>
          <w:sz w:val="24"/>
          <w:szCs w:val="24"/>
          <w:highlight w:val="none"/>
        </w:rPr>
        <w:suppressLineNumbers w:val="0"/>
      </w:pPr>
      <w:r>
        <w:rPr>
          <w:rFonts w:ascii="Times New Roman" w:hAnsi="Times New Roman" w:eastAsia="Times New Roman" w:cs="Times New Roman"/>
          <w:b w:val="0"/>
          <w:bCs w:val="0"/>
          <w:color w:val="0f1115"/>
          <w:sz w:val="24"/>
          <w:szCs w:val="24"/>
        </w:rPr>
        <w:t xml:space="preserve">ГОСУДАРСТВЕННЫЙ КОНТРАКТ № ___</w:t>
      </w:r>
      <w:r>
        <w:rPr>
          <w:rFonts w:ascii="Times New Roman" w:hAnsi="Times New Roman" w:cs="Times New Roman"/>
          <w:b/>
          <w:bCs/>
          <w:color w:val="0f1115"/>
          <w:sz w:val="24"/>
          <w:szCs w:val="24"/>
          <w:highlight w:val="none"/>
        </w:rPr>
      </w:r>
      <w:r>
        <w:rPr>
          <w:rFonts w:ascii="Times New Roman" w:hAnsi="Times New Roman" w:cs="Times New Roman"/>
          <w:b/>
          <w:bCs/>
          <w:color w:val="0f1115"/>
          <w:sz w:val="24"/>
          <w:szCs w:val="24"/>
          <w:highlight w:val="none"/>
        </w:rPr>
      </w:r>
    </w:p>
    <w:p>
      <w:pPr>
        <w:contextualSpacing/>
        <w:ind w:firstLine="708"/>
        <w:jc w:val="center"/>
        <w:spacing w:line="276" w:lineRule="auto"/>
        <w:rPr>
          <w:rFonts w:ascii="Times New Roman" w:hAnsi="Times New Roman" w:cs="Times New Roman"/>
          <w:b w:val="0"/>
          <w:bCs w:val="0"/>
          <w:color w:val="0f1115"/>
          <w:sz w:val="24"/>
          <w:szCs w:val="24"/>
        </w:rPr>
        <w:suppressLineNumbers w:val="0"/>
      </w:pPr>
      <w:r>
        <w:rPr>
          <w:rFonts w:ascii="Times New Roman" w:hAnsi="Times New Roman" w:cs="Times New Roman"/>
          <w:b w:val="0"/>
          <w:bCs w:val="0"/>
          <w:color w:val="0f1115"/>
          <w:sz w:val="24"/>
          <w:szCs w:val="24"/>
        </w:rPr>
      </w:r>
      <w:r>
        <w:rPr>
          <w:rFonts w:ascii="Times New Roman" w:hAnsi="Times New Roman" w:cs="Times New Roman"/>
          <w:b w:val="0"/>
          <w:bCs w:val="0"/>
          <w:color w:val="0f1115"/>
          <w:sz w:val="24"/>
          <w:szCs w:val="24"/>
        </w:rPr>
        <w:t xml:space="preserve">Выполнение работ по текущему ремонту помещений в здании, расположенном по адресу: Владимирская область, г. Ковров, ул. Лопатина, д. 48 (замена радиаторов отопления)</w:t>
      </w:r>
      <w:r>
        <w:rPr>
          <w:rFonts w:ascii="Times New Roman" w:hAnsi="Times New Roman" w:cs="Times New Roman"/>
          <w:b w:val="0"/>
          <w:bCs w:val="0"/>
          <w:color w:val="0f1115"/>
          <w:sz w:val="24"/>
          <w:szCs w:val="24"/>
        </w:rPr>
      </w:r>
      <w:r>
        <w:rPr>
          <w:rFonts w:ascii="Times New Roman" w:hAnsi="Times New Roman" w:cs="Times New Roman"/>
          <w:b w:val="0"/>
          <w:bCs w:val="0"/>
          <w:color w:val="0f1115"/>
          <w:sz w:val="24"/>
          <w:szCs w:val="24"/>
        </w:rPr>
      </w:r>
    </w:p>
    <w:p>
      <w:pPr>
        <w:contextualSpacing/>
        <w:jc w:val="both"/>
        <w:spacing w:line="276" w:lineRule="auto"/>
        <w:rPr>
          <w:rFonts w:ascii="Times New Roman" w:hAnsi="Times New Roman" w:cs="Times New Roman"/>
          <w:sz w:val="24"/>
          <w:szCs w:val="24"/>
        </w:rPr>
        <w:suppressLineNumbers w:val="0"/>
      </w:pPr>
      <w:r>
        <w:rPr>
          <w:rFonts w:ascii="Times New Roman" w:hAnsi="Times New Roman" w:eastAsia="Times New Roman" w:cs="Times New Roman"/>
          <w:b w:val="0"/>
          <w:bCs w:val="0"/>
          <w:color w:val="0f1115"/>
          <w:sz w:val="24"/>
          <w:szCs w:val="24"/>
        </w:rPr>
      </w:r>
      <w:r>
        <w:rPr>
          <w:rFonts w:ascii="Times New Roman" w:hAnsi="Times New Roman" w:cs="Times New Roman"/>
          <w:sz w:val="24"/>
          <w:szCs w:val="24"/>
        </w:rPr>
      </w:r>
      <w:r>
        <w:rPr>
          <w:rFonts w:ascii="Times New Roman" w:hAnsi="Times New Roman" w:cs="Times New Roman"/>
          <w:sz w:val="24"/>
          <w:szCs w:val="24"/>
        </w:rPr>
      </w:r>
    </w:p>
    <w:p>
      <w:pPr>
        <w:contextualSpacing/>
        <w:jc w:val="center"/>
        <w:spacing w:line="276" w:lineRule="auto"/>
        <w:rPr>
          <w:rFonts w:ascii="Times New Roman" w:hAnsi="Times New Roman" w:cs="Times New Roman"/>
          <w:sz w:val="24"/>
          <w:szCs w:val="24"/>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261332781884033270100100080000000244</w:t>
      </w:r>
      <w:r>
        <w:rPr>
          <w:rFonts w:ascii="Times New Roman" w:hAnsi="Times New Roman" w:eastAsia="Times New Roman" w:cs="Times New Roman"/>
          <w:b w:val="0"/>
          <w:bCs w:val="0"/>
          <w:color w:val="0f1115"/>
          <w:sz w:val="24"/>
          <w:szCs w:val="24"/>
        </w:rPr>
        <w:br/>
      </w:r>
      <w:r>
        <w:rPr>
          <w:rFonts w:ascii="Times New Roman" w:hAnsi="Times New Roman" w:cs="Times New Roman"/>
          <w:sz w:val="24"/>
          <w:szCs w:val="24"/>
        </w:rPr>
      </w:r>
      <w:r>
        <w:rPr>
          <w:rFonts w:ascii="Times New Roman" w:hAnsi="Times New Roman" w:cs="Times New Roman"/>
          <w:sz w:val="24"/>
          <w:szCs w:val="24"/>
        </w:rPr>
      </w:r>
    </w:p>
    <w:p>
      <w:pPr>
        <w:contextualSpacing/>
        <w:jc w:val="both"/>
        <w:spacing w:line="276" w:lineRule="auto"/>
        <w:rPr>
          <w:rFonts w:ascii="Times New Roman" w:hAnsi="Times New Roman" w:eastAsia="Times New Roman" w:cs="Times New Roman"/>
          <w:sz w:val="24"/>
          <w:szCs w:val="24"/>
          <w:highlight w:val="none"/>
        </w:rPr>
        <w:suppressLineNumbers w:val="0"/>
      </w:pPr>
      <w:r>
        <w:rPr>
          <w:rFonts w:ascii="Times New Roman" w:hAnsi="Times New Roman" w:eastAsia="Times New Roman" w:cs="Times New Roman"/>
          <w:b w:val="0"/>
          <w:bCs w:val="0"/>
          <w:color w:val="0f1115"/>
          <w:sz w:val="24"/>
          <w:szCs w:val="24"/>
        </w:rPr>
        <w:t xml:space="preserve">г. Владимир</w:t>
        <w:tab/>
        <w:tab/>
        <w:tab/>
        <w:tab/>
        <w:tab/>
        <w:tab/>
        <w:tab/>
        <w:t xml:space="preserve"> «_</w:t>
      </w:r>
      <w:r>
        <w:rPr>
          <w:rFonts w:ascii="Times New Roman" w:hAnsi="Times New Roman" w:eastAsia="Times New Roman" w:cs="Times New Roman"/>
          <w:b w:val="0"/>
          <w:bCs w:val="0"/>
          <w:color w:val="0f1115"/>
          <w:sz w:val="24"/>
          <w:szCs w:val="24"/>
        </w:rPr>
        <w:t xml:space="preserve">» __________ 20</w:t>
      </w:r>
      <w:r>
        <w:rPr>
          <w:rFonts w:ascii="Times New Roman" w:hAnsi="Times New Roman" w:eastAsia="Times New Roman" w:cs="Times New Roman"/>
          <w:b w:val="0"/>
          <w:bCs w:val="0"/>
          <w:color w:val="0f1115"/>
          <w:sz w:val="24"/>
          <w:szCs w:val="24"/>
        </w:rPr>
        <w:t xml:space="preserve"> __г.</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pPr>
        <w:contextualSpacing/>
        <w:jc w:val="both"/>
        <w:spacing w:line="276"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sz w:val="24"/>
          <w:szCs w:val="24"/>
          <w:highlight w:val="none"/>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12"/>
        <w:contextualSpacing/>
        <w:ind w:firstLine="540"/>
        <w:jc w:val="both"/>
        <w:spacing w:line="276" w:lineRule="auto"/>
        <w:rPr>
          <w:rFonts w:ascii="Times New Roman" w:hAnsi="Times New Roman" w:cs="Times New Roman"/>
          <w:sz w:val="24"/>
          <w:szCs w:val="24"/>
          <w:highlight w:val="none"/>
        </w:rPr>
        <w:suppressLineNumbers w:val="0"/>
      </w:pPr>
      <w:r>
        <w:rPr>
          <w:rFonts w:ascii="Times New Roman" w:hAnsi="Times New Roman" w:eastAsia="Times New Roman" w:cs="Times New Roman"/>
          <w:b w:val="0"/>
          <w:bCs w:val="0"/>
          <w:sz w:val="24"/>
          <w:szCs w:val="24"/>
        </w:rPr>
        <w:t xml:space="preserve">Управление Федеральной службы государственной регистрации, кадастра и картографии по Владимирской области</w:t>
      </w:r>
      <w:r>
        <w:rPr>
          <w:rFonts w:ascii="Times New Roman" w:hAnsi="Times New Roman" w:eastAsia="Times New Roman" w:cs="Times New Roman"/>
          <w:b w:val="0"/>
          <w:bCs w:val="0"/>
          <w:sz w:val="24"/>
          <w:szCs w:val="24"/>
        </w:rPr>
        <w:t xml:space="preserve"> (Управление Росреестра по Владимирской области)</w:t>
      </w:r>
      <w:r>
        <w:rPr>
          <w:rFonts w:ascii="Times New Roman" w:hAnsi="Times New Roman" w:eastAsia="Times New Roman" w:cs="Times New Roman"/>
          <w:b w:val="0"/>
          <w:bCs w:val="0"/>
          <w:sz w:val="24"/>
          <w:szCs w:val="24"/>
        </w:rPr>
        <w:t xml:space="preserve">, именуемый  в дальнейшем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Заказчик</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в лице исполняющего обязанности руководителя Киреева Александра Сергеевича, действующего на основании Приказа от 30.06.2026 № 675-ОК, с одно</w:t>
      </w:r>
      <w:r>
        <w:rPr>
          <w:rFonts w:ascii="Times New Roman" w:hAnsi="Times New Roman" w:eastAsia="Times New Roman" w:cs="Times New Roman"/>
          <w:b w:val="0"/>
          <w:bCs w:val="0"/>
          <w:sz w:val="24"/>
          <w:szCs w:val="24"/>
        </w:rPr>
        <w:t xml:space="preserve">й стороны, и </w:t>
      </w:r>
      <w:r>
        <w:rPr>
          <w:rFonts w:ascii="Times New Roman" w:hAnsi="Times New Roman" w:eastAsia="Times New Roman" w:cs="Times New Roman"/>
          <w:b w:val="0"/>
          <w:bCs w:val="0"/>
          <w:sz w:val="24"/>
          <w:szCs w:val="24"/>
        </w:rPr>
        <w:t xml:space="preserve">____________________ </w:t>
      </w:r>
      <w:r>
        <w:rPr>
          <w:rFonts w:ascii="Times New Roman" w:hAnsi="Times New Roman" w:eastAsia="Times New Roman" w:cs="Times New Roman"/>
          <w:b w:val="0"/>
          <w:bCs w:val="0"/>
          <w:sz w:val="24"/>
          <w:szCs w:val="24"/>
        </w:rPr>
        <w:t xml:space="preserve">, именуемый в дальнейшем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Подрядчик</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в лице </w:t>
      </w:r>
      <w:r>
        <w:rPr>
          <w:rFonts w:ascii="Times New Roman" w:hAnsi="Times New Roman" w:eastAsia="Times New Roman" w:cs="Times New Roman"/>
          <w:b w:val="0"/>
          <w:bCs w:val="0"/>
          <w:sz w:val="24"/>
          <w:szCs w:val="24"/>
        </w:rPr>
        <w:t xml:space="preserve">____________________ </w:t>
      </w:r>
      <w:r>
        <w:rPr>
          <w:rFonts w:ascii="Times New Roman" w:hAnsi="Times New Roman" w:eastAsia="Times New Roman" w:cs="Times New Roman"/>
          <w:b w:val="0"/>
          <w:bCs w:val="0"/>
          <w:sz w:val="24"/>
          <w:szCs w:val="24"/>
        </w:rPr>
        <w:t xml:space="preserve"> , действующего на основании </w:t>
      </w:r>
      <w:r>
        <w:rPr>
          <w:rFonts w:ascii="Times New Roman" w:hAnsi="Times New Roman" w:eastAsia="Times New Roman" w:cs="Times New Roman"/>
          <w:b w:val="0"/>
          <w:bCs w:val="0"/>
          <w:sz w:val="24"/>
          <w:szCs w:val="24"/>
        </w:rPr>
        <w:t xml:space="preserve">____________________ </w:t>
      </w:r>
      <w:r>
        <w:rPr>
          <w:rFonts w:ascii="Times New Roman" w:hAnsi="Times New Roman" w:eastAsia="Times New Roman" w:cs="Times New Roman"/>
          <w:b w:val="0"/>
          <w:bCs w:val="0"/>
          <w:sz w:val="24"/>
          <w:szCs w:val="24"/>
        </w:rPr>
        <w:t xml:space="preserve">, с др</w:t>
      </w:r>
      <w:r>
        <w:rPr>
          <w:rFonts w:ascii="Times New Roman" w:hAnsi="Times New Roman" w:eastAsia="Times New Roman" w:cs="Times New Roman"/>
          <w:b w:val="0"/>
          <w:bCs w:val="0"/>
          <w:sz w:val="24"/>
          <w:szCs w:val="24"/>
        </w:rPr>
        <w:t xml:space="preserve">угой стороны, вместе именуемые в дальнейшем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Стороны</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в   на основании пункта 4 части 1 статьи 93 Федерального  </w:t>
      </w:r>
      <w:hyperlink r:id="rId9" w:tooltip="consultantplus://offline/ref=AD6133AC4E27EF1EBECBAAECA40ECD728D07AE25E5358979D328F8A1245CF04E26FF850034834E9609F344833EW2WCI" w:history="1">
        <w:r>
          <w:rPr>
            <w:rFonts w:ascii="Times New Roman" w:hAnsi="Times New Roman" w:eastAsia="Times New Roman" w:cs="Times New Roman"/>
            <w:b w:val="0"/>
            <w:bCs w:val="0"/>
            <w:sz w:val="24"/>
            <w:szCs w:val="24"/>
          </w:rPr>
          <w:t xml:space="preserve">закона</w:t>
        </w:r>
      </w:hyperlink>
      <w:r>
        <w:rPr>
          <w:rFonts w:ascii="Times New Roman" w:hAnsi="Times New Roman" w:eastAsia="Times New Roman" w:cs="Times New Roman"/>
          <w:b w:val="0"/>
          <w:bCs w:val="0"/>
          <w:sz w:val="24"/>
          <w:szCs w:val="24"/>
        </w:rPr>
        <w:t xml:space="preserve">  от  5 апреля </w:t>
      </w:r>
      <w:r>
        <w:rPr>
          <w:rFonts w:ascii="Times New Roman" w:hAnsi="Times New Roman" w:eastAsia="Times New Roman" w:cs="Times New Roman"/>
          <w:b w:val="0"/>
          <w:bCs w:val="0"/>
          <w:sz w:val="24"/>
          <w:szCs w:val="24"/>
        </w:rPr>
        <w:t xml:space="preserve">2013 г</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44-ФЗ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О контрактной системе в сфере закупок  товаров,  работ,  услуг  для  обеспечения государственных и муниципальных нужд</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(далее - Федеральный  закон  </w:t>
      </w: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44-ФЗ</w:t>
      </w:r>
      <w:r>
        <w:rPr>
          <w:rFonts w:ascii="Times New Roman" w:hAnsi="Times New Roman" w:eastAsia="Times New Roman" w:cs="Times New Roman"/>
          <w:b w:val="0"/>
          <w:bCs w:val="0"/>
          <w:sz w:val="24"/>
          <w:szCs w:val="24"/>
        </w:rPr>
        <w:t xml:space="preserve">, Закон № 44-ФЗ</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rPr>
        <w:t xml:space="preserve">заключили настоящий государственный контракт (далее - Контракт) о нижеследующем.</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0" w:name="_ref_1-c45c77d52ae942"/>
      <w:r>
        <w:rPr>
          <w:rFonts w:ascii="Times New Roman" w:hAnsi="Times New Roman" w:eastAsia="Times New Roman" w:cs="Times New Roman"/>
          <w:b w:val="0"/>
          <w:bCs w:val="0"/>
          <w:sz w:val="24"/>
          <w:szCs w:val="24"/>
        </w:rPr>
        <w:t xml:space="preserve">Предмет контракта</w:t>
      </w:r>
      <w:bookmarkStart w:id="1" w:name="_ref_1-0055714389fd48"/>
      <w:r>
        <w:rPr>
          <w:rFonts w:ascii="Times New Roman" w:hAnsi="Times New Roman" w:eastAsia="Times New Roman" w:cs="Times New Roman"/>
          <w:b w:val="0"/>
          <w:bCs w:val="0"/>
          <w:sz w:val="24"/>
          <w:szCs w:val="24"/>
        </w:rPr>
      </w:r>
      <w:bookmarkEnd w:id="0"/>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71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color w:val="auto"/>
          <w:sz w:val="24"/>
          <w:szCs w:val="24"/>
          <w:lang w:val="ru-RU" w:eastAsia="ru-RU" w:bidi="ar-SA"/>
        </w:rPr>
        <w:t xml:space="preserve">Подрядчик обязуется выполнить работы  </w:t>
      </w:r>
      <w:r>
        <w:rPr>
          <w:rFonts w:ascii="Times New Roman" w:hAnsi="Times New Roman" w:eastAsia="Times New Roman" w:cs="Times New Roman"/>
          <w:b w:val="0"/>
          <w:bCs w:val="0"/>
          <w:color w:val="0f1115"/>
          <w:sz w:val="24"/>
          <w:szCs w:val="24"/>
        </w:rPr>
        <w:t xml:space="preserve">по текущему ремонту помещений, </w:t>
      </w:r>
      <w:r>
        <w:rPr>
          <w:rFonts w:ascii="Times New Roman" w:hAnsi="Times New Roman" w:cs="Times New Roman"/>
          <w:b w:val="0"/>
          <w:bCs w:val="0"/>
          <w:color w:val="0f1115"/>
          <w:sz w:val="24"/>
          <w:szCs w:val="24"/>
        </w:rPr>
        <w:t xml:space="preserve">помещений в здании, расположенном по адресу: Владимирская область, г. Ковров, ул. Лопатина, д. 48 (замена радиаторов отопления)</w:t>
      </w:r>
      <w:r>
        <w:rPr>
          <w:rFonts w:ascii="Times New Roman" w:hAnsi="Times New Roman" w:eastAsia="Times New Roman" w:cs="Times New Roman"/>
          <w:b w:val="0"/>
          <w:bCs w:val="0"/>
          <w:color w:val="auto"/>
          <w:sz w:val="24"/>
          <w:szCs w:val="24"/>
          <w:lang w:val="ru-RU" w:eastAsia="ru-RU" w:bidi="ar-SA"/>
        </w:rPr>
        <w:t xml:space="preserve"> (далее – работы), а Заказчик обязуется оплатить эти работы.</w:t>
      </w:r>
      <w:bookmarkEnd w:id="1"/>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71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ru-RU" w:bidi="ar-SA"/>
        </w:rPr>
        <w:t xml:space="preserve">Подрядчик обязуется выполнить </w:t>
      </w:r>
      <w:r>
        <w:rPr>
          <w:rFonts w:ascii="Times New Roman" w:hAnsi="Times New Roman" w:eastAsia="Times New Roman" w:cs="Times New Roman"/>
          <w:b w:val="0"/>
          <w:bCs w:val="0"/>
          <w:sz w:val="24"/>
          <w:szCs w:val="24"/>
          <w:lang w:val="ru-RU" w:eastAsia="ru-RU" w:bidi="ar-SA"/>
        </w:rPr>
        <w:t xml:space="preserve">р</w:t>
      </w:r>
      <w:r>
        <w:rPr>
          <w:rFonts w:ascii="Times New Roman" w:hAnsi="Times New Roman" w:eastAsia="Times New Roman" w:cs="Times New Roman"/>
          <w:b w:val="0"/>
          <w:bCs w:val="0"/>
          <w:sz w:val="24"/>
          <w:szCs w:val="24"/>
          <w:lang w:val="ru-RU" w:eastAsia="ru-RU" w:bidi="ar-SA"/>
        </w:rPr>
        <w:t xml:space="preserve">аботы, указанные в п. 1.1. Контракта, в строгом соответствии с требованиями действующих нормативных документов в области строительства, стандартам, техническим условиям, ГОСТам и иным требованиям, обычно предъявляемым к результатам такого рода работ, услов</w:t>
      </w:r>
      <w:r>
        <w:rPr>
          <w:rFonts w:ascii="Times New Roman" w:hAnsi="Times New Roman" w:eastAsia="Times New Roman" w:cs="Times New Roman"/>
          <w:b w:val="0"/>
          <w:bCs w:val="0"/>
          <w:sz w:val="24"/>
          <w:szCs w:val="24"/>
          <w:lang w:val="ru-RU" w:eastAsia="ru-RU" w:bidi="ar-SA"/>
        </w:rPr>
        <w:t xml:space="preserve">ия</w:t>
      </w:r>
      <w:r>
        <w:rPr>
          <w:rFonts w:ascii="Times New Roman" w:hAnsi="Times New Roman" w:eastAsia="Times New Roman" w:cs="Times New Roman"/>
          <w:b w:val="0"/>
          <w:bCs w:val="0"/>
          <w:sz w:val="24"/>
          <w:szCs w:val="24"/>
          <w:lang w:val="ru-RU" w:eastAsia="ru-RU" w:bidi="ar-SA"/>
        </w:rPr>
        <w:t xml:space="preserve">ми Контракта, технического задания (приложение № 1 к Контракту), и сметной документацией  (локальным сметным расчетом) (приложение № 2 к Контракту), откорректированным Заказчиком с учетом применения понижающего коэффициента по итогам электронного аукциона.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71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val="ru-RU" w:eastAsia="ru-RU" w:bidi="ar-SA"/>
        </w:rPr>
        <w:t xml:space="preserve">Надлежащим исполнением обязательств Подрядчика признается качественное выполнение всех работ по настоящему Контракту в сроки и в объеме, определенными Контрактом и локальным сметным расчетом.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710"/>
        <w:spacing w:before="0" w:after="0" w:line="276" w:lineRule="auto"/>
        <w:rPr>
          <w:rFonts w:ascii="Times New Roman" w:hAnsi="Times New Roman" w:cs="Times New Roman"/>
          <w:b w:val="0"/>
          <w:bCs w:val="0"/>
          <w:sz w:val="24"/>
          <w:szCs w:val="24"/>
        </w:rPr>
        <w:sectPr>
          <w:footnotePr/>
          <w:endnotePr/>
          <w:type w:val="nextPage"/>
          <w:pgSz w:w="11906" w:h="16838" w:orient="portrait"/>
          <w:pgMar w:top="1134" w:right="851" w:bottom="1134" w:left="1701" w:header="0" w:footer="0" w:gutter="0"/>
          <w:cols w:num="1" w:sep="0" w:space="1701" w:equalWidth="1"/>
          <w:docGrid w:linePitch="360"/>
        </w:sectPr>
      </w:pPr>
      <w:r>
        <w:rPr>
          <w:rFonts w:ascii="Times New Roman" w:hAnsi="Times New Roman" w:eastAsia="Times New Roman" w:cs="Times New Roman"/>
          <w:b w:val="0"/>
          <w:bCs w:val="0"/>
          <w:sz w:val="24"/>
          <w:szCs w:val="24"/>
          <w:lang w:val="ru-RU" w:eastAsia="ru-RU" w:bidi="ar-SA"/>
        </w:rPr>
        <w:t xml:space="preserve">Место выполнения работ: </w:t>
      </w:r>
      <w:r>
        <w:rPr>
          <w:rFonts w:ascii="Times New Roman" w:hAnsi="Times New Roman" w:eastAsia="Times New Roman" w:cs="Times New Roman"/>
          <w:b w:val="0"/>
          <w:bCs w:val="0"/>
          <w:sz w:val="24"/>
          <w:szCs w:val="24"/>
        </w:rPr>
        <w:t xml:space="preserve">Владимирская </w:t>
      </w:r>
      <w:r>
        <w:rPr>
          <w:rFonts w:ascii="Times New Roman" w:hAnsi="Times New Roman" w:eastAsia="Times New Roman" w:cs="Times New Roman"/>
          <w:b w:val="0"/>
          <w:bCs w:val="0"/>
          <w:sz w:val="24"/>
          <w:szCs w:val="24"/>
          <w:lang w:val="ru-RU" w:eastAsia="en-US" w:bidi="ar-SA"/>
        </w:rPr>
        <w:t xml:space="preserve">область, г. Ковров, ул. Лопатина, д. 48.</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rPr>
        <w:t xml:space="preserve">Общая площадь помещений, в которых выполняются работы: 169 м². Помещения расположены на 1 этаже многоквартирного жилого дома (далее – Объект) и принадлежат Заказчику на праве оперативного управления.</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2" w:name="_ref_1-9802520089c04a"/>
      <w:r>
        <w:rPr>
          <w:rFonts w:ascii="Times New Roman" w:hAnsi="Times New Roman" w:eastAsia="Times New Roman" w:cs="Times New Roman"/>
          <w:b w:val="0"/>
          <w:bCs w:val="0"/>
          <w:sz w:val="24"/>
          <w:szCs w:val="24"/>
        </w:rPr>
        <w:t xml:space="preserve">Качество работ</w:t>
      </w:r>
      <w:bookmarkEnd w:id="2"/>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709"/>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3" w:name="_ref_1-c099d09067a44f"/>
      <w:r>
        <w:rPr>
          <w:rFonts w:ascii="Times New Roman" w:hAnsi="Times New Roman" w:eastAsia="Times New Roman" w:cs="Times New Roman"/>
          <w:b w:val="0"/>
          <w:bCs w:val="0"/>
          <w:sz w:val="24"/>
          <w:szCs w:val="24"/>
          <w:lang w:eastAsia="ru-RU"/>
        </w:rPr>
        <w:t xml:space="preserve">Качество работ должно соответствовать обязательным требованиям, установленным законом или иным нормативным актом.</w:t>
      </w:r>
      <w:bookmarkEnd w:id="3"/>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709"/>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4" w:name="_ref_1-48ef7ee58e4143"/>
      <w:r>
        <w:rPr>
          <w:rFonts w:ascii="Times New Roman" w:hAnsi="Times New Roman" w:eastAsia="Times New Roman" w:cs="Times New Roman"/>
          <w:b w:val="0"/>
          <w:bCs w:val="0"/>
          <w:sz w:val="24"/>
          <w:szCs w:val="24"/>
          <w:lang w:eastAsia="ru-RU"/>
        </w:rPr>
        <w:t xml:space="preserve">В случае предъявления Заказчиком требов</w:t>
      </w:r>
      <w:r>
        <w:rPr>
          <w:rFonts w:ascii="Times New Roman" w:hAnsi="Times New Roman" w:eastAsia="Times New Roman" w:cs="Times New Roman"/>
          <w:b w:val="0"/>
          <w:bCs w:val="0"/>
          <w:sz w:val="24"/>
          <w:szCs w:val="24"/>
          <w:lang w:eastAsia="ru-RU"/>
        </w:rPr>
        <w:t xml:space="preserve">ания о безвозмездном устранении недостатков работ Подрядчик обязан устранить такие недостатки в срок, указанный в требовании. Если срок устранения недостатков Заказчиком не назначен, они должны быть устранены в разумный срок с момента получения требования.</w:t>
      </w:r>
      <w:bookmarkEnd w:id="4"/>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5" w:name="_ref_1-81173ba92a1040"/>
      <w:r>
        <w:rPr>
          <w:rFonts w:ascii="Times New Roman" w:hAnsi="Times New Roman" w:eastAsia="Times New Roman" w:cs="Times New Roman"/>
          <w:b w:val="0"/>
          <w:bCs w:val="0"/>
          <w:sz w:val="24"/>
          <w:szCs w:val="24"/>
        </w:rPr>
        <w:t xml:space="preserve">Цена работ и порядок оплаты</w:t>
      </w:r>
      <w:bookmarkEnd w:id="5"/>
      <w:r>
        <w:rPr>
          <w:rFonts w:ascii="Times New Roman" w:hAnsi="Times New Roman" w:cs="Times New Roman"/>
          <w:b w:val="0"/>
          <w:bCs w:val="0"/>
          <w:sz w:val="24"/>
          <w:szCs w:val="24"/>
        </w:rPr>
      </w:r>
      <w:r>
        <w:rPr>
          <w:rFonts w:ascii="Times New Roman" w:hAnsi="Times New Roman" w:cs="Times New Roman"/>
          <w:b w:val="0"/>
          <w:bCs w:val="0"/>
          <w:sz w:val="24"/>
          <w:szCs w:val="24"/>
        </w:rPr>
      </w:r>
    </w:p>
    <w:p>
      <w:pPr>
        <w:numPr>
          <w:ilvl w:val="1"/>
          <w:numId w:val="1"/>
        </w:numPr>
        <w:ind w:left="0" w:firstLine="709"/>
        <w:spacing w:before="0" w:after="0" w:line="276" w:lineRule="auto"/>
        <w:tabs>
          <w:tab w:val="clear" w:pos="0" w:leader="none"/>
        </w:tabs>
        <w:rPr>
          <w:rFonts w:ascii="Times New Roman" w:hAnsi="Times New Roman" w:eastAsia="Times New Roman" w:cs="Times New Roman"/>
          <w:b w:val="0"/>
          <w:bCs w:val="0"/>
          <w14:ligatures w14:val="none"/>
        </w:rPr>
      </w:pPr>
      <w:r>
        <w:rPr>
          <w:rFonts w:ascii="Times New Roman" w:hAnsi="Times New Roman" w:eastAsia="Times New Roman" w:cs="Times New Roman"/>
          <w:b w:val="0"/>
          <w:bCs w:val="0"/>
          <w:sz w:val="24"/>
          <w:szCs w:val="24"/>
          <w:lang w:eastAsia="ru-RU"/>
        </w:rPr>
        <w:t xml:space="preserve">Цена </w:t>
      </w:r>
      <w:r>
        <w:rPr>
          <w:rFonts w:ascii="Times New Roman" w:hAnsi="Times New Roman" w:eastAsia="Times New Roman" w:cs="Times New Roman"/>
          <w:b w:val="0"/>
          <w:bCs w:val="0"/>
          <w:sz w:val="24"/>
          <w:szCs w:val="24"/>
          <w:lang w:eastAsia="ru-RU"/>
        </w:rPr>
        <w:t xml:space="preserve">контракта составляет  _______      рублей ___ копеек с учетом налога</w:t>
      </w:r>
      <w:r>
        <w:rPr>
          <w:rFonts w:ascii="Times New Roman" w:hAnsi="Times New Roman" w:eastAsia="Times New Roman" w:cs="Times New Roman"/>
          <w:b w:val="0"/>
          <w:bCs w:val="0"/>
          <w:sz w:val="24"/>
          <w:szCs w:val="24"/>
          <w:lang w:eastAsia="ru-RU"/>
        </w:rPr>
        <w:t xml:space="preserve"> на д</w:t>
      </w:r>
      <w:r>
        <w:rPr>
          <w:rFonts w:ascii="Times New Roman" w:hAnsi="Times New Roman" w:eastAsia="Times New Roman" w:cs="Times New Roman"/>
          <w:b w:val="0"/>
          <w:bCs w:val="0"/>
          <w:sz w:val="24"/>
          <w:szCs w:val="24"/>
          <w:lang w:eastAsia="ru-RU"/>
        </w:rPr>
        <w:t xml:space="preserve">обавленную стоимость по налоговой ставке 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w:t>
      </w:r>
      <w:r>
        <w:rPr>
          <w:rFonts w:ascii="Times New Roman" w:hAnsi="Times New Roman" w:eastAsia="Times New Roman" w:cs="Times New Roman"/>
          <w:b w:val="0"/>
          <w:bCs w:val="0"/>
          <w:sz w:val="24"/>
          <w:szCs w:val="24"/>
          <w:lang w:eastAsia="ru-RU"/>
        </w:rPr>
        <w:t xml:space="preserve">ть,  цена  контракта налогом на добавленную стоимость не облагается.</w:t>
      </w:r>
      <w:r>
        <w:rPr>
          <w:rFonts w:ascii="Times New Roman" w:hAnsi="Times New Roman" w:eastAsia="Times New Roman" w:cs="Times New Roman"/>
          <w:b w:val="0"/>
          <w:bCs w:val="0"/>
          <w14:ligatures w14:val="none"/>
        </w:rPr>
      </w:r>
      <w:r>
        <w:rPr>
          <w:rFonts w:ascii="Times New Roman" w:hAnsi="Times New Roman" w:eastAsia="Times New Roman" w:cs="Times New Roman"/>
          <w:b w:val="0"/>
          <w:bCs w:val="0"/>
          <w14:ligatures w14:val="none"/>
        </w:rPr>
      </w:r>
    </w:p>
    <w:p>
      <w:pPr>
        <w:pStyle w:val="832"/>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Цена работ включает расходы на уплату налогов, таможенных пошлин, сборов и других обязательных платежей в бюджеты всех уровней, приобретение материалов, необходимых для оказания работ, приобретение (аренду) оборудования, используемого для выполнения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1"/>
          <w:numId w:val="1"/>
        </w:numPr>
        <w:ind w:left="0" w:right="0" w:firstLine="680"/>
        <w:jc w:val="both"/>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color w:val="auto"/>
          <w:sz w:val="24"/>
          <w:szCs w:val="24"/>
          <w:lang w:val="ru-RU" w:eastAsia="ar-SA" w:bidi="ar-SA"/>
        </w:rPr>
        <w:t xml:space="preserve">Подрядчик подтверждает, что полностью ознакомился со всеми условиями Контракта, в том числе с условиями финансирования Заказчика, которые могут повлиять на исполнение Контракта.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7" w:name="_ref_1-a36565d1063545"/>
      <w:r>
        <w:rPr>
          <w:rFonts w:ascii="Times New Roman" w:hAnsi="Times New Roman" w:eastAsia="Times New Roman" w:cs="Times New Roman"/>
          <w:b w:val="0"/>
          <w:bCs w:val="0"/>
          <w:sz w:val="24"/>
          <w:szCs w:val="24"/>
          <w:lang w:eastAsia="ru-RU"/>
        </w:rPr>
        <w:t xml:space="preserve">Цена Контракта является твердой и определяется на весь срок исполнения Контракта.</w:t>
      </w:r>
      <w:bookmarkEnd w:id="7"/>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Цена Контракта может быть снижена по соглашению сторон без изменения объема работ, их качества и иных условий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Сумма, подлежащая уплате Заказчиком Подрядчику, уменьшается на размер налогов, сборов и иных обязательных платежей в бюджеты бюджетной системы Р</w:t>
      </w:r>
      <w:r>
        <w:rPr>
          <w:rFonts w:ascii="Times New Roman" w:hAnsi="Times New Roman" w:eastAsia="Times New Roman" w:cs="Times New Roman"/>
          <w:b w:val="0"/>
          <w:bCs w:val="0"/>
          <w:sz w:val="24"/>
          <w:szCs w:val="24"/>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lang w:eastAsia="ru-RU"/>
        </w:rPr>
        <w:t xml:space="preserve">Источник финансирования: Федеральный бюджет в пределах лимитов бюджетных обязательств на 2026 год, </w:t>
      </w:r>
      <w:r>
        <w:rPr>
          <w:rFonts w:ascii="Times New Roman" w:hAnsi="Times New Roman" w:eastAsia="Times New Roman" w:cs="Times New Roman"/>
          <w:b w:val="0"/>
          <w:bCs w:val="0"/>
          <w:color w:val="0f1115"/>
          <w:sz w:val="24"/>
          <w:szCs w:val="24"/>
        </w:rPr>
        <w:t xml:space="preserve">КБК 321 0412 54 4 01 90020 244</w:t>
      </w:r>
      <w:r>
        <w:rPr>
          <w:rFonts w:ascii="Times New Roman" w:hAnsi="Times New Roman" w:eastAsia="Times New Roman" w:cs="Times New Roman"/>
          <w:b w:val="0"/>
          <w:bCs w:val="0"/>
          <w:sz w:val="24"/>
          <w:szCs w:val="24"/>
          <w:lang w:eastAsia="ru-RU"/>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9" w:name="_ref_1-9dacd547f85d41"/>
      <w:r>
        <w:rPr>
          <w:rFonts w:ascii="Times New Roman" w:hAnsi="Times New Roman" w:eastAsia="Times New Roman" w:cs="Times New Roman"/>
          <w:b w:val="0"/>
          <w:bCs w:val="0"/>
          <w:sz w:val="24"/>
          <w:szCs w:val="24"/>
        </w:rPr>
      </w:r>
      <w:bookmarkEnd w:id="9"/>
      <w:r>
        <w:rPr>
          <w:rFonts w:ascii="Times New Roman" w:hAnsi="Times New Roman" w:eastAsia="Times New Roman" w:cs="Times New Roman"/>
          <w:b w:val="0"/>
          <w:bCs w:val="0"/>
          <w:sz w:val="24"/>
          <w:szCs w:val="24"/>
        </w:rPr>
        <w:t xml:space="preserve">Оплата за выполненные работы осуществляется Заказчиком в течение 7 (семи) рабочих дней, с даты приёмки выполненных работ в соответствии с пунктом 4.9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Оплата по</w:t>
      </w:r>
      <w:r>
        <w:rPr>
          <w:rFonts w:ascii="Times New Roman" w:hAnsi="Times New Roman" w:eastAsia="Times New Roman" w:cs="Times New Roman"/>
          <w:b w:val="0"/>
          <w:bCs w:val="0"/>
          <w:sz w:val="24"/>
          <w:szCs w:val="24"/>
        </w:rPr>
        <w:t xml:space="preserve">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трехдневный срок с момента и</w:t>
      </w:r>
      <w:r>
        <w:rPr>
          <w:rFonts w:ascii="Times New Roman" w:hAnsi="Times New Roman" w:eastAsia="Times New Roman" w:cs="Times New Roman"/>
          <w:b w:val="0"/>
          <w:bCs w:val="0"/>
          <w:sz w:val="24"/>
          <w:szCs w:val="24"/>
        </w:rPr>
        <w:t xml:space="preserve">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Обязанности Заказчика по оплате работы считаются исполненными с момента списания денежных средств со счета Заказчика.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11" w:name="_ref_1-81173ba92a1040_Копия_1"/>
      <w:r>
        <w:rPr>
          <w:rFonts w:ascii="Times New Roman" w:hAnsi="Times New Roman" w:eastAsia="Times New Roman" w:cs="Times New Roman"/>
          <w:b w:val="0"/>
          <w:bCs w:val="0"/>
          <w:sz w:val="24"/>
          <w:szCs w:val="24"/>
        </w:rPr>
      </w:r>
      <w:bookmarkEnd w:id="11"/>
      <w:r>
        <w:rPr>
          <w:rFonts w:ascii="Times New Roman" w:hAnsi="Times New Roman" w:eastAsia="Times New Roman" w:cs="Times New Roman"/>
          <w:b w:val="0"/>
          <w:bCs w:val="0"/>
          <w:sz w:val="24"/>
          <w:szCs w:val="24"/>
        </w:rPr>
        <w:t xml:space="preserve">Порядок сдачи и приемки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Подрядчик обязан уведомить Заказчика о готовности выполненных Работ к сдаче не позднее чем за 2 (два) рабочих дня до начала приемки.</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Сдача выполненных Работ Подрядчиком и их приемка Заказчиком оформляются двусторонним Актом о приемке выполненных работ (форма КС-2) и Справкой о стоимости выполненных работ и затрат (форма КС-3), подписанными уполномоченными представителями Сторон.</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Подрядчик по окончании выполнения всех работ, предусмотренных Контрактом, в течение 3 (трех) рабочих дней с даты их завершения, представляет Заказчику следующие документы в 2 (двух) экземплярах:</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Акт о приемке выполненных работ (форма КС-2);</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Справку о стоимости выполненных работ и затрат (форма КС-3);</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Счет на оплату и счет-фактуру (при наличии) или УПД;</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Журнал производства работ;</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Акты освидетельствования скрытых работ;</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Сертификаты, паспорта и иные документы, подтверждающие качество использованных материалов и изделий;</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709" w:righ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Иную исполнительную документацию, предусмотренную Контрактом и действующими нормативными актами.</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Заказчик в течение 10 (десяти) рабочих дней с даты получения от Подрядчика документов, указанных в пункте 4.3. Контракта:</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Проводит проверку представленных документов на предмет их комплектности и правильности оформления;</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Осуществляет осмотр результата выполненных работ на объекте, проверяет объемы, качество и соответствие выполненных работ условиям Контракта, Техническому заданию (Приложение № 1), Сметной документации (Приложение № 2) и требованиям действующих строительных</w:t>
      </w:r>
      <w:r>
        <w:rPr>
          <w:rFonts w:ascii="Times New Roman" w:hAnsi="Times New Roman" w:eastAsia="Times New Roman" w:cs="Times New Roman"/>
          <w:b w:val="0"/>
          <w:bCs w:val="0"/>
          <w:sz w:val="24"/>
          <w:szCs w:val="24"/>
        </w:rPr>
        <w:t xml:space="preserve"> норм и правил.</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 В случае отсутствия замечаний к объему, качеству и результатам выполненных работ, Заказчик подписывает со своей стороны Акты (КС-2, КС-3) и возвращает один экземпляр Подрядчику. Датой приемки выполненных работ считается дата подписания Сторонами Акта о пр</w:t>
      </w:r>
      <w:r>
        <w:rPr>
          <w:rFonts w:ascii="Times New Roman" w:hAnsi="Times New Roman" w:eastAsia="Times New Roman" w:cs="Times New Roman"/>
          <w:b w:val="0"/>
          <w:bCs w:val="0"/>
          <w:sz w:val="24"/>
          <w:szCs w:val="24"/>
        </w:rPr>
        <w:t xml:space="preserve">иемке выполненных работ (форма КС-2).</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 В случае выявления недостатков, несоответствий или отступлений от условий Контракта, Заказчик в срок, указанный в пункте 4.4. настоящего Контракта, отказывает в приемке работ и составляет совместно с Подрядчиком мотивированный письменный отказ от подписан</w:t>
      </w:r>
      <w:r>
        <w:rPr>
          <w:rFonts w:ascii="Times New Roman" w:hAnsi="Times New Roman" w:eastAsia="Times New Roman" w:cs="Times New Roman"/>
          <w:b w:val="0"/>
          <w:bCs w:val="0"/>
          <w:sz w:val="24"/>
          <w:szCs w:val="24"/>
        </w:rPr>
        <w:t xml:space="preserve">ия Акта о приемке выполненных работ. В отказе должны быть перечислены все выявленные недостатки и установлен разумный срок для их устранения.</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 В случае получения мотивированного отказа от подписания акта приемки, Подрядчик обязан в срок, указанный в отказе, устранить все выявленные недостатки за свой счет и повторно представить Заказчику документы о приемке в порядке, предусмотренном пунктами 4.</w:t>
      </w:r>
      <w:r>
        <w:rPr>
          <w:rFonts w:ascii="Times New Roman" w:hAnsi="Times New Roman" w:eastAsia="Times New Roman" w:cs="Times New Roman"/>
          <w:b w:val="0"/>
          <w:bCs w:val="0"/>
          <w:sz w:val="24"/>
          <w:szCs w:val="24"/>
        </w:rPr>
        <w:t xml:space="preserve">3. и 4.4. настоящего Контракта.</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 После устранения недостатков и повторной сдачи работ, приемка осуществляется в порядке, установленном настоящим разделом. При этом расходы на проведение повторной приемки (в том числе экспертизы) возлагаются на Подрядчика, если недостатки были допущены по</w:t>
      </w:r>
      <w:r>
        <w:rPr>
          <w:rFonts w:ascii="Times New Roman" w:hAnsi="Times New Roman" w:eastAsia="Times New Roman" w:cs="Times New Roman"/>
          <w:b w:val="0"/>
          <w:bCs w:val="0"/>
          <w:sz w:val="24"/>
          <w:szCs w:val="24"/>
        </w:rPr>
        <w:t xml:space="preserve"> его вине.</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numPr>
          <w:ilvl w:val="1"/>
          <w:numId w:val="1"/>
        </w:numPr>
        <w:ind w:left="0" w:firstLine="68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 В случае, если Подрядчик не устранит недостатки в установленный срок или устранит их ненадлежащим образом, Заказчик вправе:</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отказаться от приемки работ;</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потребовать от Подрядчика возмещения убытков, понесенных в связи с необходимостью устранения недостатков своими силами или с привлечением третьих лиц;</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ind w:left="0" w:firstLine="0"/>
        <w:spacing w:before="0" w:after="0" w:line="276" w:lineRule="auto"/>
        <w:widowControl/>
        <w:rPr>
          <w:rFonts w:ascii="Times New Roman" w:hAnsi="Times New Roman" w:eastAsia="Times New Roman" w:cs="Times New Roman"/>
          <w:b w:val="0"/>
          <w:bCs w:val="0"/>
          <w:szCs w:val="24"/>
          <w14:ligatures w14:val="none"/>
        </w:rPr>
        <w:pBdr>
          <w:top w:val="none" w:color="000000" w:sz="4" w:space="0"/>
          <w:left w:val="none" w:color="000000" w:sz="4" w:space="0"/>
          <w:bottom w:val="none" w:color="000000" w:sz="4" w:space="0"/>
          <w:right w:val="none" w:color="000000" w:sz="4" w:space="0"/>
        </w:pBdr>
      </w:pPr>
      <w:r>
        <w:rPr>
          <w:rFonts w:ascii="Times New Roman" w:hAnsi="Times New Roman" w:eastAsia="Times New Roman" w:cs="Times New Roman"/>
          <w:b w:val="0"/>
          <w:bCs w:val="0"/>
          <w:sz w:val="24"/>
          <w:szCs w:val="24"/>
        </w:rPr>
        <w:t xml:space="preserve">применить к Подрядчику меры ответственности, предусмотренные разделом 9 Контракта.</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Cs w:val="24"/>
          <w14:ligatures w14:val="none"/>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случае установления Заказчиком фактов </w:t>
      </w:r>
      <w:r>
        <w:rPr>
          <w:rFonts w:ascii="Times New Roman" w:hAnsi="Times New Roman" w:eastAsia="Times New Roman" w:cs="Times New Roman"/>
          <w:b w:val="0"/>
          <w:bCs w:val="0"/>
          <w:color w:val="auto"/>
          <w:sz w:val="24"/>
          <w:szCs w:val="24"/>
          <w:lang w:val="ru-RU" w:eastAsia="ar-SA" w:bidi="ar-SA"/>
        </w:rPr>
        <w:t xml:space="preserve">выполнения работ</w:t>
      </w:r>
      <w:r>
        <w:rPr>
          <w:rFonts w:ascii="Times New Roman" w:hAnsi="Times New Roman" w:eastAsia="Times New Roman" w:cs="Times New Roman"/>
          <w:b w:val="0"/>
          <w:bCs w:val="0"/>
          <w:sz w:val="24"/>
          <w:szCs w:val="24"/>
        </w:rPr>
        <w:t xml:space="preserve"> ненадлежащего качества Подрядчик обязан своими силами и за свой счет в установленные Заказчиком сроки устранить выявленные недостатки.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Устранение Подрядчиком недостатков в </w:t>
      </w:r>
      <w:r>
        <w:rPr>
          <w:rFonts w:ascii="Times New Roman" w:hAnsi="Times New Roman" w:eastAsia="Times New Roman" w:cs="Times New Roman"/>
          <w:b w:val="0"/>
          <w:bCs w:val="0"/>
          <w:color w:val="auto"/>
          <w:sz w:val="24"/>
          <w:szCs w:val="24"/>
          <w:lang w:val="ru-RU" w:eastAsia="ar-SA" w:bidi="ar-SA"/>
        </w:rPr>
        <w:t xml:space="preserve">выполнения работ</w:t>
      </w:r>
      <w:r>
        <w:rPr>
          <w:rFonts w:ascii="Times New Roman" w:hAnsi="Times New Roman" w:eastAsia="Times New Roman" w:cs="Times New Roman"/>
          <w:b w:val="0"/>
          <w:bCs w:val="0"/>
          <w:sz w:val="24"/>
          <w:szCs w:val="24"/>
        </w:rPr>
        <w:t xml:space="preserve"> не освобождает его от уплаты пени и штрафа по контракту.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12" w:name="Par203"/>
      <w:r>
        <w:rPr>
          <w:rFonts w:ascii="Times New Roman" w:hAnsi="Times New Roman" w:eastAsia="Times New Roman" w:cs="Times New Roman"/>
          <w:b w:val="0"/>
          <w:bCs w:val="0"/>
          <w:sz w:val="24"/>
          <w:szCs w:val="24"/>
        </w:rPr>
      </w:r>
      <w:bookmarkStart w:id="13" w:name="_ref_1-81173ba92a1040_Копия_1_Копия_1"/>
      <w:r>
        <w:rPr>
          <w:rFonts w:ascii="Times New Roman" w:hAnsi="Times New Roman" w:eastAsia="Times New Roman" w:cs="Times New Roman"/>
          <w:b w:val="0"/>
          <w:bCs w:val="0"/>
          <w:sz w:val="24"/>
          <w:szCs w:val="24"/>
        </w:rPr>
      </w:r>
      <w:bookmarkStart w:id="14" w:name="_ref_1-9dacd547f85d41_Копия_1"/>
      <w:r>
        <w:rPr>
          <w:rFonts w:ascii="Times New Roman" w:hAnsi="Times New Roman" w:eastAsia="Times New Roman" w:cs="Times New Roman"/>
          <w:b w:val="0"/>
          <w:bCs w:val="0"/>
          <w:sz w:val="24"/>
          <w:szCs w:val="24"/>
        </w:rPr>
      </w:r>
      <w:bookmarkEnd w:id="12"/>
      <w:r>
        <w:rPr>
          <w:rFonts w:ascii="Times New Roman" w:hAnsi="Times New Roman" w:eastAsia="Times New Roman" w:cs="Times New Roman"/>
          <w:b w:val="0"/>
          <w:bCs w:val="0"/>
          <w:sz w:val="24"/>
          <w:szCs w:val="24"/>
        </w:rPr>
      </w:r>
      <w:bookmarkEnd w:id="13"/>
      <w:r>
        <w:rPr>
          <w:rFonts w:ascii="Times New Roman" w:hAnsi="Times New Roman" w:eastAsia="Times New Roman" w:cs="Times New Roman"/>
          <w:b w:val="0"/>
          <w:bCs w:val="0"/>
          <w:sz w:val="24"/>
          <w:szCs w:val="24"/>
        </w:rPr>
      </w:r>
      <w:bookmarkEnd w:id="14"/>
      <w:r>
        <w:rPr>
          <w:rFonts w:ascii="Times New Roman" w:hAnsi="Times New Roman" w:eastAsia="Times New Roman" w:cs="Times New Roman"/>
          <w:b w:val="0"/>
          <w:bCs w:val="0"/>
          <w:sz w:val="24"/>
          <w:szCs w:val="24"/>
        </w:rPr>
        <w:t xml:space="preserve">Обязательства Сторон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Заказчик вправе: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Требовать от Подрядчика надлежащего и своевременного выполнения обязательств, предусмотренных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любое время проверять ход и качество выполнения Подрядчиком условий Контракта без вмешательства в оперативно-хозяйственную деятельность Подрядчика.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Требовать от Подрядчика представления информации и надлежащим образом оформленных документов, предусмотренных Контрактом, в том числе на используемые при выполнении работ материалы.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Выдавать Подрядчику письменные замечания о нарушении установленных законодательством Российской Федерации правил выполнения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Устранить</w:t>
      </w:r>
      <w:r>
        <w:rPr>
          <w:rFonts w:ascii="Times New Roman" w:hAnsi="Times New Roman" w:eastAsia="Times New Roman" w:cs="Times New Roman"/>
          <w:b w:val="0"/>
          <w:bCs w:val="0"/>
          <w:sz w:val="24"/>
          <w:szCs w:val="24"/>
        </w:rPr>
        <w:t xml:space="preserve"> недостатки результатов Работ собственными силами или с привлечением третьих лиц, если Подрядчиком в установленный срок такие недостатки не были устранены, в том числе в течение гарантийного срока, с последующим взысканием понесенных расходов с Подрядчика.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Требовать возмещения убытков, понесенных по вине Подрядчика.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Принять решение об одностороннем отказе от исполнения Контракта в соответствии с гражданским законодательством.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До принятия решения об одностороннем отказе от исполнения Контракта провести экспертизу с привлечением экспертов, экспертных организаций.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Заказчик обязан: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сроки и порядке, которые </w:t>
      </w:r>
      <w:r>
        <w:rPr>
          <w:rFonts w:ascii="Times New Roman" w:hAnsi="Times New Roman" w:eastAsia="Times New Roman" w:cs="Times New Roman"/>
          <w:b w:val="0"/>
          <w:bCs w:val="0"/>
          <w:sz w:val="24"/>
          <w:szCs w:val="24"/>
        </w:rPr>
        <w:t xml:space="preserve">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Проводить самостоятельно или с привлечением экспертов, экспе</w:t>
      </w:r>
      <w:r>
        <w:rPr>
          <w:rFonts w:ascii="Times New Roman" w:hAnsi="Times New Roman" w:eastAsia="Times New Roman" w:cs="Times New Roman"/>
          <w:b w:val="0"/>
          <w:bCs w:val="0"/>
          <w:sz w:val="24"/>
          <w:szCs w:val="24"/>
        </w:rPr>
        <w:t xml:space="preserve">ртных организаций экспертизу представленного Подрядчиком результата выполненных Работ в части его соответствия условиям Контракта. Обеспечить своевременную приемку и оплату выполненных надлежащим образом Работ в порядке и сроки, предусмотренные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Требовать от Подрядчика своевременного устранения недостатков, выявленных в ходе приемки результатов исполнения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Отказаться от приемки и оплаты Работ, не соответствующих условиям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случае просрочки исполнения Подрядчиком обязательств, п</w:t>
      </w:r>
      <w:r>
        <w:rPr>
          <w:rFonts w:ascii="Times New Roman" w:hAnsi="Times New Roman" w:eastAsia="Times New Roman" w:cs="Times New Roman"/>
          <w:b w:val="0"/>
          <w:bCs w:val="0"/>
          <w:sz w:val="24"/>
          <w:szCs w:val="24"/>
        </w:rPr>
        <w:t xml:space="preserve">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Подрядчик вправе: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Требовать от Заказчика надлежащего и своевременного выполнения обязательств, предусмотренных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Требовать своевременной оплаты выполненных в соответствии с требованиями Контракта Работ на условиях, предусмотренных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По согласованию с Заказчиком (путем </w:t>
      </w:r>
      <w:r>
        <w:rPr>
          <w:rFonts w:ascii="Times New Roman" w:hAnsi="Times New Roman" w:eastAsia="Times New Roman" w:cs="Times New Roman"/>
          <w:b w:val="0"/>
          <w:bCs w:val="0"/>
          <w:sz w:val="24"/>
          <w:szCs w:val="24"/>
        </w:rPr>
        <w:t xml:space="preserve">заключения дополнительного соглашения)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Принять решение об одностороннем отказе от исполнения Контракта в соответствии с гражданским законодательством.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Подрядчик обязан: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Выполнить работы в сроки, установленные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безопасность Работ для третьих лиц и окружающей среды, выполнение требований безопасности труда.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представителям Заказчика возможность осуществлять контроль за исполнением Подрядчиком условий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Устранять за свой счет выявле</w:t>
      </w:r>
      <w:r>
        <w:rPr>
          <w:rFonts w:ascii="Times New Roman" w:hAnsi="Times New Roman" w:eastAsia="Times New Roman" w:cs="Times New Roman"/>
          <w:b w:val="0"/>
          <w:bCs w:val="0"/>
          <w:sz w:val="24"/>
          <w:szCs w:val="24"/>
        </w:rPr>
        <w:t xml:space="preserve">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w:t>
      </w:r>
      <w:r>
        <w:rPr>
          <w:rFonts w:ascii="Times New Roman" w:hAnsi="Times New Roman" w:eastAsia="Times New Roman" w:cs="Times New Roman"/>
          <w:b w:val="0"/>
          <w:bCs w:val="0"/>
          <w:sz w:val="24"/>
          <w:szCs w:val="24"/>
        </w:rPr>
        <w:t xml:space="preserve">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выполнение Работ своей техникой, инструментами и материалами. Работы должны быть выполнены с использованием качественных материалов, соответствующих требованиям нормативно-технических документов (ГОСТ, СНиП, ТУ, техническим регламентам или др.).</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соответствие выполненн</w:t>
      </w:r>
      <w:r>
        <w:rPr>
          <w:rFonts w:ascii="Times New Roman" w:hAnsi="Times New Roman" w:eastAsia="Times New Roman" w:cs="Times New Roman"/>
          <w:b w:val="0"/>
          <w:bCs w:val="0"/>
          <w:sz w:val="24"/>
          <w:szCs w:val="24"/>
        </w:rPr>
        <w:t xml:space="preserve">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Передать результат выполненных Работ, в порядке, в срок и на условиях в соответствии с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сохранность имущества Заказчика в ходе выполнения Работ, нести риск случайной гибели или случайного повреждения материалов, или иного используемого для исполнения Контракта имущества.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Нести ответственность за ненадлежащее качество примененных при выполнении Работ материалов, а также за применение материалов и изделий, обремененных правами третьих лиц.</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над</w:t>
      </w:r>
      <w:r>
        <w:rPr>
          <w:rFonts w:ascii="Times New Roman" w:hAnsi="Times New Roman" w:eastAsia="Times New Roman" w:cs="Times New Roman"/>
          <w:b w:val="0"/>
          <w:bCs w:val="0"/>
          <w:sz w:val="24"/>
          <w:szCs w:val="24"/>
        </w:rPr>
        <w:t xml:space="preserve">лежащее хранение материалов, инструментов и другого имущества Подрядчика, находящегося на территории Заказчика, до полного завершения Работ (включая период времени, в течение которого Подрядчик будет устранять выявленные в ходе приемки недостатки и т. п.).</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Представить Заказчику все т</w:t>
      </w:r>
      <w:r>
        <w:rPr>
          <w:rFonts w:ascii="Times New Roman" w:hAnsi="Times New Roman" w:eastAsia="Times New Roman" w:cs="Times New Roman"/>
          <w:b w:val="0"/>
          <w:bCs w:val="0"/>
          <w:sz w:val="24"/>
          <w:szCs w:val="24"/>
        </w:rPr>
        <w:t xml:space="preserve">ребуемые законодательством Российской Федерации документы, регламентирующие качество материалов и подтверждающие их соответствие требованиям безопасности, а также предоставлять Заказчику по его требованию другие документы, относящиеся к предмету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работников Подрядчика всеми необходимыми для выполнения Работ инструментами, материалами, защитными и электрозащитными средствами, иным инвентарем и оборудованием.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Обеспечить соблюдение и выполнение работниками Подрядчика в ходе осуществления Работ по Контракту требований и мероприятий по охране труда, по технике безопасности и пожарной безопасности в соответствии с законодательством Российской Федерации.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После окончания выполнени</w:t>
      </w:r>
      <w:r>
        <w:rPr>
          <w:rFonts w:ascii="Times New Roman" w:hAnsi="Times New Roman" w:eastAsia="Times New Roman" w:cs="Times New Roman"/>
          <w:b w:val="0"/>
          <w:bCs w:val="0"/>
          <w:sz w:val="24"/>
          <w:szCs w:val="24"/>
        </w:rPr>
        <w:t xml:space="preserve">я Работ передать Заказчику всю  документацию в соответствии с условиями Контракта, в том числе </w:t>
      </w:r>
      <w:r>
        <w:rPr>
          <w:rFonts w:ascii="Times New Roman" w:hAnsi="Times New Roman" w:eastAsia="Times New Roman" w:cs="Times New Roman"/>
          <w:b w:val="0"/>
          <w:bCs w:val="0"/>
          <w:color w:val="0f1115"/>
          <w:sz w:val="24"/>
          <w:szCs w:val="24"/>
        </w:rPr>
        <w:t xml:space="preserve">журнал производства работ</w:t>
      </w:r>
      <w:r>
        <w:rPr>
          <w:rFonts w:ascii="Times New Roman" w:hAnsi="Times New Roman" w:eastAsia="Times New Roman" w:cs="Times New Roman"/>
          <w:b w:val="0"/>
          <w:bCs w:val="0"/>
          <w:sz w:val="24"/>
          <w:szCs w:val="24"/>
        </w:rPr>
        <w:t xml:space="preserve">, акты освидетельствования скрытых работ, сертификаты и паспорта (или другие документы, подтверждающие качество) на используемые материалы.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2"/>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15" w:name="Par203_Копия_1"/>
      <w:r>
        <w:rPr>
          <w:rFonts w:ascii="Times New Roman" w:hAnsi="Times New Roman" w:eastAsia="Times New Roman" w:cs="Times New Roman"/>
          <w:b w:val="0"/>
          <w:bCs w:val="0"/>
          <w:sz w:val="24"/>
          <w:szCs w:val="24"/>
        </w:rPr>
      </w:r>
      <w:bookmarkStart w:id="16" w:name="_ref_1-9dacd547f85d41_Копия_1_Копия_1"/>
      <w:r>
        <w:rPr>
          <w:rFonts w:ascii="Times New Roman" w:hAnsi="Times New Roman" w:eastAsia="Times New Roman" w:cs="Times New Roman"/>
          <w:b w:val="0"/>
          <w:bCs w:val="0"/>
          <w:sz w:val="24"/>
          <w:szCs w:val="24"/>
        </w:rPr>
      </w:r>
      <w:bookmarkStart w:id="17" w:name="_ref_1-81173ba92a1040_Копия_1_Копия_1_Ко"/>
      <w:r>
        <w:rPr>
          <w:rFonts w:ascii="Times New Roman" w:hAnsi="Times New Roman" w:eastAsia="Times New Roman" w:cs="Times New Roman"/>
          <w:b w:val="0"/>
          <w:bCs w:val="0"/>
          <w:sz w:val="24"/>
          <w:szCs w:val="24"/>
        </w:rPr>
      </w:r>
      <w:bookmarkEnd w:id="15"/>
      <w:r>
        <w:rPr>
          <w:rFonts w:ascii="Times New Roman" w:hAnsi="Times New Roman" w:eastAsia="Times New Roman" w:cs="Times New Roman"/>
          <w:b w:val="0"/>
          <w:bCs w:val="0"/>
          <w:sz w:val="24"/>
          <w:szCs w:val="24"/>
        </w:rPr>
      </w:r>
      <w:bookmarkEnd w:id="16"/>
      <w:r>
        <w:rPr>
          <w:rFonts w:ascii="Times New Roman" w:hAnsi="Times New Roman" w:eastAsia="Times New Roman" w:cs="Times New Roman"/>
          <w:b w:val="0"/>
          <w:bCs w:val="0"/>
          <w:sz w:val="24"/>
          <w:szCs w:val="24"/>
        </w:rPr>
      </w:r>
      <w:bookmarkEnd w:id="17"/>
      <w:r>
        <w:rPr>
          <w:rFonts w:ascii="Times New Roman" w:hAnsi="Times New Roman" w:eastAsia="Times New Roman" w:cs="Times New Roman"/>
          <w:b w:val="0"/>
          <w:bCs w:val="0"/>
          <w:sz w:val="24"/>
          <w:szCs w:val="24"/>
        </w:rPr>
        <w:t xml:space="preserve">Срок выполнения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color w:val="000000"/>
          <w:sz w:val="24"/>
          <w:szCs w:val="24"/>
        </w:rPr>
        <w:t xml:space="preserve">Срок выполнения работ</w:t>
      </w:r>
      <w:r>
        <w:rPr>
          <w:rFonts w:ascii="Times New Roman" w:hAnsi="Times New Roman" w:eastAsia="Times New Roman" w:cs="Times New Roman"/>
          <w:b w:val="0"/>
          <w:bCs w:val="0"/>
          <w:color w:val="000000"/>
          <w:sz w:val="24"/>
          <w:szCs w:val="24"/>
        </w:rPr>
        <w:t xml:space="preserve">: </w:t>
      </w:r>
      <w:r>
        <w:rPr>
          <w:rFonts w:ascii="Times New Roman" w:hAnsi="Times New Roman" w:eastAsia="Times New Roman" w:cs="Times New Roman"/>
          <w:b w:val="0"/>
          <w:bCs w:val="0"/>
          <w:color w:val="000000"/>
          <w:sz w:val="24"/>
          <w:szCs w:val="24"/>
        </w:rPr>
        <w:t xml:space="preserve">с момента заключения Контракта п</w:t>
      </w:r>
      <w:r>
        <w:rPr>
          <w:rFonts w:ascii="Times New Roman" w:hAnsi="Times New Roman" w:eastAsia="Times New Roman" w:cs="Times New Roman"/>
          <w:b w:val="0"/>
          <w:bCs w:val="0"/>
          <w:color w:val="000000"/>
          <w:sz w:val="24"/>
          <w:szCs w:val="24"/>
        </w:rPr>
        <w:t xml:space="preserve">о 30.09.2026</w:t>
      </w:r>
      <w:r>
        <w:rPr>
          <w:rFonts w:ascii="Times New Roman" w:hAnsi="Times New Roman" w:eastAsia="Times New Roman" w:cs="Times New Roman"/>
          <w:b w:val="0"/>
          <w:bCs w:val="0"/>
          <w:color w:val="000000"/>
          <w:sz w:val="24"/>
          <w:szCs w:val="24"/>
          <w:lang w:val="ru-RU" w:eastAsia="ar-SA" w:bidi="ar-SA"/>
        </w:rPr>
        <w:t xml:space="preserve">. </w:t>
      </w:r>
      <w:r>
        <w:rPr>
          <w:rFonts w:ascii="Times New Roman" w:hAnsi="Times New Roman" w:eastAsia="Times New Roman" w:cs="Times New Roman"/>
          <w:b w:val="0"/>
          <w:bCs w:val="0"/>
          <w:color w:val="000000"/>
          <w:sz w:val="24"/>
          <w:szCs w:val="24"/>
          <w:lang w:val="ru-RU" w:eastAsia="ar-SA" w:bidi="ar-SA"/>
        </w:rPr>
        <w:t xml:space="preserve">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r>
        <w:rPr>
          <w:rFonts w:ascii="Times New Roman" w:hAnsi="Times New Roman" w:cs="Times New Roman"/>
          <w:b w:val="0"/>
          <w:bCs w:val="0"/>
          <w:sz w:val="24"/>
          <w:szCs w:val="24"/>
        </w:rPr>
        <w:t xml:space="preserve"> Допускается досрочное окончание выполнения работ.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18" w:name="Par203_Копия_1_Копия_1"/>
      <w:r>
        <w:rPr>
          <w:rFonts w:ascii="Times New Roman" w:hAnsi="Times New Roman" w:eastAsia="Times New Roman" w:cs="Times New Roman"/>
          <w:b w:val="0"/>
          <w:bCs w:val="0"/>
          <w:sz w:val="24"/>
          <w:szCs w:val="24"/>
        </w:rPr>
      </w:r>
      <w:bookmarkStart w:id="19" w:name="_ref_1-81173ba92a1040_Копия_1_Копия_1_К1"/>
      <w:r>
        <w:rPr>
          <w:rFonts w:ascii="Times New Roman" w:hAnsi="Times New Roman" w:eastAsia="Times New Roman" w:cs="Times New Roman"/>
          <w:b w:val="0"/>
          <w:bCs w:val="0"/>
          <w:sz w:val="24"/>
          <w:szCs w:val="24"/>
        </w:rPr>
      </w:r>
      <w:bookmarkStart w:id="20" w:name="_ref_1-9dacd547f85d41_Копия_1_Копия_1_Ко"/>
      <w:r>
        <w:rPr>
          <w:rFonts w:ascii="Times New Roman" w:hAnsi="Times New Roman" w:eastAsia="Times New Roman" w:cs="Times New Roman"/>
          <w:b w:val="0"/>
          <w:bCs w:val="0"/>
          <w:sz w:val="24"/>
          <w:szCs w:val="24"/>
        </w:rPr>
      </w:r>
      <w:bookmarkEnd w:id="18"/>
      <w:r>
        <w:rPr>
          <w:rFonts w:ascii="Times New Roman" w:hAnsi="Times New Roman" w:eastAsia="Times New Roman" w:cs="Times New Roman"/>
          <w:b w:val="0"/>
          <w:bCs w:val="0"/>
          <w:sz w:val="24"/>
          <w:szCs w:val="24"/>
        </w:rPr>
      </w:r>
      <w:bookmarkEnd w:id="19"/>
      <w:r>
        <w:rPr>
          <w:rFonts w:ascii="Times New Roman" w:hAnsi="Times New Roman" w:eastAsia="Times New Roman" w:cs="Times New Roman"/>
          <w:b w:val="0"/>
          <w:bCs w:val="0"/>
          <w:sz w:val="24"/>
          <w:szCs w:val="24"/>
        </w:rPr>
      </w:r>
      <w:bookmarkEnd w:id="20"/>
      <w:r>
        <w:rPr>
          <w:rFonts w:ascii="Times New Roman" w:hAnsi="Times New Roman" w:eastAsia="Times New Roman" w:cs="Times New Roman"/>
          <w:b w:val="0"/>
          <w:bCs w:val="0"/>
          <w:sz w:val="24"/>
          <w:szCs w:val="24"/>
        </w:rPr>
        <w:t xml:space="preserve">Обеспечение исполнения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Обеспечение исполнения Контракта устанавливается в размере 10 (десять) процентов от цены, по которой в соответствии с </w:t>
      </w:r>
      <w:r>
        <w:rPr>
          <w:rFonts w:ascii="Times New Roman" w:hAnsi="Times New Roman" w:eastAsia="Times New Roman" w:cs="Times New Roman"/>
          <w:b w:val="0"/>
          <w:bCs w:val="0"/>
          <w:sz w:val="24"/>
          <w:szCs w:val="24"/>
        </w:rPr>
        <w:t xml:space="preserve">Законом № 44-ФЗ</w:t>
      </w:r>
      <w:r>
        <w:rPr>
          <w:rFonts w:ascii="Times New Roman" w:hAnsi="Times New Roman" w:eastAsia="Times New Roman" w:cs="Times New Roman"/>
          <w:b w:val="0"/>
          <w:bCs w:val="0"/>
          <w:sz w:val="24"/>
          <w:szCs w:val="24"/>
          <w:lang w:eastAsia="ru-RU"/>
        </w:rPr>
        <w:t xml:space="preserve"> заключается Контракт.</w:t>
      </w:r>
      <w:r>
        <w:rPr>
          <w:rFonts w:ascii="Times New Roman" w:hAnsi="Times New Roman" w:eastAsia="Times New Roman" w:cs="Times New Roman"/>
          <w:b w:val="0"/>
          <w:bCs w:val="0"/>
          <w:sz w:val="24"/>
          <w:szCs w:val="24"/>
        </w:rPr>
        <w:t xml:space="preserve">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Участник закупки, с которым заключается контракт по результатам определения Подрядчика освобождается от предоставления обеспечения исполнения кон</w:t>
      </w:r>
      <w:r>
        <w:rPr>
          <w:rFonts w:ascii="Times New Roman" w:hAnsi="Times New Roman" w:eastAsia="Times New Roman" w:cs="Times New Roman"/>
          <w:b w:val="0"/>
          <w:bCs w:val="0"/>
          <w:sz w:val="24"/>
          <w:szCs w:val="24"/>
          <w:lang w:eastAsia="ru-RU"/>
        </w:rPr>
        <w:t xml:space="preserve">тракта,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w:t>
      </w:r>
      <w:r>
        <w:rPr>
          <w:rFonts w:ascii="Times New Roman" w:hAnsi="Times New Roman" w:eastAsia="Times New Roman" w:cs="Times New Roman"/>
          <w:b w:val="0"/>
          <w:bCs w:val="0"/>
          <w:sz w:val="24"/>
          <w:szCs w:val="24"/>
          <w:lang w:eastAsia="ru-RU"/>
        </w:rPr>
        <w:t xml:space="preserve">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w:t>
      </w:r>
      <w:r>
        <w:rPr>
          <w:rFonts w:ascii="Times New Roman" w:hAnsi="Times New Roman" w:eastAsia="Times New Roman" w:cs="Times New Roman"/>
          <w:b w:val="0"/>
          <w:bCs w:val="0"/>
          <w:sz w:val="24"/>
          <w:szCs w:val="24"/>
          <w:lang w:eastAsia="ru-RU"/>
        </w:rPr>
        <w:t xml:space="preserve">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Исполнение Контракта обеспечивается предоставлением </w:t>
      </w:r>
      <w:r>
        <w:rPr>
          <w:rFonts w:ascii="Times New Roman" w:hAnsi="Times New Roman" w:eastAsia="Times New Roman" w:cs="Times New Roman"/>
          <w:b w:val="0"/>
          <w:bCs w:val="0"/>
          <w:sz w:val="24"/>
          <w:szCs w:val="24"/>
          <w:lang w:eastAsia="ru-RU"/>
        </w:rPr>
        <w:t xml:space="preserve">независимой гарантии, выданной в соответствии требованиям статьи 45 Федерального закона № 44-ФЗ</w:t>
      </w:r>
      <w:r>
        <w:rPr>
          <w:rFonts w:ascii="Times New Roman" w:hAnsi="Times New Roman" w:eastAsia="Times New Roman" w:cs="Times New Roman"/>
          <w:b w:val="0"/>
          <w:bCs w:val="0"/>
          <w:sz w:val="24"/>
          <w:szCs w:val="24"/>
          <w:lang w:eastAsia="ru-RU"/>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709"/>
        <w:spacing w:before="0" w:after="0" w:line="276" w:lineRule="auto"/>
        <w:widowControl/>
        <w:rPr>
          <w:b w:val="0"/>
          <w:bCs w:val="0"/>
        </w:rPr>
      </w:pPr>
      <w:r>
        <w:rPr>
          <w:rFonts w:ascii="Times New Roman" w:hAnsi="Times New Roman" w:eastAsia="Times New Roman" w:cs="Times New Roman"/>
          <w:b w:val="0"/>
          <w:bCs w:val="0"/>
          <w:sz w:val="24"/>
          <w:szCs w:val="24"/>
        </w:rPr>
        <w:t xml:space="preserve">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w:t>
      </w:r>
      <w:r>
        <w:rPr>
          <w:b w:val="0"/>
          <w:bCs w:val="0"/>
        </w:rPr>
      </w:r>
      <w:r>
        <w:rPr>
          <w:b w:val="0"/>
          <w:bCs w:val="0"/>
        </w:rPr>
      </w:r>
    </w:p>
    <w:p>
      <w:pPr>
        <w:pStyle w:val="832"/>
        <w:ind w:firstLine="709"/>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Срок действия независимой гарантии должен превышать срок действия Контракта не менее чем на один месяц, в том числе в случае его изменения в соответствии  со статьей 95 Федерального закона № 44-ФЗ.</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21" w:name="Par290"/>
      <w:r>
        <w:rPr>
          <w:rFonts w:ascii="Times New Roman" w:hAnsi="Times New Roman" w:eastAsia="Times New Roman" w:cs="Times New Roman"/>
          <w:b w:val="0"/>
          <w:bCs w:val="0"/>
          <w:sz w:val="24"/>
          <w:szCs w:val="24"/>
        </w:rPr>
      </w:r>
      <w:bookmarkEnd w:id="21"/>
      <w:r>
        <w:rPr>
          <w:rFonts w:ascii="Times New Roman" w:hAnsi="Times New Roman" w:eastAsia="Times New Roman" w:cs="Times New Roman"/>
          <w:b w:val="0"/>
          <w:bCs w:val="0"/>
          <w:sz w:val="24"/>
          <w:szCs w:val="24"/>
          <w:lang w:eastAsia="ru-RU"/>
        </w:rPr>
        <w:t xml:space="preserve">Денежные средства, внесенные Подрядчиком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tooltip="#Par280" w:anchor="Par280" w:history="1">
        <w:r>
          <w:rPr>
            <w:rFonts w:ascii="Times New Roman" w:hAnsi="Times New Roman" w:eastAsia="Times New Roman" w:cs="Times New Roman"/>
            <w:b w:val="0"/>
            <w:bCs w:val="0"/>
            <w:sz w:val="24"/>
            <w:szCs w:val="24"/>
            <w:lang w:eastAsia="ru-RU"/>
          </w:rPr>
          <w:t xml:space="preserve">пунктами 7.1</w:t>
        </w:r>
      </w:hyperlink>
      <w:r>
        <w:rPr>
          <w:rFonts w:ascii="Times New Roman" w:hAnsi="Times New Roman" w:eastAsia="Times New Roman" w:cs="Times New Roman"/>
          <w:b w:val="0"/>
          <w:bCs w:val="0"/>
          <w:sz w:val="24"/>
          <w:szCs w:val="24"/>
          <w:lang w:eastAsia="ru-RU"/>
        </w:rPr>
        <w:t xml:space="preserve">, </w:t>
      </w:r>
      <w:hyperlink w:tooltip="#Par295" w:anchor="Par295" w:history="1">
        <w:r>
          <w:rPr>
            <w:rFonts w:ascii="Times New Roman" w:hAnsi="Times New Roman" w:eastAsia="Times New Roman" w:cs="Times New Roman"/>
            <w:b w:val="0"/>
            <w:bCs w:val="0"/>
            <w:sz w:val="24"/>
            <w:szCs w:val="24"/>
            <w:lang w:eastAsia="ru-RU"/>
          </w:rPr>
          <w:t xml:space="preserve">7.5</w:t>
        </w:r>
      </w:hyperlink>
      <w:r>
        <w:rPr>
          <w:rFonts w:ascii="Times New Roman" w:hAnsi="Times New Roman" w:eastAsia="Times New Roman" w:cs="Times New Roman"/>
          <w:b w:val="0"/>
          <w:bCs w:val="0"/>
          <w:sz w:val="24"/>
          <w:szCs w:val="24"/>
          <w:lang w:eastAsia="ru-RU"/>
        </w:rPr>
        <w:t xml:space="preserve"> и </w:t>
      </w:r>
      <w:hyperlink w:tooltip="#Par296" w:anchor="Par296" w:history="1">
        <w:r>
          <w:rPr>
            <w:rFonts w:ascii="Times New Roman" w:hAnsi="Times New Roman" w:eastAsia="Times New Roman" w:cs="Times New Roman"/>
            <w:b w:val="0"/>
            <w:bCs w:val="0"/>
            <w:sz w:val="24"/>
            <w:szCs w:val="24"/>
            <w:lang w:eastAsia="ru-RU"/>
          </w:rPr>
          <w:t xml:space="preserve">7.6</w:t>
        </w:r>
      </w:hyperlink>
      <w:r>
        <w:rPr>
          <w:rFonts w:ascii="Times New Roman" w:hAnsi="Times New Roman" w:eastAsia="Times New Roman" w:cs="Times New Roman"/>
          <w:b w:val="0"/>
          <w:bCs w:val="0"/>
          <w:sz w:val="24"/>
          <w:szCs w:val="24"/>
          <w:lang w:eastAsia="ru-RU"/>
        </w:rPr>
        <w:t xml:space="preserve"> настоящего Контракта, возвращаются Подрядчику в течение 15 (пятнадцати) дней с даты выполнения Сторонами своих обязательств по настоящему Контракту (если такая форма обеспечения исполнения Контракта применяется Подрядчиком).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b w:val="0"/>
          <w:bCs w:val="0"/>
        </w:rPr>
      </w:pP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rPr>
        <w:t xml:space="preserve">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w:t>
      </w:r>
      <w:r>
        <w:rPr>
          <w:rFonts w:ascii="Times New Roman" w:hAnsi="Times New Roman" w:eastAsia="Times New Roman" w:cs="Times New Roman"/>
          <w:b w:val="0"/>
          <w:bCs w:val="0"/>
          <w:sz w:val="24"/>
          <w:szCs w:val="24"/>
        </w:rPr>
        <w:t xml:space="preserve">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 </w:t>
      </w:r>
      <w:r>
        <w:rPr>
          <w:b w:val="0"/>
          <w:bCs w:val="0"/>
        </w:rPr>
      </w:r>
      <w:r>
        <w:rPr>
          <w:b w:val="0"/>
          <w:bCs w:val="0"/>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23" w:name="Par296"/>
      <w:r>
        <w:rPr>
          <w:rFonts w:ascii="Times New Roman" w:hAnsi="Times New Roman" w:eastAsia="Times New Roman" w:cs="Times New Roman"/>
          <w:b w:val="0"/>
          <w:bCs w:val="0"/>
          <w:sz w:val="24"/>
          <w:szCs w:val="24"/>
        </w:rPr>
      </w:r>
      <w:bookmarkEnd w:id="23"/>
      <w:r>
        <w:rPr>
          <w:rFonts w:ascii="Times New Roman" w:hAnsi="Times New Roman" w:eastAsia="Times New Roman" w:cs="Times New Roman"/>
          <w:b w:val="0"/>
          <w:bCs w:val="0"/>
          <w:sz w:val="24"/>
          <w:szCs w:val="24"/>
          <w:lang w:eastAsia="ru-RU"/>
        </w:rPr>
        <w:t xml:space="preserve">В ходе исполнения Контракта Подрядчик вправе изменить способ обеспечения исполне</w:t>
      </w:r>
      <w:r>
        <w:rPr>
          <w:rFonts w:ascii="Times New Roman" w:hAnsi="Times New Roman" w:eastAsia="Times New Roman" w:cs="Times New Roman"/>
          <w:b w:val="0"/>
          <w:bCs w:val="0"/>
          <w:sz w:val="24"/>
          <w:szCs w:val="24"/>
          <w:lang w:eastAsia="ru-RU"/>
        </w:rPr>
        <w:t xml:space="preserve">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7.7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Размер обеспечения исполнения Контракта уменьшается посредством направления Заказчиком информации об исполнении Подрядчиком обязательств по поставке Товара или об исполнении им отдельного этапа исполнения Контра</w:t>
      </w:r>
      <w:r>
        <w:rPr>
          <w:rFonts w:ascii="Times New Roman" w:hAnsi="Times New Roman" w:eastAsia="Times New Roman" w:cs="Times New Roman"/>
          <w:b w:val="0"/>
          <w:bCs w:val="0"/>
          <w:sz w:val="24"/>
          <w:szCs w:val="24"/>
          <w:lang w:eastAsia="ru-RU"/>
        </w:rPr>
        <w:t xml:space="preserve">кта и стоимости исполненных обязательств для включения в реестр контрактов, предусмотренный статьей 103 Федерального закона № 44-ФЗ </w:t>
      </w:r>
      <w:r>
        <w:rPr>
          <w:rFonts w:ascii="Times New Roman" w:hAnsi="Times New Roman" w:eastAsia="Times New Roman" w:cs="Times New Roman"/>
          <w:b w:val="0"/>
          <w:bCs w:val="0"/>
          <w:sz w:val="24"/>
          <w:szCs w:val="24"/>
          <w:lang w:eastAsia="ru-RU"/>
        </w:rPr>
        <w:t xml:space="preserve">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w:t>
      </w:r>
      <w:r>
        <w:rPr>
          <w:rFonts w:ascii="Times New Roman" w:hAnsi="Times New Roman" w:eastAsia="Times New Roman" w:cs="Times New Roman"/>
          <w:b w:val="0"/>
          <w:bCs w:val="0"/>
          <w:sz w:val="24"/>
          <w:szCs w:val="24"/>
          <w:lang w:eastAsia="ru-RU"/>
        </w:rPr>
        <w:t xml:space="preserve">,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w:t>
      </w:r>
      <w:r>
        <w:rPr>
          <w:rFonts w:ascii="Times New Roman" w:hAnsi="Times New Roman" w:eastAsia="Times New Roman" w:cs="Times New Roman"/>
          <w:b w:val="0"/>
          <w:bCs w:val="0"/>
          <w:sz w:val="24"/>
          <w:szCs w:val="24"/>
          <w:lang w:eastAsia="ru-RU"/>
        </w:rPr>
        <w:t xml:space="preserve">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Подрядчика ему возвра</w:t>
      </w:r>
      <w:r>
        <w:rPr>
          <w:rFonts w:ascii="Times New Roman" w:hAnsi="Times New Roman" w:eastAsia="Times New Roman" w:cs="Times New Roman"/>
          <w:b w:val="0"/>
          <w:bCs w:val="0"/>
          <w:sz w:val="24"/>
          <w:szCs w:val="24"/>
          <w:lang w:eastAsia="ru-RU"/>
        </w:rPr>
        <w:t xml:space="preserve">щаются Заказчиком в установленный в пункте 7.3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1"/>
          <w:numId w:val="1"/>
        </w:numPr>
        <w:ind w:left="0" w:firstLine="709"/>
        <w:jc w:val="both"/>
        <w:spacing w:line="276" w:lineRule="auto"/>
        <w:rPr>
          <w:color w:val="000000" w:themeColor="text1"/>
        </w:rPr>
      </w:pPr>
      <w:r>
        <w:rPr>
          <w:b w:val="0"/>
          <w:bCs w:val="0"/>
          <w:color w:val="000000" w:themeColor="text1"/>
        </w:rPr>
        <w:t xml:space="preserve">Предусмотренное </w:t>
      </w:r>
      <w:r>
        <w:rPr>
          <w:b w:val="0"/>
          <w:bCs w:val="0"/>
          <w:color w:val="000000" w:themeColor="text1"/>
        </w:rPr>
        <w:t xml:space="preserve">пункт</w:t>
      </w:r>
      <w:r>
        <w:rPr>
          <w:b w:val="0"/>
          <w:bCs w:val="0"/>
          <w:color w:val="000000" w:themeColor="text1"/>
        </w:rPr>
        <w:t xml:space="preserve">ом </w:t>
      </w:r>
      <w:hyperlink r:id="rId10" w:tooltip="consultantplus://offline/ref=C39AD1FEBDD95C6333928CA877C7073EA29A96C075DB2975DCEC2E0ED091A67DFC346823681A7C4C6B3ACE90F4C0882D422CA5D954577F5Eg9rBK" w:history="1">
        <w:r>
          <w:rPr>
            <w:rStyle w:val="874"/>
            <w:b w:val="0"/>
            <w:bCs w:val="0"/>
            <w:color w:val="000000" w:themeColor="text1"/>
          </w:rPr>
          <w:t xml:space="preserve">7.5</w:t>
        </w:r>
      </w:hyperlink>
      <w:r>
        <w:rPr>
          <w:b w:val="0"/>
          <w:bCs w:val="0"/>
          <w:color w:val="000000" w:themeColor="text1"/>
        </w:rPr>
        <w:t xml:space="preserve"> настоящего Контракта уменьшение размера обеспечения исполнения Контракта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разделом 9</w:t>
      </w:r>
      <w:r>
        <w:rPr>
          <w:b w:val="0"/>
          <w:bCs w:val="0"/>
          <w:color w:val="000000" w:themeColor="text1"/>
        </w:rPr>
        <w:t xml:space="preserve"> </w:t>
      </w:r>
      <w:r>
        <w:rPr>
          <w:b w:val="0"/>
          <w:bCs w:val="0"/>
          <w:color w:val="000000" w:themeColor="text1"/>
        </w:rPr>
        <w:t xml:space="preserve">настоящего Контракта. Такое уменьшение не допускается в случаях, определяемых Правительством Российской Федерации в соответствии с </w:t>
      </w:r>
      <w:hyperlink r:id="rId11" w:tooltip="consultantplus://offline/ref=C39AD1FEBDD95C6333928CA877C7073EA29A95C47AD62975DCEC2E0ED091A67DFC346823691A7F4E3660DE94BD978631413BBBD24A54g7r6K" w:history="1">
        <w:r>
          <w:rPr>
            <w:rStyle w:val="874"/>
            <w:b w:val="0"/>
            <w:bCs w:val="0"/>
            <w:color w:val="000000" w:themeColor="text1"/>
          </w:rPr>
          <w:t xml:space="preserve">частью 7.3 статьи 96</w:t>
        </w:r>
      </w:hyperlink>
      <w:r>
        <w:rPr>
          <w:b w:val="0"/>
          <w:bCs w:val="0"/>
          <w:color w:val="000000" w:themeColor="text1"/>
        </w:rPr>
        <w:t xml:space="preserve"> Федерального закона</w:t>
      </w:r>
      <w:r>
        <w:rPr>
          <w:b w:val="0"/>
          <w:bCs w:val="0"/>
          <w:color w:val="000000" w:themeColor="text1"/>
        </w:rPr>
        <w:t xml:space="preserve"> № 44-ФЗ</w:t>
      </w:r>
      <w:r>
        <w:rPr>
          <w:b w:val="0"/>
          <w:bCs w:val="0"/>
          <w:color w:val="000000" w:themeColor="text1"/>
        </w:rPr>
        <w:t xml:space="preserve">. </w:t>
      </w:r>
      <w:r>
        <w:rPr>
          <w:color w:val="000000" w:themeColor="text1"/>
        </w:rPr>
      </w:r>
      <w:r>
        <w:rPr>
          <w:color w:val="000000" w:themeColor="text1"/>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Подрядчик</w:t>
      </w:r>
      <w:r>
        <w:rPr>
          <w:rFonts w:ascii="Times New Roman" w:hAnsi="Times New Roman" w:eastAsia="Times New Roman" w:cs="Times New Roman"/>
          <w:b w:val="0"/>
          <w:bCs w:val="0"/>
          <w:sz w:val="24"/>
          <w:szCs w:val="24"/>
        </w:rPr>
        <w:t xml:space="preserve"> </w:t>
      </w:r>
      <w:r>
        <w:rPr>
          <w:rFonts w:ascii="Times New Roman" w:hAnsi="Times New Roman" w:eastAsia="Times New Roman" w:cs="Times New Roman"/>
          <w:b w:val="0"/>
          <w:bCs w:val="0"/>
          <w:sz w:val="24"/>
          <w:szCs w:val="24"/>
          <w:lang w:eastAsia="ru-RU"/>
        </w:rPr>
        <w:t xml:space="preserve">обязан предоставить новое обеспечение исполнения Контракта не поздн</w:t>
      </w:r>
      <w:r>
        <w:rPr>
          <w:rFonts w:ascii="Times New Roman" w:hAnsi="Times New Roman" w:eastAsia="Times New Roman" w:cs="Times New Roman"/>
          <w:b w:val="0"/>
          <w:bCs w:val="0"/>
          <w:sz w:val="24"/>
          <w:szCs w:val="24"/>
          <w:lang w:eastAsia="ru-RU"/>
        </w:rPr>
        <w:t xml:space="preserve">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пунктами 7.1, 7.5, 7.6 и 7.7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Уменьшение в соответствии с пунктом и 7.5 Контракта размера обеспечения исполнения Ко</w:t>
      </w:r>
      <w:r>
        <w:rPr>
          <w:rFonts w:ascii="Times New Roman" w:hAnsi="Times New Roman" w:eastAsia="Times New Roman" w:cs="Times New Roman"/>
          <w:b w:val="0"/>
          <w:bCs w:val="0"/>
          <w:sz w:val="24"/>
          <w:szCs w:val="24"/>
          <w:lang w:eastAsia="ru-RU"/>
        </w:rPr>
        <w:t xml:space="preserve">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пунктом 7.6 Контракта информации в реестр контрактов.</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В с</w:t>
      </w:r>
      <w:r>
        <w:rPr>
          <w:rFonts w:ascii="Times New Roman" w:hAnsi="Times New Roman" w:eastAsia="Times New Roman" w:cs="Times New Roman"/>
          <w:b w:val="0"/>
          <w:bCs w:val="0"/>
          <w:sz w:val="24"/>
          <w:szCs w:val="24"/>
          <w:lang w:eastAsia="ru-RU"/>
        </w:rPr>
        <w:t xml:space="preserve">лучае предоставления нового обеспечения исполнения Контракта в соответствии с пунктами 7.5 и 7.8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Положения настоящего раздела Контракта не применяются в случае заключения Контракта с участником закупки, который является казенным учреждением.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25" w:name="_ref_1-81173ba92a1040_Копия_1_Копия_1_К2"/>
      <w:r>
        <w:rPr>
          <w:rFonts w:ascii="Times New Roman" w:hAnsi="Times New Roman" w:eastAsia="Times New Roman" w:cs="Times New Roman"/>
          <w:b w:val="0"/>
          <w:bCs w:val="0"/>
          <w:sz w:val="24"/>
          <w:szCs w:val="24"/>
        </w:rPr>
      </w:r>
      <w:bookmarkStart w:id="26" w:name="_ref_1-9dacd547f85d41_Копия_1_Копия_1_К1"/>
      <w:r>
        <w:rPr>
          <w:rFonts w:ascii="Times New Roman" w:hAnsi="Times New Roman" w:eastAsia="Times New Roman" w:cs="Times New Roman"/>
          <w:b w:val="0"/>
          <w:bCs w:val="0"/>
          <w:sz w:val="24"/>
          <w:szCs w:val="24"/>
        </w:rPr>
      </w:r>
      <w:bookmarkStart w:id="27" w:name="Par203_Копия_1_Копия_1_Копия_1"/>
      <w:r>
        <w:rPr>
          <w:rFonts w:ascii="Times New Roman" w:hAnsi="Times New Roman" w:eastAsia="Times New Roman" w:cs="Times New Roman"/>
          <w:b w:val="0"/>
          <w:bCs w:val="0"/>
          <w:sz w:val="24"/>
          <w:szCs w:val="24"/>
        </w:rPr>
      </w:r>
      <w:bookmarkEnd w:id="25"/>
      <w:r>
        <w:rPr>
          <w:rFonts w:ascii="Times New Roman" w:hAnsi="Times New Roman" w:eastAsia="Times New Roman" w:cs="Times New Roman"/>
          <w:b w:val="0"/>
          <w:bCs w:val="0"/>
          <w:sz w:val="24"/>
          <w:szCs w:val="24"/>
        </w:rPr>
      </w:r>
      <w:bookmarkEnd w:id="26"/>
      <w:r>
        <w:rPr>
          <w:rFonts w:ascii="Times New Roman" w:hAnsi="Times New Roman" w:eastAsia="Times New Roman" w:cs="Times New Roman"/>
          <w:b w:val="0"/>
          <w:bCs w:val="0"/>
          <w:sz w:val="24"/>
          <w:szCs w:val="24"/>
        </w:rPr>
      </w:r>
      <w:bookmarkEnd w:id="27"/>
      <w:r>
        <w:rPr>
          <w:rFonts w:ascii="Times New Roman" w:hAnsi="Times New Roman" w:eastAsia="Times New Roman" w:cs="Times New Roman"/>
          <w:b w:val="0"/>
          <w:bCs w:val="0"/>
          <w:sz w:val="24"/>
          <w:szCs w:val="24"/>
        </w:rPr>
        <w:t xml:space="preserve">Гарантийный обязательства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Гарантия качества результата работ, предусмотренного контрактом, распространяется на все, составляющее результат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Гарантийный срок на результат </w:t>
      </w:r>
      <w:r>
        <w:rPr>
          <w:rFonts w:ascii="Times New Roman" w:hAnsi="Times New Roman" w:eastAsia="Times New Roman" w:cs="Times New Roman"/>
          <w:b w:val="0"/>
          <w:bCs w:val="0"/>
          <w:sz w:val="24"/>
          <w:szCs w:val="24"/>
        </w:rPr>
        <w:t xml:space="preserve">работ устанавливается со дня приемки Заказчиком результата работ (в соответствии с п. 4.9. Контракта),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случае если производителями или поставщиками материалов, конструкций, изделий или оборудования, подлежащих переда</w:t>
      </w:r>
      <w:r>
        <w:rPr>
          <w:rFonts w:ascii="Times New Roman" w:hAnsi="Times New Roman" w:eastAsia="Times New Roman" w:cs="Times New Roman"/>
          <w:b w:val="0"/>
          <w:bCs w:val="0"/>
          <w:sz w:val="24"/>
          <w:szCs w:val="24"/>
        </w:rPr>
        <w:t xml:space="preserve">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w:t>
      </w:r>
      <w:r>
        <w:rPr>
          <w:rFonts w:ascii="Times New Roman" w:hAnsi="Times New Roman" w:eastAsia="Times New Roman" w:cs="Times New Roman"/>
          <w:b w:val="0"/>
          <w:bCs w:val="0"/>
          <w:sz w:val="24"/>
          <w:szCs w:val="24"/>
        </w:rPr>
        <w:t xml:space="preserve">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Устранение недостатков (дефектов) результата работ, выявленных в течение гарантийного срока, осуществляется силами подрядчика и за его счет.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Не позднее 10-го дня со дня получения подрядчиком уведомления о выявленных недостатках (дефектах)</w:t>
      </w:r>
      <w:r>
        <w:rPr>
          <w:rFonts w:ascii="Times New Roman" w:hAnsi="Times New Roman" w:eastAsia="Times New Roman" w:cs="Times New Roman"/>
          <w:b w:val="0"/>
          <w:bCs w:val="0"/>
          <w:sz w:val="24"/>
          <w:szCs w:val="24"/>
        </w:rPr>
        <w:t xml:space="preserve">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w:t>
      </w:r>
      <w:r>
        <w:rPr>
          <w:rFonts w:ascii="Times New Roman" w:hAnsi="Times New Roman" w:eastAsia="Times New Roman" w:cs="Times New Roman"/>
          <w:b w:val="0"/>
          <w:bCs w:val="0"/>
          <w:sz w:val="24"/>
          <w:szCs w:val="24"/>
        </w:rPr>
        <w:t xml:space="preserve">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сторон</w:t>
      </w:r>
      <w:r>
        <w:rPr>
          <w:rFonts w:ascii="Times New Roman" w:hAnsi="Times New Roman" w:eastAsia="Times New Roman" w:cs="Times New Roman"/>
          <w:b w:val="0"/>
          <w:bCs w:val="0"/>
          <w:sz w:val="24"/>
          <w:szCs w:val="24"/>
        </w:rPr>
        <w:t xml:space="preserve">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Если иной сро</w:t>
      </w:r>
      <w:r>
        <w:rPr>
          <w:rFonts w:ascii="Times New Roman" w:hAnsi="Times New Roman" w:eastAsia="Times New Roman" w:cs="Times New Roman"/>
          <w:b w:val="0"/>
          <w:bCs w:val="0"/>
          <w:sz w:val="24"/>
          <w:szCs w:val="24"/>
        </w:rPr>
        <w:t xml:space="preserve">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w:t>
      </w:r>
      <w:r>
        <w:rPr>
          <w:rFonts w:ascii="Times New Roman" w:hAnsi="Times New Roman" w:eastAsia="Times New Roman" w:cs="Times New Roman"/>
          <w:b w:val="0"/>
          <w:bCs w:val="0"/>
          <w:sz w:val="24"/>
          <w:szCs w:val="24"/>
        </w:rPr>
        <w:t xml:space="preserve">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w:t>
      </w:r>
      <w:r>
        <w:rPr>
          <w:rFonts w:ascii="Times New Roman" w:hAnsi="Times New Roman" w:eastAsia="Times New Roman" w:cs="Times New Roman"/>
          <w:b w:val="0"/>
          <w:bCs w:val="0"/>
          <w:sz w:val="24"/>
          <w:szCs w:val="24"/>
        </w:rPr>
        <w:t xml:space="preserve">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Срок гарантии на результат выполненных работ и используемые при выполнении работ материалы составляет 24 (двадцать четыре) месяца.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0" w:firstLine="680"/>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Ущерб, причиненный третьему лицу в течение гарантийного срока, причиной которого явились неудовлетворительные результаты выполненных работ, компенсируется Подрядчиком.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32" w:name="_ref_1-7bcaa485b9ae44_Копия_1"/>
      <w:r>
        <w:rPr>
          <w:rFonts w:ascii="Times New Roman" w:hAnsi="Times New Roman" w:eastAsia="Times New Roman" w:cs="Times New Roman"/>
          <w:b w:val="0"/>
          <w:bCs w:val="0"/>
          <w:sz w:val="24"/>
          <w:szCs w:val="24"/>
        </w:rPr>
      </w:r>
      <w:bookmarkEnd w:id="32"/>
      <w:r>
        <w:rPr>
          <w:rFonts w:ascii="Times New Roman" w:hAnsi="Times New Roman" w:eastAsia="Times New Roman" w:cs="Times New Roman"/>
          <w:b w:val="0"/>
          <w:bCs w:val="0"/>
          <w:sz w:val="24"/>
          <w:szCs w:val="24"/>
          <w:lang w:eastAsia="ru-RU"/>
        </w:rPr>
        <w:t xml:space="preserve">Ответственность сторон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t xml:space="preserve">Заказчик и Подрядчик несут ответственность за неисполнение или ненадлежащее исполнение обязательств, предусмотренных контрактом.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1"/>
          <w:numId w:val="1"/>
        </w:numPr>
        <w:ind w:left="0" w:firstLine="709"/>
        <w:jc w:val="both"/>
        <w:spacing w:line="276" w:lineRule="auto"/>
        <w:rPr>
          <w:color w:val="000000" w:themeColor="text1"/>
        </w:rPr>
      </w:pPr>
      <w:r>
        <w:rPr>
          <w:b w:val="0"/>
          <w:bCs w:val="0"/>
          <w:color w:val="000000" w:themeColor="text1"/>
        </w:rPr>
        <w:t xml:space="preserve">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r>
        <w:rPr>
          <w:color w:val="000000" w:themeColor="text1"/>
        </w:rPr>
      </w:r>
      <w:r>
        <w:rPr>
          <w:color w:val="000000" w:themeColor="text1"/>
        </w:rPr>
      </w:r>
    </w:p>
    <w:p>
      <w:pPr>
        <w:pStyle w:val="908"/>
        <w:numPr>
          <w:ilvl w:val="1"/>
          <w:numId w:val="1"/>
        </w:numPr>
        <w:ind w:left="0" w:firstLine="709"/>
        <w:jc w:val="both"/>
        <w:spacing w:line="276" w:lineRule="auto"/>
        <w:rPr>
          <w:color w:val="000000" w:themeColor="text1"/>
        </w:rPr>
      </w:pPr>
      <w:r>
        <w:rPr>
          <w:b w:val="0"/>
          <w:bCs w:val="0"/>
          <w:color w:val="000000" w:themeColor="text1"/>
        </w:rPr>
      </w:r>
      <w:r>
        <w:rPr>
          <w:b w:val="0"/>
          <w:bCs w:val="0"/>
          <w:color w:val="000000" w:themeColor="text1"/>
        </w:rPr>
        <w:t xml:space="preserve">В</w:t>
      </w:r>
      <w:r>
        <w:rPr>
          <w:b w:val="0"/>
          <w:bCs w:val="0"/>
          <w:color w:val="000000" w:themeColor="text1"/>
        </w:rPr>
        <w:t xml:space="preserve">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w:t>
      </w:r>
      <w:r>
        <w:rPr>
          <w:b w:val="0"/>
          <w:bCs w:val="0"/>
          <w:color w:val="000000" w:themeColor="text1"/>
        </w:rPr>
        <w:t xml:space="preserve">авляет подрядчику требование об уплате неустоек (штрафов, пеней).</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Пеня начисляется в соответствии с п. 7 ст. 34 Федерального закона № 44-ФЗ  за каждый день просрочки исполнения Подрядчиком обязательства, предусмотренного Контрактом, начиная со дня, следующего после истечения установленного Контрактом срока исполн</w:t>
      </w:r>
      <w:r>
        <w:rPr>
          <w:b w:val="0"/>
          <w:bCs w:val="0"/>
          <w:color w:val="000000" w:themeColor="text1"/>
        </w:rPr>
        <w:t xml:space="preserve">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w:t>
      </w:r>
      <w:r>
        <w:rPr>
          <w:b w:val="0"/>
          <w:bCs w:val="0"/>
          <w:color w:val="000000" w:themeColor="text1"/>
        </w:rPr>
        <w:t xml:space="preserve"> Контрактом и фактически </w:t>
      </w:r>
      <w:r>
        <w:rPr>
          <w:b w:val="0"/>
          <w:bCs w:val="0"/>
          <w:color w:val="000000" w:themeColor="text1"/>
        </w:rPr>
        <w:t xml:space="preserve">исполненных</w:t>
      </w:r>
      <w:r>
        <w:rPr>
          <w:b w:val="0"/>
          <w:bCs w:val="0"/>
          <w:color w:val="000000" w:themeColor="text1"/>
        </w:rPr>
        <w:t xml:space="preserve"> Подрядчиком.</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Штрафы начисляются в соответствии с «Правилами определения размера штрафа, начисляемого в с</w:t>
      </w:r>
      <w:r>
        <w:rPr>
          <w:b w:val="0"/>
          <w:bCs w:val="0"/>
          <w:color w:val="000000" w:themeColor="text1"/>
        </w:rPr>
        <w:t xml:space="preserve">лучае ненадлежащего исполнения З</w:t>
      </w:r>
      <w:r>
        <w:rPr>
          <w:b w:val="0"/>
          <w:bCs w:val="0"/>
          <w:color w:val="000000" w:themeColor="text1"/>
        </w:rPr>
        <w:t xml:space="preserve">аказчиком, неисполнения или ненадлежащего исполнения поставщиком (подрядчиком, Подрядчиком) обязательств, предусмотренных контрактом (за исключением про</w:t>
      </w:r>
      <w:r>
        <w:rPr>
          <w:b w:val="0"/>
          <w:bCs w:val="0"/>
          <w:color w:val="000000" w:themeColor="text1"/>
        </w:rPr>
        <w:t xml:space="preserve">срочки исполнения обязательств З</w:t>
      </w:r>
      <w:r>
        <w:rPr>
          <w:b w:val="0"/>
          <w:bCs w:val="0"/>
          <w:color w:val="000000" w:themeColor="text1"/>
        </w:rPr>
        <w:t xml:space="preserve">аказчиком, поставщиком (подрядчиком, Подрядчиком)» (далее – Правила), утвержденными постановлением Правительства РФ от 30 августа 2017 г. </w:t>
      </w:r>
      <w:r>
        <w:rPr>
          <w:b w:val="0"/>
          <w:bCs w:val="0"/>
          <w:color w:val="000000" w:themeColor="text1"/>
        </w:rPr>
        <w:t xml:space="preserve">№</w:t>
      </w:r>
      <w:r>
        <w:rPr>
          <w:b w:val="0"/>
          <w:bCs w:val="0"/>
          <w:color w:val="000000" w:themeColor="text1"/>
        </w:rPr>
        <w:t xml:space="preserve"> 1042.</w:t>
      </w:r>
      <w:r>
        <w:rPr>
          <w:b w:val="0"/>
          <w:bCs w:val="0"/>
          <w:color w:val="000000" w:themeColor="text1"/>
        </w:rPr>
        <w:t xml:space="preserve"> Штрафы начисляются за каждый факт неисполнения или ненадлежащего исполнения Подрядчиком обязательств, </w:t>
      </w:r>
      <w:r>
        <w:rPr>
          <w:b w:val="0"/>
          <w:bCs w:val="0"/>
          <w:color w:val="000000" w:themeColor="text1"/>
        </w:rPr>
        <w:t xml:space="preserve">предусмотренных настоящим</w:t>
      </w:r>
      <w:r>
        <w:rPr>
          <w:b w:val="0"/>
          <w:bCs w:val="0"/>
          <w:color w:val="000000" w:themeColor="text1"/>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одного процента цены контракта, но не более 5 000,00 рублей и не менее 1 000,00 руб.</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размере 1 000,00 руб.</w:t>
      </w:r>
      <w:r>
        <w:rPr>
          <w:b w:val="0"/>
          <w:bCs w:val="0"/>
          <w:color w:val="000000" w:themeColor="text1"/>
          <w:vertAlign w:val="superscript"/>
        </w:rPr>
        <w:footnoteReference w:id="2"/>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Общая сумма штрафов за неисполнение или ненадлежащее исполнение Подрядчиком обязательств, предусмотренных контрактом, не может превышать цену контракта.</w:t>
      </w:r>
      <w:r>
        <w:rPr>
          <w:color w:val="000000" w:themeColor="text1"/>
        </w:rPr>
      </w:r>
      <w:r>
        <w:rPr>
          <w:color w:val="000000" w:themeColor="text1"/>
        </w:rPr>
      </w:r>
    </w:p>
    <w:p>
      <w:pPr>
        <w:pStyle w:val="908"/>
        <w:numPr>
          <w:ilvl w:val="1"/>
          <w:numId w:val="1"/>
        </w:numPr>
        <w:ind w:left="0" w:firstLine="709"/>
        <w:jc w:val="both"/>
        <w:spacing w:line="276" w:lineRule="auto"/>
        <w:rPr>
          <w:color w:val="000000" w:themeColor="text1"/>
        </w:rPr>
      </w:pPr>
      <w:r>
        <w:rPr>
          <w:b w:val="0"/>
          <w:bCs w:val="0"/>
          <w:color w:val="000000" w:themeColor="text1"/>
        </w:rPr>
        <w:t xml:space="preserve">В случае просрочки </w:t>
      </w:r>
      <w:r>
        <w:rPr>
          <w:b w:val="0"/>
          <w:bCs w:val="0"/>
          <w:color w:val="000000" w:themeColor="text1"/>
        </w:rPr>
        <w:t xml:space="preserve">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пени). </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Пеня начисляется в соответствии с п. 5 ст. 34 Федерального закона № 44-ФЗ за каждый день просрочки исполнения обязательства, предусмотренного Контрактом, начиная со дня, следующего</w:t>
      </w:r>
      <w:r>
        <w:rPr>
          <w:b w:val="0"/>
          <w:bCs w:val="0"/>
          <w:color w:val="000000" w:themeColor="text1"/>
        </w:rPr>
        <w:t xml:space="preserve"> после дня истечения установленного настоящим Контрактом срока исполнения обязательства. Пеня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 </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Штрафы начисляются за каждый факт неисполнения Заказчиком обязательств, предусмотренных наст</w:t>
      </w:r>
      <w:r>
        <w:rPr>
          <w:b w:val="0"/>
          <w:bCs w:val="0"/>
          <w:color w:val="000000" w:themeColor="text1"/>
        </w:rPr>
        <w:t xml:space="preserve">оящим Контрактом, за исключением просрочки исполнения обязательств, предусмотренных Контрактом. Размер штрафа устанавливается в соответствии с п. 9 Правил, утвержденных постановлением Правительства РФ от 30 августа 2017 г. № 1042 и составляет 1 000,00 руб.</w:t>
      </w:r>
      <w:r>
        <w:rPr>
          <w:b w:val="0"/>
          <w:bCs w:val="0"/>
          <w:color w:val="000000" w:themeColor="text1"/>
          <w:vertAlign w:val="superscript"/>
        </w:rPr>
        <w:footnoteReference w:id="3"/>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Общая сумма штрафов за ненадлежащее исполнение Заказчиком обязательств, предусмотренных контрактом, не может превышать цену контракта.</w:t>
      </w:r>
      <w:r>
        <w:rPr>
          <w:color w:val="000000" w:themeColor="text1"/>
        </w:rPr>
      </w:r>
      <w:r>
        <w:rPr>
          <w:color w:val="000000" w:themeColor="text1"/>
        </w:rPr>
      </w:r>
    </w:p>
    <w:p>
      <w:pPr>
        <w:pStyle w:val="908"/>
        <w:numPr>
          <w:ilvl w:val="1"/>
          <w:numId w:val="1"/>
        </w:numPr>
        <w:ind w:left="0" w:firstLine="709"/>
        <w:jc w:val="both"/>
        <w:spacing w:line="276" w:lineRule="auto"/>
        <w:rPr>
          <w:color w:val="000000" w:themeColor="text1"/>
        </w:rPr>
      </w:pPr>
      <w:r>
        <w:rPr>
          <w:b w:val="0"/>
          <w:bCs w:val="0"/>
          <w:color w:val="000000" w:themeColor="text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Уплата неустойки (штрафа, пени) не освобождает Стороны от выполнения обязательств по Контракту.</w:t>
      </w:r>
      <w:r>
        <w:rPr>
          <w:color w:val="000000" w:themeColor="text1"/>
        </w:rPr>
      </w:r>
      <w:r>
        <w:rPr>
          <w:color w:val="000000" w:themeColor="text1"/>
        </w:rPr>
      </w:r>
    </w:p>
    <w:p>
      <w:pPr>
        <w:ind w:firstLine="709"/>
        <w:spacing w:line="276" w:lineRule="auto"/>
        <w:rPr>
          <w:color w:val="000000" w:themeColor="text1"/>
        </w:rPr>
      </w:pPr>
      <w:r>
        <w:rPr>
          <w:b w:val="0"/>
          <w:bCs w:val="0"/>
          <w:color w:val="000000" w:themeColor="text1"/>
        </w:rPr>
        <w:t xml:space="preserve">Правительство Российской Федерации вправе установить случаи и порядок списания начисленных</w:t>
      </w:r>
      <w:r>
        <w:rPr>
          <w:b w:val="0"/>
          <w:bCs w:val="0"/>
          <w:color w:val="000000" w:themeColor="text1"/>
        </w:rPr>
        <w:t xml:space="preserve"> </w:t>
      </w:r>
      <w:r>
        <w:rPr>
          <w:b w:val="0"/>
          <w:bCs w:val="0"/>
          <w:color w:val="000000" w:themeColor="text1"/>
        </w:rPr>
        <w:t xml:space="preserve"> подрядчику,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r>
        <w:rPr>
          <w:b w:val="0"/>
          <w:bCs w:val="0"/>
          <w:color w:val="000000" w:themeColor="text1"/>
        </w:rPr>
        <w:t xml:space="preserve">.</w:t>
      </w:r>
      <w:r>
        <w:rPr>
          <w:color w:val="000000" w:themeColor="text1"/>
        </w:rPr>
      </w:r>
      <w:r>
        <w:rPr>
          <w:color w:val="000000" w:themeColor="text1"/>
        </w:rPr>
      </w:r>
    </w:p>
    <w:p>
      <w:pPr>
        <w:pStyle w:val="908"/>
        <w:numPr>
          <w:ilvl w:val="1"/>
          <w:numId w:val="1"/>
        </w:numPr>
        <w:ind w:left="0" w:firstLine="709"/>
        <w:jc w:val="both"/>
        <w:spacing w:line="276" w:lineRule="auto"/>
        <w:rPr>
          <w:color w:val="000000" w:themeColor="text1"/>
        </w:rPr>
      </w:pPr>
      <w:r>
        <w:rPr>
          <w:b w:val="0"/>
          <w:bCs w:val="0"/>
          <w:color w:val="000000" w:themeColor="text1"/>
        </w:rPr>
        <w:t xml:space="preserve">Заказчик вправе удержать сумму неисполненных поставщиком (подрядчиком, Подрядчиком) требований об уплате неустоек (штрафов, пеней), предъявленных Заказчиком в соответствии с настоящим разделом Контракта, из суммы, подлежащей оплате Подрядчику. </w:t>
      </w:r>
      <w:r>
        <w:rPr>
          <w:b w:val="0"/>
          <w:bCs w:val="0"/>
          <w:i/>
          <w:color w:val="000000" w:themeColor="text1"/>
        </w:rPr>
        <w:t xml:space="preserve">В таком случае  оплата по Контракту осуществляется путем выплаты Подрядчику суммы, предусмотренной Контрактом, уменьшенной на сумму неустойки (штрафов, пеней).</w:t>
      </w:r>
      <w:r>
        <w:rPr>
          <w:color w:val="000000" w:themeColor="text1"/>
        </w:rPr>
      </w:r>
      <w:r>
        <w:rPr>
          <w:color w:val="000000" w:themeColor="text1"/>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t xml:space="preserve">Требования сторон об уплате неустоек (штрафов, пеней) направляются в порядке, который предусмотрен контрактом для направления уведомлений.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35" w:name="_ref_1-325c13cfb52847"/>
      <w:r>
        <w:rPr>
          <w:rFonts w:ascii="Times New Roman" w:hAnsi="Times New Roman" w:eastAsia="Times New Roman" w:cs="Times New Roman"/>
          <w:b w:val="0"/>
          <w:bCs w:val="0"/>
          <w:sz w:val="24"/>
          <w:szCs w:val="24"/>
        </w:rPr>
        <w:t xml:space="preserve">Разрешение споров</w:t>
      </w:r>
      <w:bookmarkEnd w:id="35"/>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1"/>
          <w:numId w:val="1"/>
        </w:numPr>
        <w:ind w:left="0" w:right="0" w:firstLine="709"/>
        <w:jc w:val="both"/>
        <w:spacing w:line="276" w:lineRule="auto"/>
        <w:tabs>
          <w:tab w:val="num" w:pos="0" w:leader="none"/>
        </w:tabs>
        <w:rPr>
          <w:b w:val="0"/>
          <w:bCs w:val="0"/>
          <w14:ligatures w14:val="none"/>
        </w:rPr>
      </w:pPr>
      <w:r>
        <w:rPr>
          <w:b w:val="0"/>
          <w:bCs w:val="0"/>
        </w:rPr>
        <w:t xml:space="preserve">При </w:t>
      </w:r>
      <w:r>
        <w:rPr>
          <w:b w:val="0"/>
          <w:bCs w:val="0"/>
        </w:rPr>
        <w:t xml:space="preserve">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r>
        <w:rPr>
          <w:b w:val="0"/>
          <w:bCs w:val="0"/>
          <w14:ligatures w14:val="none"/>
        </w:rPr>
      </w:r>
      <w:r>
        <w:rPr>
          <w:b w:val="0"/>
          <w:bCs w:val="0"/>
          <w14:ligatures w14:val="none"/>
        </w:rPr>
      </w:r>
    </w:p>
    <w:p>
      <w:pPr>
        <w:pStyle w:val="908"/>
        <w:numPr>
          <w:ilvl w:val="1"/>
          <w:numId w:val="1"/>
        </w:numPr>
        <w:ind w:left="0" w:right="0" w:firstLine="709"/>
        <w:jc w:val="both"/>
        <w:spacing w:line="276" w:lineRule="auto"/>
        <w:tabs>
          <w:tab w:val="num" w:pos="0" w:leader="none"/>
        </w:tabs>
        <w:rPr>
          <w:b w:val="0"/>
          <w:bCs w:val="0"/>
        </w:rPr>
      </w:pPr>
      <w:r>
        <w:rPr>
          <w:b w:val="0"/>
          <w:bCs w:val="0"/>
        </w:rPr>
        <w:t xml:space="preserve">При </w:t>
      </w:r>
      <w:r>
        <w:rPr>
          <w:b w:val="0"/>
          <w:bCs w:val="0"/>
        </w:rPr>
        <w:t xml:space="preserve">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w:t>
      </w:r>
      <w:r>
        <w:rPr>
          <w:b w:val="0"/>
          <w:bCs w:val="0"/>
        </w:rPr>
        <w:t xml:space="preserve">в с учетом положений контрак</w:t>
      </w:r>
      <w:r>
        <w:rPr>
          <w:rFonts w:ascii="Times New Roman" w:hAnsi="Times New Roman" w:eastAsia="Times New Roman" w:cs="Times New Roman"/>
          <w:b w:val="0"/>
          <w:bCs w:val="0"/>
          <w:sz w:val="24"/>
          <w:szCs w:val="24"/>
          <w:highlight w:val="none"/>
        </w:rPr>
        <w:t xml:space="preserve">та.</w:t>
      </w:r>
      <w:r>
        <w:rPr>
          <w:b w:val="0"/>
          <w:bCs w:val="0"/>
        </w:rPr>
      </w:r>
      <w:r>
        <w:rPr>
          <w:b w:val="0"/>
          <w:bCs w:val="0"/>
        </w:rPr>
      </w:r>
    </w:p>
    <w:p>
      <w:pPr>
        <w:pStyle w:val="832"/>
        <w:numPr>
          <w:ilvl w:val="1"/>
          <w:numId w:val="1"/>
        </w:numPr>
        <w:ind w:left="0" w:right="0" w:firstLine="709"/>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37" w:name="_ref_1-060c3d40068f41"/>
      <w:r>
        <w:rPr>
          <w:rFonts w:ascii="Times New Roman" w:hAnsi="Times New Roman" w:eastAsia="Times New Roman" w:cs="Times New Roman"/>
          <w:b w:val="0"/>
          <w:bCs w:val="0"/>
          <w:sz w:val="24"/>
          <w:szCs w:val="24"/>
        </w:rPr>
        <w:t xml:space="preserve">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37"/>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contextualSpacing/>
        <w:ind w:left="0" w:right="0" w:firstLine="709"/>
        <w:jc w:val="both"/>
        <w:spacing w:before="0" w:after="0" w:line="276"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sz w:val="24"/>
          <w:szCs w:val="24"/>
        </w:rPr>
      </w:r>
      <w:bookmarkStart w:id="38" w:name="_ref_1-8dce02b9cc9b4f"/>
      <w:r>
        <w:rPr>
          <w:rFonts w:ascii="Times New Roman" w:hAnsi="Times New Roman" w:eastAsia="Times New Roman" w:cs="Times New Roman"/>
          <w:b w:val="0"/>
          <w:bCs w:val="0"/>
          <w:sz w:val="24"/>
          <w:szCs w:val="24"/>
        </w:rPr>
        <w:t xml:space="preserve">Претензия д</w:t>
      </w:r>
      <w:r>
        <w:rPr>
          <w:rFonts w:ascii="Times New Roman" w:hAnsi="Times New Roman" w:eastAsia="Times New Roman" w:cs="Times New Roman"/>
          <w:b w:val="0"/>
          <w:bCs w:val="0"/>
          <w:sz w:val="24"/>
          <w:szCs w:val="24"/>
        </w:rPr>
        <w:t xml:space="preserve">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w:t>
      </w:r>
      <w:r>
        <w:rPr>
          <w:rFonts w:ascii="Times New Roman" w:hAnsi="Times New Roman" w:eastAsia="Times New Roman" w:cs="Times New Roman"/>
          <w:b w:val="0"/>
          <w:bCs w:val="0"/>
          <w:sz w:val="24"/>
          <w:szCs w:val="24"/>
        </w:rPr>
        <w:t xml:space="preserve">щих изложенные в ней обстоятельства.</w:t>
      </w:r>
      <w:bookmarkEnd w:id="38"/>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contextualSpacing/>
        <w:ind w:left="0" w:right="0" w:firstLine="709"/>
        <w:jc w:val="both"/>
        <w:spacing w:before="0" w:after="0" w:line="276"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sz w:val="24"/>
          <w:szCs w:val="24"/>
        </w:rPr>
      </w:r>
      <w:bookmarkStart w:id="39" w:name="_ref_1-046581ac94a942"/>
      <w:r>
        <w:rPr>
          <w:rFonts w:ascii="Times New Roman" w:hAnsi="Times New Roman" w:eastAsia="Times New Roman" w:cs="Times New Roman"/>
          <w:b w:val="0"/>
          <w:bCs w:val="0"/>
          <w:sz w:val="24"/>
          <w:szCs w:val="24"/>
        </w:rPr>
        <w:t xml:space="preserve">Сторона, которая получила претензию, обязана ее рассмотреть и направить письменный мотивированный ответ другой стороне в течение 3 (трех) рабочих дней с момента получения претензии.</w:t>
      </w:r>
      <w:bookmarkEnd w:id="39"/>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1"/>
          <w:numId w:val="1"/>
        </w:numPr>
        <w:contextualSpacing/>
        <w:ind w:left="0" w:right="0" w:firstLine="709"/>
        <w:jc w:val="both"/>
        <w:spacing w:before="120" w:after="120" w:line="276" w:lineRule="auto"/>
        <w:rPr>
          <w:rFonts w:ascii="Times New Roman" w:hAnsi="Times New Roman" w:cs="Times New Roman"/>
          <w:sz w:val="24"/>
          <w:szCs w:val="24"/>
        </w:rPr>
        <w:suppressLineNumbers w:val="0"/>
      </w:pPr>
      <w:r>
        <w:rPr>
          <w:rFonts w:ascii="Times New Roman" w:hAnsi="Times New Roman" w:eastAsia="Times New Roman" w:cs="Times New Roman"/>
          <w:b w:val="0"/>
          <w:bCs w:val="0"/>
          <w:sz w:val="24"/>
          <w:szCs w:val="24"/>
          <w:highlight w:val="none"/>
        </w:rPr>
        <w:t xml:space="preserve"> Все неурегулированные разногласия разрешаются сторонами в судебном порядке.</w:t>
      </w:r>
      <w:r>
        <w:rPr>
          <w:rFonts w:ascii="Times New Roman" w:hAnsi="Times New Roman" w:cs="Times New Roman"/>
          <w:sz w:val="24"/>
          <w:szCs w:val="24"/>
        </w:rPr>
      </w:r>
      <w:r>
        <w:rPr>
          <w:rFonts w:ascii="Times New Roman" w:hAnsi="Times New Roman" w:cs="Times New Roman"/>
          <w:sz w:val="24"/>
          <w:szCs w:val="24"/>
        </w:rPr>
      </w:r>
    </w:p>
    <w:p>
      <w:pPr>
        <w:pStyle w:val="832"/>
        <w:numPr>
          <w:ilvl w:val="1"/>
          <w:numId w:val="1"/>
        </w:numPr>
        <w:contextualSpacing/>
        <w:ind w:left="0" w:right="0" w:firstLine="709"/>
        <w:jc w:val="both"/>
        <w:spacing w:before="0" w:after="0" w:line="276"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sz w:val="24"/>
          <w:szCs w:val="24"/>
        </w:rPr>
      </w:r>
      <w:bookmarkStart w:id="40" w:name="_ref_1-9076bf81c50d40"/>
      <w:r>
        <w:rPr>
          <w:rFonts w:ascii="Times New Roman" w:hAnsi="Times New Roman" w:eastAsia="Times New Roman" w:cs="Times New Roman"/>
          <w:b w:val="0"/>
          <w:bCs w:val="0"/>
          <w:sz w:val="24"/>
          <w:szCs w:val="24"/>
        </w:rPr>
        <w:t xml:space="preserve">Заин</w:t>
      </w:r>
      <w:r>
        <w:rPr>
          <w:rFonts w:ascii="Times New Roman" w:hAnsi="Times New Roman" w:eastAsia="Times New Roman" w:cs="Times New Roman"/>
          <w:b w:val="0"/>
          <w:bCs w:val="0"/>
          <w:sz w:val="24"/>
          <w:szCs w:val="24"/>
        </w:rPr>
        <w:t xml:space="preserve">терес</w:t>
      </w:r>
      <w:r>
        <w:rPr>
          <w:rFonts w:ascii="Times New Roman" w:hAnsi="Times New Roman" w:eastAsia="Times New Roman" w:cs="Times New Roman"/>
          <w:b w:val="0"/>
          <w:bCs w:val="0"/>
          <w:sz w:val="24"/>
          <w:szCs w:val="24"/>
        </w:rPr>
        <w:t xml:space="preserve">ованная сторона вправе обратиться в суд по истечении 15 (пятнадцати)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40"/>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right="0" w:firstLine="709"/>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41" w:name="_ref_1-86f596359d0149"/>
      <w:r>
        <w:rPr>
          <w:rFonts w:ascii="Times New Roman" w:hAnsi="Times New Roman" w:eastAsia="Times New Roman" w:cs="Times New Roman"/>
          <w:b w:val="0"/>
          <w:bCs w:val="0"/>
          <w:sz w:val="24"/>
          <w:szCs w:val="24"/>
        </w:rPr>
        <w:t xml:space="preserve">Все споры и разногласия, возникающие между сторонами в рамках Контракта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w:t>
      </w:r>
      <w:bookmarkEnd w:id="41"/>
      <w:r>
        <w:rPr>
          <w:rFonts w:ascii="Times New Roman" w:hAnsi="Times New Roman" w:eastAsia="Times New Roman" w:cs="Times New Roman"/>
          <w:b w:val="0"/>
          <w:bCs w:val="0"/>
          <w:sz w:val="24"/>
          <w:szCs w:val="24"/>
        </w:rPr>
        <w:t xml:space="preserve">в Арбитражном суде Владимирской области в порядке, установленном действующим законодательством Российской Федерации.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Обстоятельства непреодолимой силы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w:t>
      </w:r>
      <w:r>
        <w:rPr>
          <w:rFonts w:ascii="Times New Roman" w:hAnsi="Times New Roman" w:eastAsia="Times New Roman" w:cs="Times New Roman"/>
          <w:b w:val="0"/>
          <w:bCs w:val="0"/>
          <w:sz w:val="24"/>
          <w:szCs w:val="24"/>
        </w:rPr>
        <w:t xml:space="preserve">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Сторона, у которой возникли обстоятельства непреодолимой силы, обязана в течение 5 дней письменно информировать другую Сторону о случившемся и его причинах.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Если, по мнению Сторон, исполнение Конт</w:t>
      </w:r>
      <w:r>
        <w:rPr>
          <w:rFonts w:ascii="Times New Roman" w:hAnsi="Times New Roman" w:eastAsia="Times New Roman" w:cs="Times New Roman"/>
          <w:b w:val="0"/>
          <w:bCs w:val="0"/>
          <w:sz w:val="24"/>
          <w:szCs w:val="24"/>
        </w:rPr>
        <w:t xml:space="preserve">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jc w:val="both"/>
        <w:spacing w:before="0" w:after="0" w:line="276" w:lineRule="auto"/>
        <w:rPr>
          <w:rFonts w:ascii="Times New Roman" w:hAnsi="Times New Roman" w:cs="Times New Roman"/>
          <w:b w:val="0"/>
          <w:bCs w:val="0"/>
          <w:sz w:val="24"/>
          <w:szCs w:val="24"/>
        </w:rPr>
      </w:pPr>
      <w:r>
        <w:rPr>
          <w:rFonts w:ascii="Times New Roman" w:hAnsi="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1"/>
        </w:numPr>
        <w:ind w:firstLine="851"/>
        <w:jc w:val="both"/>
        <w:spacing w:line="276" w:lineRule="auto"/>
        <w:rPr>
          <w:b/>
          <w:color w:val="000000" w:themeColor="text1"/>
        </w:rPr>
      </w:pPr>
      <w:r>
        <w:rPr>
          <w:b w:val="0"/>
          <w:bCs w:val="0"/>
          <w:color w:val="000000" w:themeColor="text1"/>
        </w:rPr>
        <w:t xml:space="preserve"> Срок действия и порядок изменения, расторжения контракта</w:t>
      </w:r>
      <w:r>
        <w:rPr>
          <w:b/>
          <w:color w:val="000000" w:themeColor="text1"/>
        </w:rPr>
      </w:r>
      <w:r>
        <w:rPr>
          <w:b/>
          <w:color w:val="000000" w:themeColor="text1"/>
        </w:rPr>
      </w:r>
    </w:p>
    <w:p>
      <w:pPr>
        <w:ind w:left="1211" w:firstLine="0"/>
        <w:jc w:val="both"/>
        <w:spacing w:line="276" w:lineRule="auto"/>
        <w:rPr>
          <w:b w:val="0"/>
          <w:bCs w:val="0"/>
          <w:color w:val="000000" w:themeColor="text1"/>
        </w:rPr>
      </w:pPr>
      <w:r>
        <w:rPr>
          <w:b w:val="0"/>
          <w:bCs w:val="0"/>
          <w:color w:val="000000" w:themeColor="text1"/>
          <w:highlight w:val="none"/>
        </w:rPr>
      </w:r>
      <w:r>
        <w:rPr>
          <w:b w:val="0"/>
          <w:bCs w:val="0"/>
          <w:color w:val="000000" w:themeColor="text1"/>
        </w:rPr>
      </w:r>
      <w:r>
        <w:rPr>
          <w:b w:val="0"/>
          <w:bCs w:val="0"/>
          <w:color w:val="000000" w:themeColor="text1"/>
        </w:rPr>
      </w:r>
    </w:p>
    <w:p>
      <w:pPr>
        <w:pStyle w:val="832"/>
        <w:numPr>
          <w:ilvl w:val="1"/>
          <w:numId w:val="1"/>
        </w:numPr>
        <w:ind w:left="0" w:right="0" w:firstLine="680"/>
        <w:jc w:val="both"/>
        <w:spacing w:before="0" w:after="0" w:line="276" w:lineRule="auto"/>
        <w:tabs>
          <w:tab w:val="clear" w:pos="0" w:leader="none"/>
        </w:tabs>
        <w:rPr>
          <w:rFonts w:ascii="Times New Roman" w:hAnsi="Times New Roman" w:cs="Times New Roman"/>
          <w:sz w:val="24"/>
          <w:szCs w:val="24"/>
        </w:rPr>
      </w:pPr>
      <w:r>
        <w:rPr>
          <w:rFonts w:ascii="Times New Roman" w:hAnsi="Times New Roman" w:cs="Times New Roman"/>
          <w:b w:val="0"/>
          <w:bCs w:val="0"/>
          <w:sz w:val="24"/>
          <w:szCs w:val="24"/>
        </w:rPr>
      </w:r>
      <w:r>
        <w:rPr>
          <w:rFonts w:ascii="Times New Roman" w:hAnsi="Times New Roman" w:eastAsia="Times New Roman" w:cs="Times New Roman"/>
          <w:b w:val="0"/>
          <w:bCs w:val="0"/>
          <w:sz w:val="24"/>
          <w:szCs w:val="24"/>
        </w:rPr>
        <w:t xml:space="preserve">Контракт вступает в силу со дня его заключения сторонами и действует до 31.10.2026, но до полного исполнения сторонами своих обязательств по контракту</w:t>
      </w:r>
      <w:r>
        <w:rPr>
          <w:rFonts w:ascii="Times New Roman" w:hAnsi="Times New Roman" w:cs="Times New Roman"/>
          <w:b w:val="0"/>
          <w:bCs w:val="0"/>
          <w:sz w:val="24"/>
          <w:szCs w:val="24"/>
        </w:rPr>
        <w:t xml:space="preserve">.</w:t>
      </w:r>
      <w:r>
        <w:rPr>
          <w:rFonts w:ascii="Times New Roman" w:hAnsi="Times New Roman" w:eastAsia="Times New Roman" w:cs="Times New Roman"/>
          <w:b w:val="0"/>
          <w:bCs w:val="0"/>
          <w:sz w:val="24"/>
          <w:szCs w:val="24"/>
        </w:rPr>
        <w:t xml:space="preserve"> Настоящий контракт составлен в форме электронного документа, подписанного усиленными квалифицированными электронными подписями Сторон.</w:t>
      </w:r>
      <w:r>
        <w:rPr>
          <w:rFonts w:ascii="Times New Roman" w:hAnsi="Times New Roman" w:cs="Times New Roman"/>
          <w:sz w:val="24"/>
          <w:szCs w:val="24"/>
        </w:rPr>
      </w:r>
      <w:r>
        <w:rPr>
          <w:rFonts w:ascii="Times New Roman" w:hAnsi="Times New Roman" w:cs="Times New Roman"/>
          <w:sz w:val="24"/>
          <w:szCs w:val="24"/>
        </w:rPr>
      </w:r>
    </w:p>
    <w:p>
      <w:pPr>
        <w:pStyle w:val="908"/>
        <w:numPr>
          <w:ilvl w:val="1"/>
          <w:numId w:val="1"/>
        </w:numPr>
        <w:contextualSpacing/>
        <w:ind w:left="0" w:right="0" w:firstLine="680"/>
        <w:jc w:val="both"/>
        <w:spacing w:line="276" w:lineRule="auto"/>
        <w:tabs>
          <w:tab w:val="clear" w:pos="0" w:leader="none"/>
        </w:tabs>
        <w:rPr>
          <w:color w:val="000000" w:themeColor="text1"/>
        </w:rPr>
        <w:suppressLineNumbers w:val="0"/>
      </w:pPr>
      <w:r>
        <w:rPr>
          <w:b w:val="0"/>
          <w:bCs w:val="0"/>
          <w:color w:val="000000" w:themeColor="text1"/>
        </w:rPr>
        <w:t xml:space="preserve">Изменение</w:t>
      </w:r>
      <w:r>
        <w:rPr>
          <w:b w:val="0"/>
          <w:bCs w:val="0"/>
          <w:color w:val="000000" w:themeColor="text1"/>
        </w:rPr>
        <w:t xml:space="preserve"> существенных условий Контракта при его исполнении не допускается, за исключением случаев, </w:t>
      </w:r>
      <w:r>
        <w:rPr>
          <w:b w:val="0"/>
          <w:bCs w:val="0"/>
          <w:color w:val="000000" w:themeColor="text1"/>
        </w:rPr>
        <w:t xml:space="preserve">предусмотренных </w:t>
      </w:r>
      <w:r>
        <w:rPr>
          <w:b w:val="0"/>
          <w:bCs w:val="0"/>
          <w:color w:val="000000" w:themeColor="text1"/>
        </w:rPr>
        <w:t xml:space="preserve">Федеральн</w:t>
      </w:r>
      <w:r>
        <w:rPr>
          <w:b w:val="0"/>
          <w:bCs w:val="0"/>
          <w:color w:val="000000" w:themeColor="text1"/>
        </w:rPr>
        <w:t xml:space="preserve">ым</w:t>
      </w:r>
      <w:r>
        <w:rPr>
          <w:b w:val="0"/>
          <w:bCs w:val="0"/>
          <w:color w:val="000000" w:themeColor="text1"/>
        </w:rPr>
        <w:t xml:space="preserve"> закон</w:t>
      </w:r>
      <w:r>
        <w:rPr>
          <w:b w:val="0"/>
          <w:bCs w:val="0"/>
          <w:color w:val="000000" w:themeColor="text1"/>
        </w:rPr>
        <w:t xml:space="preserve">ом</w:t>
      </w:r>
      <w:r>
        <w:rPr>
          <w:b w:val="0"/>
          <w:bCs w:val="0"/>
          <w:color w:val="000000" w:themeColor="text1"/>
        </w:rPr>
        <w:t xml:space="preserve"> № 44-ФЗ. </w:t>
      </w:r>
      <w:r>
        <w:rPr>
          <w:color w:val="000000" w:themeColor="text1"/>
        </w:rPr>
      </w:r>
      <w:r>
        <w:rPr>
          <w:color w:val="000000" w:themeColor="text1"/>
        </w:rPr>
      </w:r>
    </w:p>
    <w:p>
      <w:pPr>
        <w:pStyle w:val="908"/>
        <w:numPr>
          <w:ilvl w:val="1"/>
          <w:numId w:val="1"/>
        </w:numPr>
        <w:contextualSpacing/>
        <w:ind w:left="0" w:right="0" w:firstLine="680"/>
        <w:jc w:val="both"/>
        <w:spacing w:before="168" w:after="0" w:line="276" w:lineRule="auto"/>
        <w:tabs>
          <w:tab w:val="clear" w:pos="0" w:leader="none"/>
        </w:tabs>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rPr>
        <w:t xml:space="preserve">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w:t>
      </w:r>
      <w:r>
        <w:rPr>
          <w:rFonts w:ascii="Times New Roman" w:hAnsi="Times New Roman" w:eastAsia="Times New Roman" w:cs="Times New Roman"/>
          <w:b w:val="0"/>
          <w:bCs w:val="0"/>
          <w:color w:val="000000"/>
          <w:sz w:val="24"/>
        </w:rPr>
        <w:t xml:space="preserve">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w:t>
      </w:r>
      <w:r>
        <w:rPr>
          <w:rFonts w:ascii="Times New Roman" w:hAnsi="Times New Roman" w:eastAsia="Times New Roman" w:cs="Times New Roman"/>
          <w:b w:val="0"/>
          <w:bCs w:val="0"/>
          <w:color w:val="000000"/>
          <w:sz w:val="24"/>
        </w:rPr>
        <w:t xml:space="preserve">ствовать от имени стороны контракта.</w:t>
      </w:r>
      <w:r>
        <w:rPr>
          <w:rFonts w:ascii="Times New Roman" w:hAnsi="Times New Roman" w:eastAsia="Times New Roman" w:cs="Times New Roman"/>
          <w:sz w:val="24"/>
        </w:rPr>
      </w:r>
      <w:r>
        <w:rPr>
          <w:rFonts w:ascii="Times New Roman" w:hAnsi="Times New Roman" w:eastAsia="Times New Roman" w:cs="Times New Roman"/>
          <w:sz w:val="24"/>
        </w:rPr>
      </w:r>
    </w:p>
    <w:p>
      <w:pPr>
        <w:pStyle w:val="908"/>
        <w:numPr>
          <w:ilvl w:val="1"/>
          <w:numId w:val="1"/>
        </w:numPr>
        <w:contextualSpacing/>
        <w:ind w:left="0" w:right="0" w:firstLine="680"/>
        <w:jc w:val="both"/>
        <w:spacing w:before="168" w:after="0" w:line="276" w:lineRule="auto"/>
        <w:tabs>
          <w:tab w:val="clear" w:pos="0" w:leader="none"/>
        </w:tabs>
        <w:rPr>
          <w:rFonts w:ascii="Times New Roman" w:hAnsi="Times New Roman" w:eastAsia="Times New Roman" w:cs="Times New Roman"/>
          <w:sz w:val="24"/>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rPr>
        <w:t xml:space="preserve"> Сторона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w:t>
      </w:r>
      <w:r>
        <w:rPr>
          <w:rFonts w:ascii="Times New Roman" w:hAnsi="Times New Roman" w:eastAsia="Times New Roman" w:cs="Times New Roman"/>
          <w:b w:val="0"/>
          <w:bCs w:val="0"/>
          <w:color w:val="000000"/>
          <w:sz w:val="24"/>
        </w:rPr>
        <w:t xml:space="preserve">редложени</w:t>
      </w:r>
      <w:r>
        <w:rPr>
          <w:rFonts w:ascii="Times New Roman" w:hAnsi="Times New Roman" w:eastAsia="Times New Roman" w:cs="Times New Roman"/>
          <w:b w:val="0"/>
          <w:bCs w:val="0"/>
          <w:color w:val="000000"/>
          <w:sz w:val="24"/>
        </w:rPr>
        <w:t xml:space="preserve">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изменении условий контракта либо в письменной форме отказ об изменении сущест</w:t>
      </w:r>
      <w:r>
        <w:rPr>
          <w:rFonts w:ascii="Times New Roman" w:hAnsi="Times New Roman" w:eastAsia="Times New Roman" w:cs="Times New Roman"/>
          <w:b w:val="0"/>
          <w:bCs w:val="0"/>
          <w:color w:val="000000"/>
          <w:sz w:val="24"/>
        </w:rPr>
        <w:t xml:space="preserve">венных условий контракта с обоснованием такого отказа.</w:t>
      </w:r>
      <w:r>
        <w:rPr>
          <w:rFonts w:ascii="Times New Roman" w:hAnsi="Times New Roman" w:eastAsia="Times New Roman" w:cs="Times New Roman"/>
          <w:sz w:val="24"/>
        </w:rPr>
      </w:r>
      <w:r>
        <w:rPr>
          <w:rFonts w:ascii="Times New Roman" w:hAnsi="Times New Roman" w:eastAsia="Times New Roman" w:cs="Times New Roman"/>
          <w:sz w:val="24"/>
        </w:rPr>
      </w:r>
    </w:p>
    <w:p>
      <w:pPr>
        <w:pStyle w:val="908"/>
        <w:numPr>
          <w:ilvl w:val="1"/>
          <w:numId w:val="1"/>
        </w:numPr>
        <w:ind w:left="0" w:right="0" w:firstLine="680"/>
        <w:jc w:val="both"/>
        <w:spacing w:line="276" w:lineRule="auto"/>
        <w:tabs>
          <w:tab w:val="clear" w:pos="0" w:leader="none"/>
        </w:tabs>
        <w:rPr>
          <w:color w:val="000000" w:themeColor="text1"/>
        </w:rPr>
      </w:pPr>
      <w:r>
        <w:rPr>
          <w:b w:val="0"/>
          <w:bCs w:val="0"/>
          <w:color w:val="000000" w:themeColor="text1"/>
        </w:rPr>
        <w:t xml:space="preserve"> </w:t>
      </w:r>
      <w:r>
        <w:rPr>
          <w:b w:val="0"/>
          <w:bCs w:val="0"/>
          <w:color w:val="000000" w:themeColor="text1"/>
        </w:rPr>
        <w:t xml:space="preserve">Все изменения и дополнения к Контракту, не противоречащие действующему зак</w:t>
      </w:r>
      <w:r>
        <w:rPr>
          <w:b w:val="0"/>
          <w:bCs w:val="0"/>
          <w:color w:val="000000" w:themeColor="text1"/>
        </w:rPr>
        <w:t xml:space="preserve">онодательству Российской Федерации, оформляются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r>
        <w:rPr>
          <w:color w:val="000000" w:themeColor="text1"/>
        </w:rPr>
      </w:r>
      <w:r>
        <w:rPr>
          <w:color w:val="000000" w:themeColor="text1"/>
        </w:rPr>
      </w:r>
    </w:p>
    <w:p>
      <w:pPr>
        <w:pStyle w:val="908"/>
        <w:numPr>
          <w:ilvl w:val="1"/>
          <w:numId w:val="1"/>
        </w:numPr>
        <w:contextualSpacing/>
        <w:ind w:left="0" w:right="0" w:firstLine="680"/>
        <w:jc w:val="both"/>
        <w:spacing w:before="0" w:after="0" w:line="276" w:lineRule="auto"/>
        <w:tabs>
          <w:tab w:val="clear" w:pos="0" w:leader="none"/>
        </w:tabs>
        <w:rPr>
          <w:rFonts w:ascii="Times New Roman" w:hAnsi="Times New Roman" w:eastAsia="Times New Roman" w:cs="Times New Roman"/>
          <w:b w:val="0"/>
          <w:bCs w:val="0"/>
          <w:color w:val="000000"/>
          <w:sz w:val="24"/>
          <w:szCs w:val="24"/>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rPr>
        <w:t xml:space="preserve">Подрядчик вправе принять решение об одностороннем отказе от исполнения контракта по основаниям, предусмотренным Гражданским </w:t>
      </w:r>
      <w:r>
        <w:rPr>
          <w:rFonts w:ascii="Times New Roman" w:hAnsi="Times New Roman" w:eastAsia="Times New Roman" w:cs="Times New Roman"/>
          <w:b w:val="0"/>
          <w:bCs w:val="0"/>
          <w:color w:val="0000ff"/>
          <w:sz w:val="24"/>
          <w:u w:val="none"/>
        </w:rPr>
        <w:t xml:space="preserve">кодексом</w:t>
      </w:r>
      <w:r>
        <w:rPr>
          <w:rFonts w:ascii="Times New Roman" w:hAnsi="Times New Roman" w:eastAsia="Times New Roman" w:cs="Times New Roman"/>
          <w:b w:val="0"/>
          <w:bCs w:val="0"/>
          <w:color w:val="000000"/>
          <w:sz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Pr>
          <w:rFonts w:ascii="Times New Roman" w:hAnsi="Times New Roman" w:eastAsia="Times New Roman" w:cs="Times New Roman"/>
          <w:b w:val="0"/>
          <w:bCs w:val="0"/>
          <w:color w:val="000000"/>
          <w:sz w:val="24"/>
          <w:szCs w:val="24"/>
        </w:rPr>
      </w:r>
      <w:r>
        <w:rPr>
          <w:rFonts w:ascii="Times New Roman" w:hAnsi="Times New Roman" w:eastAsia="Times New Roman" w:cs="Times New Roman"/>
          <w:b w:val="0"/>
          <w:bCs w:val="0"/>
          <w:color w:val="000000"/>
          <w:sz w:val="24"/>
          <w:szCs w:val="24"/>
        </w:rPr>
      </w:r>
    </w:p>
    <w:p>
      <w:pPr>
        <w:pStyle w:val="908"/>
        <w:numPr>
          <w:ilvl w:val="1"/>
          <w:numId w:val="1"/>
        </w:numPr>
        <w:contextualSpacing/>
        <w:ind w:left="0" w:right="0" w:firstLine="680"/>
        <w:jc w:val="both"/>
        <w:spacing w:before="0" w:after="0" w:line="276" w:lineRule="auto"/>
        <w:tabs>
          <w:tab w:val="clear" w:pos="0" w:leader="none"/>
        </w:tabs>
        <w:rPr>
          <w:rFonts w:ascii="Times New Roman" w:hAnsi="Times New Roman" w:eastAsia="Times New Roman" w:cs="Times New Roman"/>
          <w:b w:val="0"/>
          <w:bCs w:val="0"/>
          <w:sz w:val="24"/>
          <w:szCs w:val="24"/>
        </w:rPr>
        <w:pBdr>
          <w:top w:val="none" w:color="000000" w:sz="4" w:space="0"/>
          <w:left w:val="none" w:color="000000" w:sz="4" w:space="0"/>
          <w:bottom w:val="none" w:color="000000" w:sz="4" w:space="0"/>
          <w:right w:val="none" w:color="000000" w:sz="4" w:space="0"/>
        </w:pBdr>
        <w:suppressLineNumbers w:val="0"/>
      </w:pPr>
      <w:r>
        <w:rPr>
          <w:b w:val="0"/>
          <w:bCs w:val="0"/>
        </w:rPr>
      </w:r>
      <w:r>
        <w:rPr>
          <w:rFonts w:ascii="Times New Roman" w:hAnsi="Times New Roman" w:eastAsia="Times New Roman" w:cs="Times New Roman"/>
          <w:b w:val="0"/>
          <w:bCs w:val="0"/>
          <w:color w:val="000000"/>
          <w:sz w:val="24"/>
        </w:rPr>
        <w:t xml:space="preserve">Заказчик вправе принять решение об одностороннем отказе от исполнения контракта по основаниям, предусмотренным Гражданским </w:t>
      </w:r>
      <w:r>
        <w:rPr>
          <w:rFonts w:ascii="Times New Roman" w:hAnsi="Times New Roman" w:eastAsia="Times New Roman" w:cs="Times New Roman"/>
          <w:b w:val="0"/>
          <w:bCs w:val="0"/>
          <w:color w:val="0000ff"/>
          <w:sz w:val="24"/>
          <w:u w:val="none"/>
        </w:rPr>
        <w:t xml:space="preserve">кодексом</w:t>
      </w:r>
      <w:r>
        <w:rPr>
          <w:rFonts w:ascii="Times New Roman" w:hAnsi="Times New Roman" w:eastAsia="Times New Roman" w:cs="Times New Roman"/>
          <w:b w:val="0"/>
          <w:bCs w:val="0"/>
          <w:color w:val="000000"/>
          <w:sz w:val="24"/>
        </w:rPr>
        <w:t xml:space="preserve">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w:t>
      </w:r>
      <w:r>
        <w:rPr>
          <w:rFonts w:ascii="Times New Roman" w:hAnsi="Times New Roman" w:eastAsia="Times New Roman" w:cs="Times New Roman"/>
          <w:b w:val="0"/>
          <w:bCs w:val="0"/>
          <w:color w:val="000000"/>
          <w:sz w:val="24"/>
        </w:rPr>
        <w:t xml:space="preserve">нения контракта.</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pStyle w:val="908"/>
        <w:numPr>
          <w:ilvl w:val="1"/>
          <w:numId w:val="1"/>
        </w:numPr>
        <w:contextualSpacing/>
        <w:ind w:left="0" w:right="0" w:firstLine="680"/>
        <w:jc w:val="both"/>
        <w:spacing w:before="168" w:after="0" w:line="276" w:lineRule="auto"/>
        <w:tabs>
          <w:tab w:val="clear" w:pos="0" w:leader="none"/>
        </w:tabs>
        <w:rPr>
          <w:b w:val="0"/>
          <w:bCs w:val="0"/>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rPr>
        <w:t xml:space="preserve">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w:t>
      </w:r>
      <w:r>
        <w:rPr>
          <w:rFonts w:ascii="Times New Roman" w:hAnsi="Times New Roman" w:eastAsia="Times New Roman" w:cs="Times New Roman"/>
          <w:b w:val="0"/>
          <w:bCs w:val="0"/>
          <w:color w:val="000000"/>
          <w:sz w:val="24"/>
        </w:rPr>
        <w:t xml:space="preserve"> в сфере закупок.</w:t>
      </w:r>
      <w:r>
        <w:rPr>
          <w:b w:val="0"/>
          <w:bCs w:val="0"/>
        </w:rPr>
      </w:r>
      <w:r>
        <w:rPr>
          <w:b w:val="0"/>
          <w:bCs w:val="0"/>
        </w:rPr>
      </w:r>
    </w:p>
    <w:p>
      <w:pPr>
        <w:pStyle w:val="832"/>
        <w:numPr>
          <w:ilvl w:val="1"/>
          <w:numId w:val="1"/>
        </w:numPr>
        <w:ind w:left="0" w:right="0" w:firstLine="680"/>
        <w:jc w:val="both"/>
        <w:spacing w:before="0" w:after="0" w:line="276" w:lineRule="auto"/>
        <w:tabs>
          <w:tab w:val="clear" w:pos="0" w:leader="none"/>
        </w:tabs>
        <w:rPr>
          <w:rFonts w:ascii="Times New Roman" w:hAnsi="Times New Roman" w:cs="Times New Roman"/>
          <w:sz w:val="24"/>
          <w:szCs w:val="24"/>
        </w:rPr>
      </w:pPr>
      <w:r>
        <w:rPr>
          <w:rFonts w:ascii="Times New Roman" w:hAnsi="Times New Roman" w:eastAsia="Times New Roman" w:cs="Times New Roman"/>
          <w:b w:val="0"/>
          <w:bCs w:val="0"/>
          <w:sz w:val="24"/>
          <w:szCs w:val="24"/>
        </w:rPr>
        <w:t xml:space="preserve">Расторжение насто</w:t>
      </w:r>
      <w:r>
        <w:rPr>
          <w:rFonts w:ascii="Times New Roman" w:hAnsi="Times New Roman" w:eastAsia="Times New Roman" w:cs="Times New Roman"/>
          <w:b w:val="0"/>
          <w:bCs w:val="0"/>
          <w:sz w:val="24"/>
          <w:szCs w:val="24"/>
        </w:rPr>
        <w:t xml:space="preserve">ящего Контракта допускается по соглашению сторон или по решению суда по основаниям, предусмотренным гражданским законодательством Российской Федерации, а также в случае принятия одной из сторон решения об </w:t>
      </w:r>
      <w:r>
        <w:rPr>
          <w:rFonts w:ascii="Times New Roman" w:hAnsi="Times New Roman" w:eastAsia="Times New Roman" w:cs="Times New Roman"/>
          <w:b w:val="0"/>
          <w:bCs w:val="0"/>
          <w:sz w:val="24"/>
          <w:szCs w:val="24"/>
        </w:rPr>
        <w:t xml:space="preserve">одностороннем отказе Стороны от исполнения Контракта в соответствии с гражданским законодательством Российской Федерации в порядке, предусмотренном частями 9-25 статьи 95 Федерального закона № 44-ФЗ.</w:t>
      </w:r>
      <w:r>
        <w:rPr>
          <w:rFonts w:ascii="Times New Roman" w:hAnsi="Times New Roman" w:eastAsia="Times New Roman" w:cs="Times New Roman"/>
          <w:b w:val="0"/>
          <w:bCs w:val="0"/>
          <w:sz w:val="24"/>
          <w:szCs w:val="24"/>
        </w:rPr>
        <w:t xml:space="preserve"> При этом факт подписания Сторонами Соглашения о расторжении государственного контракта не освобождает Стороны от обязанности урегулирования взаимных расчетов.</w:t>
      </w:r>
      <w:r>
        <w:rPr>
          <w:rFonts w:ascii="Times New Roman" w:hAnsi="Times New Roman" w:cs="Times New Roman"/>
          <w:sz w:val="24"/>
          <w:szCs w:val="24"/>
        </w:rPr>
      </w:r>
      <w:r>
        <w:rPr>
          <w:rFonts w:ascii="Times New Roman" w:hAnsi="Times New Roman" w:cs="Times New Roman"/>
          <w:sz w:val="24"/>
          <w:szCs w:val="24"/>
        </w:rPr>
      </w:r>
    </w:p>
    <w:p>
      <w:pPr>
        <w:pStyle w:val="832"/>
        <w:ind w:left="0" w:right="0" w:firstLine="680"/>
        <w:jc w:val="both"/>
        <w:spacing w:before="0" w:after="0" w:line="276" w:lineRule="auto"/>
        <w:tabs>
          <w:tab w:val="left" w:pos="0" w:leader="none"/>
        </w:tabs>
        <w:rPr>
          <w:rFonts w:ascii="Times New Roman" w:hAnsi="Times New Roman" w:cs="Times New Roman"/>
          <w:sz w:val="24"/>
          <w:szCs w:val="24"/>
        </w:rPr>
      </w:pPr>
      <w:r>
        <w:rPr>
          <w:rFonts w:ascii="Times New Roman" w:hAnsi="Times New Roman" w:eastAsia="Times New Roman" w:cs="Times New Roman"/>
          <w:b w:val="0"/>
          <w:bCs w:val="0"/>
          <w:sz w:val="24"/>
          <w:szCs w:val="24"/>
        </w:rPr>
        <w:t xml:space="preserve">Порядок принятия сторонами решения об одностороннем отказе от исполнения контракта установлен Законом № 44-ФЗ.</w:t>
      </w:r>
      <w:r>
        <w:rPr>
          <w:rFonts w:ascii="Times New Roman" w:hAnsi="Times New Roman" w:cs="Times New Roman"/>
          <w:sz w:val="24"/>
          <w:szCs w:val="24"/>
        </w:rPr>
      </w:r>
      <w:r>
        <w:rPr>
          <w:rFonts w:ascii="Times New Roman" w:hAnsi="Times New Roman" w:cs="Times New Roman"/>
          <w:sz w:val="24"/>
          <w:szCs w:val="24"/>
        </w:rPr>
      </w:r>
    </w:p>
    <w:p>
      <w:pPr>
        <w:pStyle w:val="832"/>
        <w:numPr>
          <w:ilvl w:val="1"/>
          <w:numId w:val="1"/>
        </w:numPr>
        <w:ind w:left="0" w:right="0" w:firstLine="680"/>
        <w:jc w:val="both"/>
        <w:spacing w:before="0" w:after="0" w:line="276" w:lineRule="auto"/>
        <w:tabs>
          <w:tab w:val="clear" w:pos="0" w:leader="none"/>
        </w:tabs>
        <w:rPr>
          <w:rFonts w:ascii="Times New Roman" w:hAnsi="Times New Roman" w:cs="Times New Roman"/>
          <w:sz w:val="24"/>
          <w:szCs w:val="24"/>
        </w:rPr>
      </w:pPr>
      <w:r>
        <w:rPr>
          <w:rFonts w:ascii="Times New Roman" w:hAnsi="Times New Roman" w:eastAsia="Times New Roman" w:cs="Times New Roman"/>
          <w:b w:val="0"/>
          <w:bCs w:val="0"/>
          <w:sz w:val="24"/>
          <w:szCs w:val="24"/>
        </w:rPr>
        <w:t xml:space="preserve">Существенные нарушения условий настоящего Контракта могут являться основанием для обращения заказчика в суд с иском о расторжении настоящего Контракта, либо основанием для одностороннего расторжения в случае, если заказчиком будет принято такое решение.</w:t>
      </w:r>
      <w:r>
        <w:rPr>
          <w:rFonts w:ascii="Times New Roman" w:hAnsi="Times New Roman" w:cs="Times New Roman"/>
          <w:sz w:val="24"/>
          <w:szCs w:val="24"/>
        </w:rPr>
      </w:r>
      <w:r>
        <w:rPr>
          <w:rFonts w:ascii="Times New Roman" w:hAnsi="Times New Roman" w:cs="Times New Roman"/>
          <w:sz w:val="24"/>
          <w:szCs w:val="24"/>
        </w:rPr>
      </w:r>
    </w:p>
    <w:p>
      <w:pPr>
        <w:pStyle w:val="832"/>
        <w:numPr>
          <w:ilvl w:val="1"/>
          <w:numId w:val="1"/>
        </w:numPr>
        <w:ind w:left="0" w:right="0" w:firstLine="680"/>
        <w:jc w:val="both"/>
        <w:spacing w:before="0" w:after="0" w:line="276" w:lineRule="auto"/>
        <w:tabs>
          <w:tab w:val="clear" w:pos="0" w:leader="none"/>
        </w:tabs>
        <w:rPr>
          <w:rFonts w:ascii="Times New Roman" w:hAnsi="Times New Roman" w:cs="Times New Roman"/>
          <w:sz w:val="24"/>
          <w:szCs w:val="24"/>
        </w:rPr>
      </w:pPr>
      <w:r>
        <w:rPr>
          <w:rFonts w:ascii="Times New Roman" w:hAnsi="Times New Roman" w:eastAsia="Times New Roman" w:cs="Times New Roman"/>
          <w:b w:val="0"/>
          <w:bCs w:val="0"/>
          <w:sz w:val="24"/>
          <w:szCs w:val="24"/>
        </w:rPr>
        <w:t xml:space="preserve">В случае расторжения настоящего Контракта по решению суда или в случае одностороннего отка</w:t>
      </w:r>
      <w:r>
        <w:rPr>
          <w:rFonts w:ascii="Times New Roman" w:hAnsi="Times New Roman" w:eastAsia="Times New Roman" w:cs="Times New Roman"/>
          <w:b w:val="0"/>
          <w:bCs w:val="0"/>
          <w:sz w:val="24"/>
          <w:szCs w:val="24"/>
        </w:rPr>
        <w:t xml:space="preserve">за Заказчика от исполнения настоящего Контракта в связи с существенным нарушением Подрядчиком условий настоящего Контракта, Заказчик в установленном порядке направляет сведения о Подрядчике в реестр недобросовестных поставщиков (подрядчиков, исполнителей).</w:t>
      </w:r>
      <w:r>
        <w:rPr>
          <w:rFonts w:ascii="Times New Roman" w:hAnsi="Times New Roman" w:cs="Times New Roman"/>
          <w:sz w:val="24"/>
          <w:szCs w:val="24"/>
        </w:rPr>
      </w:r>
      <w:r>
        <w:rPr>
          <w:rFonts w:ascii="Times New Roman" w:hAnsi="Times New Roman" w:cs="Times New Roman"/>
          <w:sz w:val="24"/>
          <w:szCs w:val="24"/>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Порядок на правления уведомлений</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color w:val="000000"/>
          <w:sz w:val="24"/>
        </w:rPr>
        <w:t xml:space="preserve">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w:t>
      </w:r>
      <w:r>
        <w:rPr>
          <w:rFonts w:ascii="Times New Roman" w:hAnsi="Times New Roman" w:eastAsia="Times New Roman" w:cs="Times New Roman"/>
          <w:b w:val="0"/>
          <w:bCs w:val="0"/>
          <w:color w:val="000000"/>
          <w:sz w:val="24"/>
        </w:rPr>
        <w:t xml:space="preserve">ьством Российской Федерации о контрактной системе в сфере закупок установлен иной порядок обмена такими документами.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В случае обмена документами при </w:t>
      </w:r>
      <w:r>
        <w:rPr>
          <w:rFonts w:ascii="Times New Roman" w:hAnsi="Times New Roman" w:eastAsia="Times New Roman" w:cs="Times New Roman"/>
          <w:b w:val="0"/>
          <w:bCs w:val="0"/>
          <w:sz w:val="24"/>
          <w:szCs w:val="24"/>
        </w:rPr>
        <w:t xml:space="preserve">применении мер ответственности и совершении иных действий в связи с нарушением Подрядчиком или Заказчиком условий Контракта, такой обмен осуществляется с использованием единой информационной системы путем направления электронных уведомлений. Такие уведомле</w:t>
      </w:r>
      <w:r>
        <w:rPr>
          <w:rFonts w:ascii="Times New Roman" w:hAnsi="Times New Roman" w:eastAsia="Times New Roman" w:cs="Times New Roman"/>
          <w:b w:val="0"/>
          <w:bCs w:val="0"/>
          <w:sz w:val="24"/>
          <w:szCs w:val="24"/>
        </w:rPr>
        <w:t xml:space="preserve">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Переписка Сторон, не связанна</w:t>
      </w:r>
      <w:r>
        <w:rPr>
          <w:rFonts w:ascii="Times New Roman" w:hAnsi="Times New Roman" w:eastAsia="Times New Roman" w:cs="Times New Roman"/>
          <w:b w:val="0"/>
          <w:bCs w:val="0"/>
          <w:sz w:val="24"/>
          <w:szCs w:val="24"/>
        </w:rPr>
        <w:t xml:space="preserve">я с применением мер ответственности и совершении иных действий в связи с нарушением Поставщиком или Заказчиком условий Контракта, может осуществляться в виде писем, направляемых в том числе на адрес электронной почты, указанный в государственном контракте.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1"/>
          <w:numId w:val="1"/>
        </w:numPr>
        <w:contextualSpacing/>
        <w:ind w:left="0" w:right="0" w:firstLine="709"/>
        <w:jc w:val="both"/>
        <w:spacing w:before="168" w:after="0" w:line="276" w:lineRule="auto"/>
        <w:tabs>
          <w:tab w:val="clear" w:pos="0" w:leader="none"/>
        </w:tabs>
        <w:rPr>
          <w:rFonts w:ascii="Times New Roman" w:hAnsi="Times New Roman" w:eastAsia="Times New Roman" w:cs="Times New Roman"/>
          <w:b w:val="0"/>
          <w:bCs w:val="0"/>
          <w:color w:val="000000"/>
          <w:sz w:val="24"/>
          <w:szCs w:val="24"/>
          <w14:ligatures w14:val="none"/>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rPr>
        <w:t xml:space="preserve">У</w:t>
      </w:r>
      <w:r>
        <w:rPr>
          <w:rFonts w:ascii="Times New Roman" w:hAnsi="Times New Roman" w:eastAsia="Times New Roman" w:cs="Times New Roman"/>
          <w:b w:val="0"/>
          <w:bCs w:val="0"/>
          <w:color w:val="000000"/>
          <w:sz w:val="24"/>
        </w:rPr>
        <w:t xml:space="preserve">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w:t>
      </w:r>
      <w:r>
        <w:rPr>
          <w:rFonts w:ascii="Times New Roman" w:hAnsi="Times New Roman" w:eastAsia="Times New Roman" w:cs="Times New Roman"/>
          <w:b w:val="0"/>
          <w:bCs w:val="0"/>
          <w:color w:val="000000"/>
          <w:sz w:val="24"/>
        </w:rPr>
        <w:t xml:space="preserve">, контрактом, передаются лицу, имеющему право действовать от имени стороны контракта</w:t>
      </w:r>
      <w:r>
        <w:rPr>
          <w:rFonts w:ascii="Times New Roman" w:hAnsi="Times New Roman" w:eastAsia="Times New Roman" w:cs="Times New Roman"/>
          <w:b w:val="0"/>
          <w:bCs w:val="0"/>
          <w:color w:val="000000"/>
          <w:sz w:val="24"/>
          <w:szCs w:val="24"/>
        </w:rPr>
        <w:t xml:space="preserve">, лично под расписку или направляются стороне контракта по почте заказным </w:t>
      </w:r>
      <w:r>
        <w:rPr>
          <w:rFonts w:ascii="Times New Roman" w:hAnsi="Times New Roman" w:eastAsia="Times New Roman" w:cs="Times New Roman"/>
          <w:b w:val="0"/>
          <w:bCs w:val="0"/>
          <w:color w:val="000000"/>
          <w:sz w:val="24"/>
          <w:szCs w:val="24"/>
        </w:rPr>
        <w:t xml:space="preserve">письмом с </w:t>
      </w:r>
      <w:r>
        <w:rPr>
          <w:rFonts w:ascii="Times New Roman" w:hAnsi="Times New Roman" w:eastAsia="Times New Roman" w:cs="Times New Roman"/>
          <w:b w:val="0"/>
          <w:bCs w:val="0"/>
          <w:color w:val="000000"/>
          <w:sz w:val="24"/>
          <w:szCs w:val="24"/>
        </w:rPr>
        <w:t xml:space="preserve">уведомлением о вручении по адресу стороны контракта, указанному в контракте. </w:t>
      </w:r>
      <w:r>
        <w:rPr>
          <w:rFonts w:ascii="Times New Roman" w:hAnsi="Times New Roman" w:eastAsia="Times New Roman" w:cs="Times New Roman"/>
          <w:b w:val="0"/>
          <w:bCs w:val="0"/>
          <w:color w:val="000000"/>
          <w:sz w:val="24"/>
          <w:szCs w:val="24"/>
        </w:rPr>
        <w:t xml:space="preserve">Датой получ</w:t>
      </w:r>
      <w:r>
        <w:rPr>
          <w:rFonts w:ascii="Times New Roman" w:hAnsi="Times New Roman" w:eastAsia="Times New Roman" w:cs="Times New Roman"/>
          <w:b w:val="0"/>
          <w:bCs w:val="0"/>
          <w:color w:val="000000"/>
          <w:sz w:val="24"/>
          <w:szCs w:val="24"/>
        </w:rPr>
        <w:t xml:space="preserve">ения такого уведомления, </w:t>
      </w:r>
      <w:r>
        <w:rPr>
          <w:rFonts w:ascii="Times New Roman" w:hAnsi="Times New Roman" w:eastAsia="Times New Roman" w:cs="Times New Roman"/>
          <w:b w:val="0"/>
          <w:bCs w:val="0"/>
          <w:color w:val="000000"/>
          <w:sz w:val="24"/>
          <w:szCs w:val="24"/>
        </w:rPr>
        <w:t xml:space="preserve"> считается:</w:t>
      </w:r>
      <w:r>
        <w:rPr>
          <w:rFonts w:ascii="Times New Roman" w:hAnsi="Times New Roman" w:eastAsia="Times New Roman" w:cs="Times New Roman"/>
          <w:b w:val="0"/>
          <w:bCs w:val="0"/>
          <w:color w:val="000000"/>
          <w:sz w:val="24"/>
          <w:szCs w:val="24"/>
          <w14:ligatures w14:val="none"/>
        </w:rPr>
      </w:r>
      <w:r>
        <w:rPr>
          <w:rFonts w:ascii="Times New Roman" w:hAnsi="Times New Roman" w:eastAsia="Times New Roman" w:cs="Times New Roman"/>
          <w:b w:val="0"/>
          <w:bCs w:val="0"/>
          <w:color w:val="000000"/>
          <w:sz w:val="24"/>
          <w:szCs w:val="24"/>
          <w14:ligatures w14:val="none"/>
        </w:rPr>
      </w:r>
    </w:p>
    <w:p>
      <w:pPr>
        <w:pStyle w:val="908"/>
        <w:numPr>
          <w:ilvl w:val="0"/>
          <w:numId w:val="46"/>
        </w:numPr>
        <w:contextualSpacing/>
        <w:ind w:left="0" w:right="0" w:firstLine="709"/>
        <w:jc w:val="both"/>
        <w:spacing w:before="168" w:after="0" w:line="276" w:lineRule="auto"/>
        <w:rPr>
          <w:b w:val="0"/>
          <w:bCs w:val="0"/>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szCs w:val="24"/>
        </w:rPr>
        <w:t xml:space="preserve">дата, указанная лицом, </w:t>
      </w:r>
      <w:r>
        <w:rPr>
          <w:rFonts w:ascii="Times New Roman" w:hAnsi="Times New Roman" w:eastAsia="Times New Roman" w:cs="Times New Roman"/>
          <w:b w:val="0"/>
          <w:bCs w:val="0"/>
          <w:color w:val="000000"/>
          <w:sz w:val="24"/>
          <w:szCs w:val="24"/>
        </w:rPr>
        <w:t xml:space="preserve">имеющи</w:t>
      </w:r>
      <w:r>
        <w:rPr>
          <w:rFonts w:ascii="Times New Roman" w:hAnsi="Times New Roman" w:eastAsia="Times New Roman" w:cs="Times New Roman"/>
          <w:b w:val="0"/>
          <w:bCs w:val="0"/>
          <w:color w:val="000000"/>
          <w:sz w:val="24"/>
          <w:szCs w:val="24"/>
        </w:rPr>
        <w:t xml:space="preserve">м право действовать от имени стороны контракта, в расписке о получении уведомления </w:t>
      </w:r>
      <w:r>
        <w:rPr>
          <w:rFonts w:ascii="Times New Roman" w:hAnsi="Times New Roman" w:eastAsia="Times New Roman" w:cs="Times New Roman"/>
          <w:b w:val="0"/>
          <w:bCs w:val="0"/>
          <w:color w:val="000000"/>
          <w:sz w:val="24"/>
        </w:rPr>
        <w:t xml:space="preserve">(в случае передачи такого уведомления лицу, имеющему право действовать от имени стороны контракта, лично под расписку);</w:t>
      </w:r>
      <w:r>
        <w:rPr>
          <w:b w:val="0"/>
          <w:bCs w:val="0"/>
        </w:rPr>
      </w:r>
      <w:r>
        <w:rPr>
          <w:b w:val="0"/>
          <w:bCs w:val="0"/>
        </w:rPr>
      </w:r>
    </w:p>
    <w:p>
      <w:pPr>
        <w:pStyle w:val="908"/>
        <w:numPr>
          <w:ilvl w:val="0"/>
          <w:numId w:val="46"/>
        </w:numPr>
        <w:contextualSpacing/>
        <w:ind w:left="0" w:right="0" w:firstLine="709"/>
        <w:jc w:val="both"/>
        <w:spacing w:before="168" w:after="0" w:line="276" w:lineRule="auto"/>
        <w:rPr>
          <w:b w:val="0"/>
          <w:bCs w:val="0"/>
        </w:rPr>
        <w:pBdr>
          <w:top w:val="none" w:color="000000" w:sz="4" w:space="0"/>
          <w:left w:val="none" w:color="000000" w:sz="4" w:space="0"/>
          <w:bottom w:val="none" w:color="000000" w:sz="4" w:space="0"/>
          <w:right w:val="none" w:color="000000" w:sz="4" w:space="0"/>
        </w:pBdr>
        <w:suppressLineNumbers w:val="0"/>
      </w:pPr>
      <w:r>
        <w:rPr>
          <w:rFonts w:ascii="Times New Roman" w:hAnsi="Times New Roman" w:eastAsia="Times New Roman" w:cs="Times New Roman"/>
          <w:b w:val="0"/>
          <w:bCs w:val="0"/>
          <w:color w:val="000000"/>
          <w:sz w:val="24"/>
        </w:rPr>
        <w:t xml:space="preserve">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w:t>
      </w:r>
      <w:r>
        <w:rPr>
          <w:rFonts w:ascii="Times New Roman" w:hAnsi="Times New Roman" w:eastAsia="Times New Roman" w:cs="Times New Roman"/>
          <w:b w:val="0"/>
          <w:bCs w:val="0"/>
          <w:color w:val="000000"/>
          <w:sz w:val="24"/>
        </w:rPr>
        <w:t xml:space="preserve">ны </w:t>
      </w:r>
      <w:r>
        <w:rPr>
          <w:rFonts w:ascii="Times New Roman" w:hAnsi="Times New Roman" w:eastAsia="Times New Roman" w:cs="Times New Roman"/>
          <w:b w:val="0"/>
          <w:bCs w:val="0"/>
          <w:color w:val="000000"/>
          <w:sz w:val="24"/>
        </w:rPr>
        <w:t xml:space="preserve">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r>
        <w:rPr>
          <w:b w:val="0"/>
          <w:bCs w:val="0"/>
        </w:rPr>
      </w:r>
      <w:r>
        <w:rPr>
          <w:b w:val="0"/>
          <w:bCs w:val="0"/>
        </w:rPr>
      </w:r>
    </w:p>
    <w:p>
      <w:pPr>
        <w:pStyle w:val="832"/>
        <w:numPr>
          <w:ilvl w:val="0"/>
          <w:numId w:val="1"/>
        </w:numPr>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44" w:name="_ref_1-00a1268d42f648"/>
      <w:r>
        <w:rPr>
          <w:rFonts w:ascii="Times New Roman" w:hAnsi="Times New Roman" w:eastAsia="Times New Roman" w:cs="Times New Roman"/>
          <w:b w:val="0"/>
          <w:bCs w:val="0"/>
          <w:sz w:val="24"/>
          <w:szCs w:val="24"/>
        </w:rPr>
      </w:r>
      <w:bookmarkStart w:id="45" w:name="_ref_1-a84f0b88286943_Копия_1"/>
      <w:r>
        <w:rPr>
          <w:rFonts w:ascii="Times New Roman" w:hAnsi="Times New Roman" w:eastAsia="Times New Roman" w:cs="Times New Roman"/>
          <w:b w:val="0"/>
          <w:bCs w:val="0"/>
          <w:sz w:val="24"/>
          <w:szCs w:val="24"/>
        </w:rPr>
      </w:r>
      <w:bookmarkEnd w:id="45"/>
      <w:r>
        <w:rPr>
          <w:rFonts w:ascii="Times New Roman" w:hAnsi="Times New Roman" w:eastAsia="Times New Roman" w:cs="Times New Roman"/>
          <w:b w:val="0"/>
          <w:bCs w:val="0"/>
          <w:sz w:val="24"/>
          <w:szCs w:val="24"/>
        </w:rPr>
        <w:t xml:space="preserve">Перечень приложений к Контракту</w:t>
      </w:r>
      <w:bookmarkEnd w:id="44"/>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46" w:name="_ref_1-188d873686fe41"/>
      <w:r>
        <w:rPr>
          <w:rFonts w:ascii="Times New Roman" w:hAnsi="Times New Roman" w:eastAsia="Times New Roman" w:cs="Times New Roman"/>
          <w:b w:val="0"/>
          <w:bCs w:val="0"/>
          <w:sz w:val="24"/>
          <w:szCs w:val="24"/>
        </w:rPr>
        <w:t xml:space="preserve">Приложение № </w:t>
      </w:r>
      <w:bookmarkEnd w:id="46"/>
      <w:r>
        <w:rPr>
          <w:rFonts w:ascii="Times New Roman" w:hAnsi="Times New Roman" w:eastAsia="Times New Roman" w:cs="Times New Roman"/>
          <w:b w:val="0"/>
          <w:bCs w:val="0"/>
          <w:sz w:val="24"/>
          <w:szCs w:val="24"/>
        </w:rPr>
        <w:t xml:space="preserve">1 «Техническое задание»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numPr>
          <w:ilvl w:val="1"/>
          <w:numId w:val="1"/>
        </w:numPr>
        <w:ind w:left="0" w:firstLine="68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 </w:t>
      </w:r>
      <w:bookmarkStart w:id="47" w:name="_ref_1-cdadf12f07ad42"/>
      <w:r>
        <w:rPr>
          <w:rFonts w:ascii="Times New Roman" w:hAnsi="Times New Roman" w:eastAsia="Times New Roman" w:cs="Times New Roman"/>
          <w:b w:val="0"/>
          <w:bCs w:val="0"/>
          <w:sz w:val="24"/>
          <w:szCs w:val="24"/>
        </w:rPr>
        <w:t xml:space="preserve">Приложение № 2 «</w:t>
      </w:r>
      <w:bookmarkEnd w:id="47"/>
      <w:r>
        <w:rPr>
          <w:rFonts w:ascii="Times New Roman" w:hAnsi="Times New Roman" w:eastAsia="Times New Roman" w:cs="Times New Roman"/>
          <w:b w:val="0"/>
          <w:bCs w:val="0"/>
          <w:sz w:val="24"/>
          <w:szCs w:val="24"/>
        </w:rPr>
        <w:t xml:space="preserve">Локальный сметный расчет»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5"/>
        <w:numPr>
          <w:ilvl w:val="0"/>
          <w:numId w:val="0"/>
        </w:numPr>
        <w:ind w:left="0" w:firstLine="0"/>
        <w:jc w:val="both"/>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0" w:firstLine="0"/>
        <w:jc w:val="center"/>
        <w:spacing w:before="120" w:after="12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15. </w:t>
      </w:r>
      <w:bookmarkStart w:id="48" w:name="_ref_1-4d9cdd59438e4f"/>
      <w:r>
        <w:rPr>
          <w:rFonts w:ascii="Times New Roman" w:hAnsi="Times New Roman" w:eastAsia="Times New Roman" w:cs="Times New Roman"/>
          <w:b w:val="0"/>
          <w:bCs w:val="0"/>
          <w:sz w:val="24"/>
          <w:szCs w:val="24"/>
        </w:rPr>
        <w:t xml:space="preserve">Адреса и реквизиты сторон</w:t>
      </w:r>
      <w:bookmarkEnd w:id="48"/>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tbl>
      <w:tblPr>
        <w:tblW w:w="10200" w:type="dxa"/>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1418"/>
        <w:gridCol w:w="3824"/>
        <w:gridCol w:w="1133"/>
        <w:gridCol w:w="3825"/>
      </w:tblGrid>
      <w:tr>
        <w:tblPrEx/>
        <w:trPr>
          <w:trHeight w:val="260"/>
        </w:trPr>
        <w:tc>
          <w:tcPr>
            <w:gridSpan w:val="2"/>
            <w:tcBorders>
              <w:top w:val="single" w:color="000000" w:sz="4" w:space="0"/>
              <w:left w:val="single" w:color="000000" w:sz="4" w:space="0"/>
              <w:bottom w:val="single" w:color="000000" w:sz="4" w:space="0"/>
              <w:right w:val="single" w:color="000000" w:sz="4" w:space="0"/>
            </w:tcBorders>
            <w:tcW w:w="5242" w:type="dxa"/>
            <w:textDirection w:val="lrTb"/>
            <w:noWrap w:val="false"/>
          </w:tcPr>
          <w:p>
            <w:pPr>
              <w:spacing w:line="276" w:lineRule="auto"/>
              <w:rPr>
                <w:bCs/>
                <w:color w:val="000000" w:themeColor="text1"/>
              </w:rPr>
            </w:pPr>
            <w:r>
              <w:rPr>
                <w:bCs/>
                <w:color w:val="000000" w:themeColor="text1"/>
                <w:lang w:eastAsia="en-US"/>
              </w:rPr>
              <w:t xml:space="preserve">Заказчик</w:t>
            </w:r>
            <w:r>
              <w:rPr>
                <w:bCs/>
                <w:color w:val="000000" w:themeColor="text1"/>
              </w:rPr>
            </w:r>
            <w:r>
              <w:rPr>
                <w:bCs/>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4958" w:type="dxa"/>
            <w:textDirection w:val="lrTb"/>
            <w:noWrap w:val="false"/>
          </w:tcPr>
          <w:p>
            <w:pPr>
              <w:spacing w:line="276" w:lineRule="auto"/>
              <w:rPr>
                <w:bCs/>
                <w:color w:val="000000" w:themeColor="text1"/>
              </w:rPr>
            </w:pPr>
            <w:r>
              <w:rPr>
                <w:bCs/>
                <w:color w:val="000000" w:themeColor="text1"/>
                <w:lang w:eastAsia="en-US"/>
              </w:rPr>
              <w:t xml:space="preserve">Подрядчик</w:t>
            </w:r>
            <w:r>
              <w:rPr>
                <w:bCs/>
                <w:color w:val="000000" w:themeColor="text1"/>
              </w:rPr>
            </w:r>
            <w:r>
              <w:rPr>
                <w:bCs/>
                <w:color w:val="000000" w:themeColor="text1"/>
              </w:rPr>
            </w:r>
          </w:p>
        </w:tc>
      </w:tr>
      <w:tr>
        <w:tblPrEx/>
        <w:trPr>
          <w:trHeight w:val="87"/>
        </w:trPr>
        <w:tc>
          <w:tcPr>
            <w:gridSpan w:val="2"/>
            <w:tcBorders>
              <w:top w:val="single" w:color="000000" w:sz="4" w:space="0"/>
              <w:left w:val="single" w:color="000000" w:sz="4" w:space="0"/>
              <w:bottom w:val="single" w:color="000000" w:sz="4" w:space="0"/>
              <w:right w:val="single" w:color="000000" w:sz="4" w:space="0"/>
            </w:tcBorders>
            <w:tcW w:w="5245" w:type="dxa"/>
            <w:textDirection w:val="lrTb"/>
            <w:noWrap w:val="false"/>
          </w:tcPr>
          <w:p>
            <w:pPr>
              <w:ind w:left="34" w:hanging="34"/>
              <w:spacing w:line="276" w:lineRule="auto"/>
              <w:rPr>
                <w:color w:val="000000" w:themeColor="text1"/>
              </w:rPr>
            </w:pPr>
            <w:r>
              <w:rPr>
                <w:color w:val="000000" w:themeColor="text1"/>
                <w:lang w:eastAsia="en-US"/>
              </w:rPr>
              <w:t xml:space="preserve">Управление Федеральной службы государственной регистрации, кадастра и картографии по Владимирской области</w:t>
            </w:r>
            <w:r>
              <w:rPr>
                <w:color w:val="000000" w:themeColor="text1"/>
              </w:rPr>
            </w:r>
            <w:r>
              <w:rPr>
                <w:color w:val="000000" w:themeColor="text1"/>
              </w:rPr>
            </w:r>
          </w:p>
          <w:p>
            <w:pPr>
              <w:ind w:left="34" w:hanging="34"/>
              <w:spacing w:line="276" w:lineRule="auto"/>
              <w:rPr>
                <w:color w:val="000000" w:themeColor="text1"/>
              </w:rPr>
            </w:pPr>
            <w:r>
              <w:rPr>
                <w:color w:val="000000" w:themeColor="text1"/>
              </w:rPr>
              <w:t xml:space="preserve">(Управление Росреестра по Владимирской области</w:t>
            </w:r>
            <w:r>
              <w:rPr>
                <w:color w:val="000000" w:themeColor="text1"/>
              </w:rPr>
            </w:r>
            <w:r>
              <w:rPr>
                <w:color w:val="000000" w:themeColor="text1"/>
              </w:rPr>
            </w:r>
          </w:p>
          <w:p>
            <w:pPr>
              <w:ind w:left="34" w:hanging="34"/>
              <w:spacing w:line="276" w:lineRule="auto"/>
              <w:rPr>
                <w:color w:val="000000" w:themeColor="text1"/>
              </w:rPr>
            </w:pPr>
            <w:r>
              <w:rPr>
                <w:color w:val="000000" w:themeColor="text1"/>
              </w:rPr>
              <w:t xml:space="preserve">ИКУ 13327818840332701001)</w:t>
            </w:r>
            <w:r>
              <w:rPr>
                <w:color w:val="000000" w:themeColor="text1"/>
              </w:rPr>
            </w:r>
            <w:r>
              <w:rPr>
                <w:color w:val="000000" w:themeColor="text1"/>
              </w:rPr>
            </w:r>
          </w:p>
        </w:tc>
        <w:tc>
          <w:tcPr>
            <w:gridSpan w:val="2"/>
            <w:tcBorders>
              <w:top w:val="single" w:color="000000" w:sz="4" w:space="0"/>
              <w:left w:val="single" w:color="000000" w:sz="4" w:space="0"/>
              <w:bottom w:val="single" w:color="000000" w:sz="4" w:space="0"/>
              <w:right w:val="single" w:color="000000" w:sz="4" w:space="0"/>
            </w:tcBorders>
            <w:tcW w:w="4962" w:type="dxa"/>
            <w:vAlign w:val="center"/>
            <w:textDirection w:val="lrTb"/>
            <w:noWrap w:val="false"/>
          </w:tcPr>
          <w:p>
            <w:pPr>
              <w:spacing w:line="276" w:lineRule="auto"/>
              <w:rPr>
                <w:color w:val="000000" w:themeColor="text1"/>
              </w:rPr>
            </w:pPr>
            <w:r>
              <w:rPr>
                <w:color w:val="000000" w:themeColor="text1"/>
                <w:lang w:eastAsia="en-US"/>
              </w:rPr>
            </w:r>
            <w:r>
              <w:rPr>
                <w:color w:val="000000" w:themeColor="text1"/>
              </w:rPr>
            </w:r>
            <w:r>
              <w:rPr>
                <w:color w:val="000000" w:themeColor="text1"/>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rPr>
              <w:suppressLineNumbers w:val="0"/>
            </w:pPr>
            <w:r>
              <w:rPr>
                <w:color w:val="000000" w:themeColor="text1"/>
                <w:lang w:eastAsia="en-US"/>
              </w:rPr>
            </w:r>
            <w:r>
              <w:rPr>
                <w:color w:val="000000" w:themeColor="text1"/>
                <w:lang w:eastAsia="en-US"/>
              </w:rPr>
              <w:t xml:space="preserve">ИНН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W w:w="3827" w:type="dxa"/>
            <w:vAlign w:val="center"/>
            <w:textDirection w:val="lrTb"/>
            <w:noWrap w:val="false"/>
          </w:tcPr>
          <w:p>
            <w:pPr>
              <w:ind w:firstLine="0"/>
              <w:spacing w:line="276" w:lineRule="auto"/>
              <w:rPr>
                <w:color w:val="000000" w:themeColor="text1"/>
              </w:rPr>
            </w:pPr>
            <w:r>
              <w:rPr>
                <w:color w:val="000000" w:themeColor="text1"/>
                <w:lang w:eastAsia="en-US"/>
              </w:rPr>
              <w:t xml:space="preserve">3327818840</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contextualSpacing w:val="0"/>
              <w:ind w:left="0" w:right="0" w:firstLine="0"/>
              <w:jc w:val="both"/>
              <w:spacing w:line="276" w:lineRule="auto"/>
              <w:rPr>
                <w:color w:val="000000" w:themeColor="text1"/>
              </w:rPr>
              <w:suppressLineNumbers w:val="0"/>
            </w:pPr>
            <w:r>
              <w:rPr>
                <w:color w:val="000000" w:themeColor="text1"/>
                <w:lang w:eastAsia="en-US"/>
              </w:rPr>
            </w:r>
            <w:r>
              <w:rPr>
                <w:color w:val="000000" w:themeColor="text1"/>
                <w:lang w:eastAsia="en-US"/>
              </w:rPr>
              <w:t xml:space="preserve">ИНН</w:t>
            </w:r>
            <w:r>
              <w:rPr>
                <w:color w:val="000000" w:themeColor="text1"/>
              </w:rPr>
            </w:r>
            <w:r>
              <w:rPr>
                <w:color w:val="000000" w:themeColor="text1"/>
              </w:rPr>
            </w:r>
          </w:p>
        </w:tc>
        <w:tc>
          <w:tcPr>
            <w:tcBorders>
              <w:top w:val="single" w:color="000000" w:sz="4" w:space="0"/>
              <w:left w:val="single" w:color="000000" w:sz="4" w:space="0"/>
              <w:bottom w:val="single" w:color="000000" w:sz="4" w:space="0"/>
              <w:right w:val="single" w:color="000000" w:sz="4" w:space="0"/>
            </w:tcBorders>
            <w:tcW w:w="3828" w:type="dxa"/>
            <w:vAlign w:val="center"/>
            <w:textDirection w:val="lrTb"/>
            <w:noWrap w:val="false"/>
          </w:tcPr>
          <w:p>
            <w:pPr>
              <w:spacing w:line="276" w:lineRule="auto"/>
              <w:rPr>
                <w:color w:val="000000" w:themeColor="text1"/>
              </w:rPr>
            </w:pPr>
            <w:r>
              <w:rPr>
                <w:color w:val="000000" w:themeColor="text1"/>
                <w:lang w:eastAsia="en-US"/>
              </w:rPr>
            </w:r>
            <w:r>
              <w:rPr>
                <w:color w:val="000000" w:themeColor="text1"/>
              </w:rPr>
            </w:r>
            <w:r>
              <w:rPr>
                <w:color w:val="000000" w:themeColor="text1"/>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КПП</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7"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332701001</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КПП</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8" w:type="dxa"/>
            <w:vAlign w:val="center"/>
            <w:textDirection w:val="lrTb"/>
            <w:noWrap w:val="false"/>
          </w:tcPr>
          <w:p>
            <w:pPr>
              <w:spacing w:line="276" w:lineRule="auto"/>
              <w:widowControl w:val="off"/>
              <w:rPr>
                <w:rFonts w:eastAsia="SimSun" w:cs="Mangal"/>
                <w:color w:val="000000" w:themeColor="text1"/>
              </w:rPr>
            </w:pPr>
            <w:r>
              <w:rPr>
                <w:rFonts w:eastAsia="SimSun" w:cs="Mangal"/>
                <w:color w:val="000000" w:themeColor="text1"/>
                <w:lang w:eastAsia="hi-IN" w:bidi="hi-IN"/>
              </w:rPr>
            </w:r>
            <w:r>
              <w:rPr>
                <w:rFonts w:eastAsia="SimSun" w:cs="Mangal"/>
                <w:color w:val="000000" w:themeColor="text1"/>
              </w:rPr>
            </w:r>
            <w:r>
              <w:rPr>
                <w:rFonts w:eastAsia="SimSun" w:cs="Mangal"/>
                <w:color w:val="000000" w:themeColor="text1"/>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ОКПО</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7"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75631540</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ОГРН</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8" w:type="dxa"/>
            <w:vAlign w:val="center"/>
            <w:textDirection w:val="lrTb"/>
            <w:noWrap w:val="false"/>
          </w:tcPr>
          <w:p>
            <w:pPr>
              <w:spacing w:line="276" w:lineRule="auto"/>
              <w:rPr>
                <w:color w:val="000000" w:themeColor="text1"/>
              </w:rPr>
            </w:pPr>
            <w:r>
              <w:rPr>
                <w:color w:val="000000" w:themeColor="text1"/>
                <w:lang w:eastAsia="en-US"/>
              </w:rPr>
            </w:r>
            <w:r>
              <w:rPr>
                <w:color w:val="000000" w:themeColor="text1"/>
              </w:rPr>
            </w:r>
            <w:r>
              <w:rPr>
                <w:color w:val="000000" w:themeColor="text1"/>
              </w:rPr>
            </w:r>
          </w:p>
        </w:tc>
      </w:tr>
      <w:tr>
        <w:tblPrEx/>
        <w:trPr>
          <w:trHeight w:val="83"/>
        </w:trPr>
        <w:tc>
          <w:tcPr>
            <w:gridSpan w:val="2"/>
            <w:tcBorders>
              <w:top w:val="single" w:color="000000" w:sz="4" w:space="0"/>
              <w:left w:val="single" w:color="000000" w:sz="4" w:space="0"/>
              <w:right w:val="single" w:color="000000" w:sz="4" w:space="0"/>
            </w:tcBorders>
            <w:tcW w:w="5242" w:type="dxa"/>
            <w:vAlign w:val="center"/>
            <w:vMerge w:val="restart"/>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r>
            <w:r>
              <w:rPr>
                <w:color w:val="000000" w:themeColor="text1"/>
                <w:lang w:eastAsia="en-US"/>
              </w:rPr>
              <w:t xml:space="preserve">ОКЦ № 1 ВВГУ Банка России //УФК по Нижегородской области г. Нижний Новгород</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4"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ОКПО</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8" w:type="dxa"/>
            <w:vAlign w:val="center"/>
            <w:textDirection w:val="lrTb"/>
            <w:noWrap w:val="false"/>
          </w:tcPr>
          <w:p>
            <w:pPr>
              <w:spacing w:line="276" w:lineRule="auto"/>
              <w:widowControl w:val="off"/>
              <w:rPr>
                <w:rFonts w:eastAsia="SimSun" w:cs="Mangal"/>
                <w:color w:val="000000" w:themeColor="text1"/>
              </w:rPr>
            </w:pPr>
            <w:r>
              <w:rPr>
                <w:rFonts w:eastAsia="SimSun" w:cs="Mangal"/>
                <w:color w:val="000000" w:themeColor="text1"/>
                <w:lang w:eastAsia="hi-IN" w:bidi="hi-IN"/>
              </w:rPr>
            </w:r>
            <w:r>
              <w:rPr>
                <w:rFonts w:eastAsia="SimSun" w:cs="Mangal"/>
                <w:color w:val="000000" w:themeColor="text1"/>
              </w:rPr>
            </w:r>
            <w:r>
              <w:rPr>
                <w:rFonts w:eastAsia="SimSun" w:cs="Mangal"/>
                <w:color w:val="000000" w:themeColor="text1"/>
              </w:rPr>
            </w:r>
          </w:p>
        </w:tc>
      </w:tr>
      <w:tr>
        <w:tblPrEx/>
        <w:trPr>
          <w:trHeight w:val="317"/>
        </w:trPr>
        <w:tc>
          <w:tcPr>
            <w:gridSpan w:val="2"/>
            <w:tcBorders>
              <w:left w:val="single" w:color="000000" w:sz="4" w:space="0"/>
              <w:bottom w:val="single" w:color="000000" w:sz="4" w:space="0"/>
              <w:right w:val="single" w:color="000000" w:sz="4" w:space="0"/>
            </w:tcBorders>
            <w:tcW w:w="5242" w:type="dxa"/>
            <w:vAlign w:val="center"/>
            <w:vMerge w:val="continue"/>
            <w:textDirection w:val="lrTb"/>
            <w:noWrap w:val="false"/>
          </w:tcPr>
          <w:p>
            <w:pPr>
              <w:rPr>
                <w:lang w:eastAsia="en-US"/>
              </w:rPr>
            </w:pPr>
            <w:r>
              <w:rPr>
                <w:lang w:eastAsia="en-US"/>
              </w:rPr>
            </w:r>
            <w:r>
              <w:rPr>
                <w:lang w:eastAsia="en-US"/>
              </w:rPr>
            </w:r>
            <w:r>
              <w:rPr>
                <w:lang w:eastAsia="en-US"/>
              </w:rPr>
            </w:r>
          </w:p>
        </w:tc>
        <w:tc>
          <w:tcPr>
            <w:tcBorders>
              <w:top w:val="single" w:color="000000" w:sz="4" w:space="0"/>
              <w:left w:val="single" w:color="000000" w:sz="4" w:space="0"/>
              <w:bottom w:val="single" w:color="000000" w:sz="4" w:space="0"/>
              <w:right w:val="single" w:color="000000" w:sz="4" w:space="0"/>
            </w:tcBorders>
            <w:tcW w:w="1133" w:type="dxa"/>
            <w:vAlign w:val="center"/>
            <w:vMerge w:val="restart"/>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ОКВЭД</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5" w:type="dxa"/>
            <w:vAlign w:val="center"/>
            <w:vMerge w:val="restart"/>
            <w:textDirection w:val="lrTb"/>
            <w:noWrap w:val="false"/>
          </w:tcPr>
          <w:p>
            <w:pPr>
              <w:spacing w:line="276" w:lineRule="auto"/>
              <w:rPr>
                <w:color w:val="000000" w:themeColor="text1"/>
              </w:rPr>
            </w:pPr>
            <w:r>
              <w:rPr>
                <w:color w:val="000000" w:themeColor="text1"/>
                <w:lang w:eastAsia="en-US"/>
              </w:rPr>
            </w:r>
            <w:r>
              <w:rPr>
                <w:color w:val="000000" w:themeColor="text1"/>
              </w:rPr>
            </w:r>
            <w:r>
              <w:rPr>
                <w:color w:val="000000" w:themeColor="text1"/>
              </w:rPr>
            </w:r>
          </w:p>
        </w:tc>
      </w:tr>
      <w:tr>
        <w:tblPrEx/>
        <w:trPr>
          <w:trHeight w:val="317"/>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Номер счета получателя </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4"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r>
            <w:r>
              <w:rPr>
                <w:color w:val="000000" w:themeColor="text1"/>
                <w:lang w:eastAsia="en-US"/>
              </w:rPr>
              <w:t xml:space="preserve">03211643000000013236</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3" w:type="dxa"/>
            <w:vAlign w:val="center"/>
            <w:vMerge w:val="continue"/>
            <w:textDirection w:val="lrTb"/>
            <w:noWrap w:val="false"/>
          </w:tcPr>
          <w:p>
            <w:pPr>
              <w:rPr>
                <w:lang w:eastAsia="en-US"/>
              </w:rPr>
            </w:pPr>
            <w:r>
              <w:rPr>
                <w:lang w:eastAsia="en-US"/>
              </w:rPr>
            </w:r>
            <w:r>
              <w:rPr>
                <w:lang w:eastAsia="en-US"/>
              </w:rPr>
            </w:r>
            <w:r>
              <w:rPr>
                <w:lang w:eastAsia="en-US"/>
              </w:rPr>
            </w:r>
          </w:p>
        </w:tc>
        <w:tc>
          <w:tcPr>
            <w:tcBorders>
              <w:top w:val="single" w:color="000000" w:sz="4" w:space="0"/>
              <w:left w:val="single" w:color="000000" w:sz="4" w:space="0"/>
              <w:bottom w:val="single" w:color="000000" w:sz="4" w:space="0"/>
              <w:right w:val="single" w:color="000000" w:sz="4" w:space="0"/>
            </w:tcBorders>
            <w:tcW w:w="3825" w:type="dxa"/>
            <w:vAlign w:val="center"/>
            <w:vMerge w:val="continue"/>
            <w:textDirection w:val="lrTb"/>
            <w:noWrap w:val="false"/>
          </w:tcPr>
          <w:p>
            <w:pPr>
              <w:rPr>
                <w:lang w:eastAsia="en-US"/>
              </w:rPr>
            </w:pPr>
            <w:r>
              <w:rPr>
                <w:lang w:eastAsia="en-US"/>
              </w:rPr>
            </w:r>
            <w:r>
              <w:rPr>
                <w:lang w:eastAsia="en-US"/>
              </w:rPr>
            </w:r>
            <w:r>
              <w:rPr>
                <w:lang w:eastAsia="en-US"/>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ЕКС</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4"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r>
            <w:r>
              <w:rPr>
                <w:color w:val="000000" w:themeColor="text1"/>
                <w:lang w:eastAsia="en-US"/>
              </w:rPr>
              <w:t xml:space="preserve">40102810745370000024</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3"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ОКТМО</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5" w:type="dxa"/>
            <w:vAlign w:val="center"/>
            <w:textDirection w:val="lrTb"/>
            <w:noWrap w:val="false"/>
          </w:tcPr>
          <w:p>
            <w:pPr>
              <w:spacing w:line="276"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rPr>
                <w:color w:val="000000" w:themeColor="text1"/>
              </w:rPr>
            </w:pPr>
            <w:r>
              <w:rPr>
                <w:color w:val="000000" w:themeColor="text1"/>
                <w:lang w:eastAsia="en-US"/>
              </w:rPr>
            </w:r>
            <w:r>
              <w:rPr>
                <w:color w:val="000000" w:themeColor="text1"/>
              </w:rPr>
            </w:r>
            <w:r>
              <w:rPr>
                <w:color w:val="000000" w:themeColor="text1"/>
              </w:rPr>
            </w:r>
          </w:p>
        </w:tc>
      </w:tr>
      <w:tr>
        <w:tblPrEx/>
        <w:trPr>
          <w:trHeight w:val="659"/>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БИК</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4"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r>
            <w:r>
              <w:rPr>
                <w:color w:val="000000" w:themeColor="text1"/>
                <w:lang w:eastAsia="en-US"/>
              </w:rPr>
              <w:t xml:space="preserve">012202102</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3"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БАНК</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5" w:type="dxa"/>
            <w:vAlign w:val="center"/>
            <w:textDirection w:val="lrTb"/>
            <w:noWrap w:val="false"/>
          </w:tcPr>
          <w:p>
            <w:pPr>
              <w:spacing w:line="276" w:lineRule="auto"/>
              <w:rPr>
                <w:bCs/>
                <w:color w:val="000000" w:themeColor="text1"/>
              </w:rPr>
            </w:pPr>
            <w:r>
              <w:rPr>
                <w:bCs/>
                <w:color w:val="000000" w:themeColor="text1"/>
                <w:lang w:eastAsia="en-US"/>
              </w:rPr>
            </w:r>
            <w:r>
              <w:rPr>
                <w:bCs/>
                <w:color w:val="000000" w:themeColor="text1"/>
              </w:rPr>
            </w:r>
            <w:r>
              <w:rPr>
                <w:bCs/>
                <w:color w:val="000000" w:themeColor="text1"/>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Л/С</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4"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03281</w:t>
            </w:r>
            <w:r>
              <w:rPr>
                <w:color w:val="000000" w:themeColor="text1"/>
                <w:lang w:val="en-US" w:eastAsia="en-US"/>
              </w:rPr>
              <w:t xml:space="preserve">W</w:t>
            </w:r>
            <w:r>
              <w:rPr>
                <w:color w:val="000000" w:themeColor="text1"/>
                <w:lang w:eastAsia="en-US"/>
              </w:rPr>
              <w:t xml:space="preserve">00670</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3"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Р</w:t>
            </w:r>
            <w:r>
              <w:rPr>
                <w:color w:val="000000" w:themeColor="text1"/>
                <w:lang w:eastAsia="en-US"/>
              </w:rPr>
              <w:t xml:space="preserve">/С</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5" w:type="dxa"/>
            <w:vAlign w:val="center"/>
            <w:textDirection w:val="lrTb"/>
            <w:noWrap w:val="false"/>
          </w:tcPr>
          <w:p>
            <w:pPr>
              <w:spacing w:line="276" w:lineRule="auto"/>
              <w:rPr>
                <w:bCs/>
                <w:color w:val="000000" w:themeColor="text1"/>
              </w:rPr>
            </w:pPr>
            <w:r>
              <w:rPr>
                <w:bCs/>
                <w:color w:val="000000" w:themeColor="text1"/>
                <w:lang w:eastAsia="en-US"/>
              </w:rPr>
            </w:r>
            <w:r>
              <w:rPr>
                <w:bCs/>
                <w:color w:val="000000" w:themeColor="text1"/>
              </w:rPr>
            </w:r>
            <w:r>
              <w:rPr>
                <w:bCs/>
                <w:color w:val="000000" w:themeColor="text1"/>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vMerge w:val="restart"/>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ОГРН</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4" w:type="dxa"/>
            <w:vAlign w:val="center"/>
            <w:vMerge w:val="restart"/>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1043301818669</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1133"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К/С</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5" w:type="dxa"/>
            <w:vAlign w:val="center"/>
            <w:textDirection w:val="lrTb"/>
            <w:noWrap w:val="false"/>
          </w:tcPr>
          <w:p>
            <w:pPr>
              <w:spacing w:line="276" w:lineRule="auto"/>
              <w:widowControl w:val="off"/>
              <w:rPr>
                <w:rFonts w:eastAsia="SimSun" w:cs="Mangal"/>
                <w:color w:val="000000" w:themeColor="text1"/>
              </w:rPr>
            </w:pPr>
            <w:r>
              <w:rPr>
                <w:rFonts w:eastAsia="SimSun" w:cs="Mangal"/>
                <w:color w:val="000000" w:themeColor="text1"/>
                <w:lang w:eastAsia="hi-IN" w:bidi="hi-IN"/>
              </w:rPr>
            </w:r>
            <w:r>
              <w:rPr>
                <w:rFonts w:eastAsia="SimSun" w:cs="Mangal"/>
                <w:color w:val="000000" w:themeColor="text1"/>
              </w:rPr>
            </w:r>
            <w:r>
              <w:rPr>
                <w:rFonts w:eastAsia="SimSun" w:cs="Mangal"/>
                <w:color w:val="000000" w:themeColor="text1"/>
              </w:rPr>
            </w:r>
          </w:p>
        </w:tc>
      </w:tr>
      <w:tr>
        <w:tblPrEx/>
        <w:trPr>
          <w:trHeight w:val="83"/>
        </w:trPr>
        <w:tc>
          <w:tcPr>
            <w:tcBorders>
              <w:top w:val="single" w:color="000000" w:sz="4" w:space="0"/>
              <w:left w:val="single" w:color="000000" w:sz="4" w:space="0"/>
              <w:bottom w:val="single" w:color="000000" w:sz="4" w:space="0"/>
              <w:right w:val="single" w:color="000000" w:sz="4" w:space="0"/>
            </w:tcBorders>
            <w:tcW w:w="1418" w:type="dxa"/>
            <w:vAlign w:val="center"/>
            <w:vMerge w:val="continue"/>
            <w:textDirection w:val="lrTb"/>
            <w:noWrap w:val="false"/>
          </w:tcPr>
          <w:p>
            <w:pPr>
              <w:rPr>
                <w:lang w:eastAsia="en-US"/>
              </w:rPr>
            </w:pPr>
            <w:r>
              <w:rPr>
                <w:lang w:eastAsia="en-US"/>
              </w:rPr>
            </w:r>
            <w:r>
              <w:rPr>
                <w:lang w:eastAsia="en-US"/>
              </w:rPr>
            </w:r>
            <w:r>
              <w:rPr>
                <w:lang w:eastAsia="en-US"/>
              </w:rPr>
            </w:r>
          </w:p>
        </w:tc>
        <w:tc>
          <w:tcPr>
            <w:tcBorders>
              <w:top w:val="single" w:color="000000" w:sz="4" w:space="0"/>
              <w:left w:val="single" w:color="000000" w:sz="4" w:space="0"/>
              <w:bottom w:val="single" w:color="000000" w:sz="4" w:space="0"/>
              <w:right w:val="single" w:color="000000" w:sz="4" w:space="0"/>
            </w:tcBorders>
            <w:tcW w:w="3824" w:type="dxa"/>
            <w:vAlign w:val="center"/>
            <w:vMerge w:val="continue"/>
            <w:textDirection w:val="lrTb"/>
            <w:noWrap w:val="false"/>
          </w:tcPr>
          <w:p>
            <w:pPr>
              <w:rPr>
                <w:lang w:eastAsia="en-US"/>
              </w:rPr>
            </w:pPr>
            <w:r>
              <w:rPr>
                <w:lang w:eastAsia="en-US"/>
              </w:rPr>
            </w:r>
            <w:r>
              <w:rPr>
                <w:lang w:eastAsia="en-US"/>
              </w:rPr>
            </w:r>
            <w:r>
              <w:rPr>
                <w:lang w:eastAsia="en-US"/>
              </w:rPr>
            </w:r>
          </w:p>
        </w:tc>
        <w:tc>
          <w:tcPr>
            <w:tcBorders>
              <w:top w:val="single" w:color="000000" w:sz="4" w:space="0"/>
              <w:left w:val="single" w:color="000000" w:sz="4" w:space="0"/>
              <w:bottom w:val="single" w:color="000000" w:sz="4" w:space="0"/>
              <w:right w:val="single" w:color="000000" w:sz="4" w:space="0"/>
            </w:tcBorders>
            <w:tcW w:w="1133"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БИК</w:t>
            </w:r>
            <w:r>
              <w:rPr>
                <w:color w:val="000000" w:themeColor="text1"/>
                <w:lang w:eastAsia="en-US"/>
                <w14:ligatures w14:val="none"/>
              </w:rPr>
            </w:r>
            <w:r>
              <w:rPr>
                <w:color w:val="000000" w:themeColor="text1"/>
                <w:lang w:eastAsia="en-US"/>
                <w14:ligatures w14:val="none"/>
              </w:rPr>
            </w:r>
          </w:p>
        </w:tc>
        <w:tc>
          <w:tcPr>
            <w:tcBorders>
              <w:top w:val="single" w:color="000000" w:sz="4" w:space="0"/>
              <w:left w:val="single" w:color="000000" w:sz="4" w:space="0"/>
              <w:bottom w:val="single" w:color="000000" w:sz="4" w:space="0"/>
              <w:right w:val="single" w:color="000000" w:sz="4" w:space="0"/>
            </w:tcBorders>
            <w:tcW w:w="3825" w:type="dxa"/>
            <w:vAlign w:val="center"/>
            <w:textDirection w:val="lrTb"/>
            <w:noWrap w:val="false"/>
          </w:tcPr>
          <w:p>
            <w:pPr>
              <w:spacing w:line="276" w:lineRule="auto"/>
              <w:rPr>
                <w:color w:val="000000" w:themeColor="text1"/>
              </w:rPr>
            </w:pPr>
            <w:r>
              <w:rPr>
                <w:color w:val="000000" w:themeColor="text1"/>
                <w:lang w:eastAsia="en-US"/>
              </w:rPr>
            </w:r>
            <w:r>
              <w:rPr>
                <w:color w:val="000000" w:themeColor="text1"/>
              </w:rPr>
            </w:r>
            <w:r>
              <w:rPr>
                <w:color w:val="000000" w:themeColor="text1"/>
              </w:rPr>
            </w:r>
          </w:p>
        </w:tc>
      </w:tr>
      <w:tr>
        <w:tblPrEx/>
        <w:trPr>
          <w:trHeight w:val="276"/>
        </w:trPr>
        <w:tc>
          <w:tcPr>
            <w:tcBorders>
              <w:top w:val="single" w:color="000000" w:sz="4" w:space="0"/>
              <w:left w:val="single" w:color="000000" w:sz="4" w:space="0"/>
              <w:bottom w:val="single" w:color="000000" w:sz="4" w:space="0"/>
              <w:right w:val="single" w:color="000000" w:sz="4" w:space="0"/>
            </w:tcBorders>
            <w:tcW w:w="1418" w:type="dxa"/>
            <w:vAlign w:val="center"/>
            <w:vMerge w:val="continue"/>
            <w:textDirection w:val="lrTb"/>
            <w:noWrap w:val="false"/>
          </w:tcPr>
          <w:p>
            <w:pPr>
              <w:rPr>
                <w:lang w:eastAsia="en-US"/>
              </w:rPr>
            </w:pPr>
            <w:r>
              <w:rPr>
                <w:lang w:eastAsia="en-US"/>
              </w:rPr>
            </w:r>
            <w:r>
              <w:rPr>
                <w:lang w:eastAsia="en-US"/>
              </w:rPr>
            </w:r>
            <w:r>
              <w:rPr>
                <w:lang w:eastAsia="en-US"/>
              </w:rPr>
            </w:r>
          </w:p>
        </w:tc>
        <w:tc>
          <w:tcPr>
            <w:tcBorders>
              <w:top w:val="single" w:color="000000" w:sz="4" w:space="0"/>
              <w:left w:val="single" w:color="000000" w:sz="4" w:space="0"/>
              <w:bottom w:val="single" w:color="000000" w:sz="4" w:space="0"/>
              <w:right w:val="single" w:color="000000" w:sz="4" w:space="0"/>
            </w:tcBorders>
            <w:tcW w:w="3824" w:type="dxa"/>
            <w:vAlign w:val="center"/>
            <w:vMerge w:val="continue"/>
            <w:textDirection w:val="lrTb"/>
            <w:noWrap w:val="false"/>
          </w:tcPr>
          <w:p>
            <w:pPr>
              <w:rPr>
                <w:lang w:eastAsia="en-US"/>
              </w:rPr>
            </w:pPr>
            <w:r>
              <w:rPr>
                <w:lang w:eastAsia="en-US"/>
              </w:rPr>
            </w:r>
            <w:r>
              <w:rPr>
                <w:lang w:eastAsia="en-US"/>
              </w:rPr>
            </w:r>
            <w:r>
              <w:rPr>
                <w:lang w:eastAsia="en-US"/>
              </w:rPr>
            </w:r>
          </w:p>
        </w:tc>
        <w:tc>
          <w:tcPr>
            <w:gridSpan w:val="2"/>
            <w:tcBorders>
              <w:top w:val="single" w:color="000000" w:sz="4" w:space="0"/>
              <w:left w:val="single" w:color="000000" w:sz="4" w:space="0"/>
              <w:bottom w:val="single" w:color="000000" w:sz="4" w:space="0"/>
              <w:right w:val="single" w:color="000000" w:sz="4" w:space="0"/>
            </w:tcBorders>
            <w:tcW w:w="4958" w:type="dxa"/>
            <w:vAlign w:val="center"/>
            <w:vMerge w:val="restart"/>
            <w:textDirection w:val="lrTb"/>
            <w:noWrap w:val="false"/>
          </w:tcPr>
          <w:p>
            <w:pPr>
              <w:contextualSpacing w:val="0"/>
              <w:ind w:left="0" w:right="0" w:firstLine="0"/>
              <w:jc w:val="both"/>
              <w:spacing w:line="276" w:lineRule="auto"/>
              <w:rPr>
                <w:bCs/>
                <w:color w:val="000000" w:themeColor="text1"/>
                <w:lang w:eastAsia="en-US"/>
                <w14:ligatures w14:val="none"/>
              </w:rPr>
            </w:pPr>
            <w:r>
              <w:rPr>
                <w:color w:val="000000" w:themeColor="text1"/>
                <w:lang w:eastAsia="en-US"/>
              </w:rPr>
              <w:t xml:space="preserve">Юридический адрес: </w:t>
            </w:r>
            <w:r>
              <w:rPr>
                <w:bCs/>
                <w:color w:val="000000" w:themeColor="text1"/>
                <w:lang w:eastAsia="en-US"/>
                <w14:ligatures w14:val="none"/>
              </w:rPr>
            </w:r>
            <w:r>
              <w:rPr>
                <w:bCs/>
                <w:color w:val="000000" w:themeColor="text1"/>
                <w:lang w:eastAsia="en-US"/>
                <w14:ligatures w14:val="none"/>
              </w:rPr>
            </w:r>
          </w:p>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Почтовый адрес:</w:t>
            </w:r>
            <w:r>
              <w:rPr>
                <w:color w:val="000000" w:themeColor="text1"/>
                <w:lang w:eastAsia="en-US"/>
                <w14:ligatures w14:val="none"/>
              </w:rPr>
            </w:r>
            <w:r>
              <w:rPr>
                <w:color w:val="000000" w:themeColor="text1"/>
                <w:lang w:eastAsia="en-US"/>
                <w14:ligatures w14:val="none"/>
              </w:rPr>
            </w:r>
          </w:p>
        </w:tc>
      </w:tr>
      <w:tr>
        <w:tblPrEx/>
        <w:trPr>
          <w:trHeight w:val="83"/>
        </w:trPr>
        <w:tc>
          <w:tcPr>
            <w:gridSpan w:val="2"/>
            <w:tcBorders>
              <w:top w:val="single" w:color="000000" w:sz="4" w:space="0"/>
              <w:left w:val="single" w:color="000000" w:sz="4" w:space="0"/>
              <w:bottom w:val="single" w:color="000000" w:sz="4" w:space="0"/>
              <w:right w:val="single" w:color="000000" w:sz="4" w:space="0"/>
            </w:tcBorders>
            <w:tcW w:w="5242"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Тел.: 32-16-61; 45-08-13; 45-08-16</w:t>
            </w:r>
            <w:r>
              <w:rPr>
                <w:color w:val="000000" w:themeColor="text1"/>
                <w:lang w:eastAsia="en-US"/>
                <w14:ligatures w14:val="none"/>
              </w:rPr>
            </w:r>
            <w:r>
              <w:rPr>
                <w:color w:val="000000" w:themeColor="text1"/>
                <w:lang w:eastAsia="en-US"/>
                <w14:ligatures w14:val="none"/>
              </w:rPr>
            </w:r>
          </w:p>
        </w:tc>
        <w:tc>
          <w:tcPr>
            <w:gridSpan w:val="2"/>
            <w:tcBorders>
              <w:top w:val="single" w:color="000000" w:sz="4" w:space="0"/>
              <w:left w:val="single" w:color="000000" w:sz="4" w:space="0"/>
              <w:bottom w:val="single" w:color="000000" w:sz="4" w:space="0"/>
              <w:right w:val="single" w:color="000000" w:sz="4" w:space="0"/>
            </w:tcBorders>
            <w:tcW w:w="4958" w:type="dxa"/>
            <w:vAlign w:val="center"/>
            <w:vMerge w:val="continue"/>
            <w:textDirection w:val="lrTb"/>
            <w:noWrap w:val="false"/>
          </w:tcPr>
          <w:p>
            <w:pPr>
              <w:rPr>
                <w:lang w:eastAsia="en-US"/>
              </w:rPr>
            </w:pPr>
            <w:r>
              <w:rPr>
                <w:lang w:eastAsia="en-US"/>
              </w:rPr>
            </w:r>
            <w:r>
              <w:rPr>
                <w:lang w:eastAsia="en-US"/>
              </w:rPr>
            </w:r>
            <w:r>
              <w:rPr>
                <w:lang w:eastAsia="en-US"/>
              </w:rPr>
            </w:r>
          </w:p>
        </w:tc>
      </w:tr>
      <w:tr>
        <w:tblPrEx/>
        <w:trPr>
          <w:trHeight w:val="83"/>
        </w:trPr>
        <w:tc>
          <w:tcPr>
            <w:gridSpan w:val="2"/>
            <w:tcBorders>
              <w:top w:val="single" w:color="000000" w:sz="4" w:space="0"/>
              <w:left w:val="single" w:color="000000" w:sz="4" w:space="0"/>
              <w:bottom w:val="single" w:color="000000" w:sz="4" w:space="0"/>
              <w:right w:val="single" w:color="000000" w:sz="4" w:space="0"/>
            </w:tcBorders>
            <w:tcW w:w="5242"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t xml:space="preserve">600033, г</w:t>
            </w:r>
            <w:r>
              <w:rPr>
                <w:color w:val="000000" w:themeColor="text1"/>
                <w:lang w:eastAsia="en-US"/>
              </w:rPr>
              <w:t xml:space="preserve">. Владимир, ул. Офицерская, д. № 33</w:t>
            </w:r>
            <w:r>
              <w:rPr>
                <w:color w:val="000000" w:themeColor="text1"/>
                <w:lang w:eastAsia="en-US"/>
              </w:rPr>
              <w:t xml:space="preserve"> А</w:t>
            </w:r>
            <w:r>
              <w:rPr>
                <w:color w:val="000000" w:themeColor="text1"/>
                <w:lang w:eastAsia="en-US"/>
                <w14:ligatures w14:val="none"/>
              </w:rPr>
            </w:r>
            <w:r>
              <w:rPr>
                <w:color w:val="000000" w:themeColor="text1"/>
                <w:lang w:eastAsia="en-US"/>
                <w14:ligatures w14:val="none"/>
              </w:rPr>
            </w:r>
          </w:p>
        </w:tc>
        <w:tc>
          <w:tcPr>
            <w:gridSpan w:val="2"/>
            <w:tcBorders>
              <w:top w:val="single" w:color="000000" w:sz="4" w:space="0"/>
              <w:left w:val="single" w:color="000000" w:sz="4" w:space="0"/>
              <w:bottom w:val="single" w:color="000000" w:sz="4" w:space="0"/>
              <w:right w:val="single" w:color="000000" w:sz="4" w:space="0"/>
            </w:tcBorders>
            <w:tcW w:w="4958" w:type="dxa"/>
            <w:vAlign w:val="center"/>
            <w:textDirection w:val="lrTb"/>
            <w:noWrap w:val="false"/>
          </w:tcPr>
          <w:p>
            <w:pPr>
              <w:contextualSpacing w:val="0"/>
              <w:ind w:left="0" w:right="0" w:firstLine="0"/>
              <w:jc w:val="both"/>
              <w:spacing w:line="276" w:lineRule="auto"/>
              <w:rPr>
                <w:color w:val="000000" w:themeColor="text1"/>
                <w:lang w:eastAsia="en-US"/>
                <w14:ligatures w14:val="none"/>
              </w:rPr>
            </w:pPr>
            <w:r>
              <w:rPr>
                <w:color w:val="000000" w:themeColor="text1"/>
                <w:lang w:eastAsia="en-US"/>
              </w:rPr>
              <w:t xml:space="preserve">Дата государственной регистрации в налоговом органе: </w:t>
            </w:r>
            <w:r>
              <w:rPr>
                <w:color w:val="000000" w:themeColor="text1"/>
                <w:lang w:eastAsia="en-US"/>
                <w14:ligatures w14:val="none"/>
              </w:rPr>
            </w:r>
            <w:r>
              <w:rPr>
                <w:color w:val="000000" w:themeColor="text1"/>
                <w:lang w:eastAsia="en-US"/>
                <w14:ligatures w14:val="none"/>
              </w:rPr>
            </w:r>
          </w:p>
        </w:tc>
      </w:tr>
      <w:tr>
        <w:tblPrEx/>
        <w:trPr>
          <w:trHeight w:val="83"/>
        </w:trPr>
        <w:tc>
          <w:tcPr>
            <w:gridSpan w:val="2"/>
            <w:tcBorders>
              <w:top w:val="single" w:color="000000" w:sz="4" w:space="0"/>
              <w:left w:val="single" w:color="000000" w:sz="4" w:space="0"/>
              <w:bottom w:val="single" w:color="000000" w:sz="4" w:space="0"/>
              <w:right w:val="single" w:color="000000" w:sz="4" w:space="0"/>
            </w:tcBorders>
            <w:tcW w:w="5242" w:type="dxa"/>
            <w:vAlign w:val="center"/>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val="de-DE" w:eastAsia="en-US"/>
              </w:rPr>
              <w:t xml:space="preserve">e-mail</w:t>
            </w:r>
            <w:r>
              <w:rPr>
                <w:color w:val="000000" w:themeColor="text1"/>
                <w:lang w:val="de-DE" w:eastAsia="en-US"/>
              </w:rPr>
              <w:t xml:space="preserve">: info@vladrosreg.ru</w:t>
            </w:r>
            <w:r>
              <w:rPr>
                <w:color w:val="000000" w:themeColor="text1"/>
                <w:lang w:eastAsia="en-US"/>
                <w14:ligatures w14:val="none"/>
              </w:rPr>
            </w:r>
            <w:r>
              <w:rPr>
                <w:color w:val="000000" w:themeColor="text1"/>
                <w:lang w:eastAsia="en-US"/>
                <w14:ligatures w14:val="none"/>
              </w:rPr>
            </w:r>
          </w:p>
        </w:tc>
        <w:tc>
          <w:tcPr>
            <w:gridSpan w:val="2"/>
            <w:tcBorders>
              <w:top w:val="single" w:color="000000" w:sz="4" w:space="0"/>
              <w:left w:val="single" w:color="000000" w:sz="4" w:space="0"/>
              <w:bottom w:val="single" w:color="000000" w:sz="4" w:space="0"/>
              <w:right w:val="single" w:color="000000" w:sz="4" w:space="0"/>
            </w:tcBorders>
            <w:tcW w:w="4958" w:type="dxa"/>
            <w:vAlign w:val="center"/>
            <w:textDirection w:val="lrTb"/>
            <w:noWrap w:val="false"/>
          </w:tcPr>
          <w:p>
            <w:pPr>
              <w:contextualSpacing w:val="0"/>
              <w:ind w:left="0" w:right="0" w:firstLine="0"/>
              <w:jc w:val="both"/>
              <w:spacing w:line="276" w:lineRule="auto"/>
              <w:rPr>
                <w:bCs/>
                <w:color w:val="000000" w:themeColor="text1"/>
                <w:lang w:eastAsia="en-US"/>
                <w14:ligatures w14:val="none"/>
              </w:rPr>
            </w:pPr>
            <w:r>
              <w:rPr>
                <w:color w:val="000000" w:themeColor="text1"/>
                <w:lang w:eastAsia="en-US"/>
              </w:rPr>
              <w:t xml:space="preserve">Телефон/факс: </w:t>
            </w:r>
            <w:r>
              <w:rPr>
                <w:bCs/>
                <w:color w:val="000000" w:themeColor="text1"/>
                <w:lang w:eastAsia="en-US"/>
                <w14:ligatures w14:val="none"/>
              </w:rPr>
            </w:r>
            <w:r>
              <w:rPr>
                <w:bCs/>
                <w:color w:val="000000" w:themeColor="text1"/>
                <w:lang w:eastAsia="en-US"/>
                <w14:ligatures w14:val="none"/>
              </w:rPr>
            </w:r>
          </w:p>
          <w:p>
            <w:pPr>
              <w:contextualSpacing w:val="0"/>
              <w:ind w:left="0" w:right="0" w:firstLine="0"/>
              <w:jc w:val="both"/>
              <w:spacing w:line="276" w:lineRule="auto"/>
              <w:rPr>
                <w:bCs/>
                <w:color w:val="000000" w:themeColor="text1"/>
                <w:lang w:eastAsia="en-US"/>
                <w14:ligatures w14:val="none"/>
              </w:rPr>
            </w:pPr>
            <w:r>
              <w:rPr>
                <w:color w:val="000000" w:themeColor="text1"/>
                <w:lang w:eastAsia="en-US"/>
              </w:rPr>
            </w:r>
            <w:r>
              <w:rPr>
                <w:bCs/>
                <w:color w:val="000000" w:themeColor="text1"/>
                <w:lang w:eastAsia="en-US"/>
                <w14:ligatures w14:val="none"/>
              </w:rPr>
            </w:r>
            <w:r>
              <w:rPr>
                <w:bCs/>
                <w:color w:val="000000" w:themeColor="text1"/>
                <w:lang w:eastAsia="en-US"/>
                <w14:ligatures w14:val="none"/>
              </w:rPr>
            </w:r>
          </w:p>
        </w:tc>
      </w:tr>
      <w:tr>
        <w:tblPrEx/>
        <w:trPr>
          <w:trHeight w:val="260"/>
        </w:trPr>
        <w:tc>
          <w:tcPr>
            <w:gridSpan w:val="2"/>
            <w:tcBorders>
              <w:top w:val="single" w:color="000000" w:sz="4" w:space="0"/>
              <w:left w:val="single" w:color="000000" w:sz="4" w:space="0"/>
              <w:bottom w:val="single" w:color="000000" w:sz="4" w:space="0"/>
              <w:right w:val="single" w:color="000000" w:sz="4" w:space="0"/>
            </w:tcBorders>
            <w:tcW w:w="5242" w:type="dxa"/>
            <w:textDirection w:val="lrTb"/>
            <w:noWrap w:val="false"/>
          </w:tcPr>
          <w:p>
            <w:pPr>
              <w:contextualSpacing w:val="0"/>
              <w:ind w:firstLine="0"/>
              <w:jc w:val="both"/>
              <w:spacing w:line="276" w:lineRule="auto"/>
              <w:rPr>
                <w:color w:val="000000" w:themeColor="text1"/>
                <w:lang w:eastAsia="en-US"/>
                <w14:ligatures w14:val="none"/>
              </w:rPr>
            </w:pPr>
            <w:r>
              <w:rPr>
                <w:color w:val="000000" w:themeColor="text1"/>
                <w:lang w:eastAsia="en-US"/>
              </w:rPr>
            </w:r>
            <w:r>
              <w:rPr>
                <w:color w:val="000000" w:themeColor="text1"/>
                <w:lang w:eastAsia="en-US"/>
                <w14:ligatures w14:val="none"/>
              </w:rPr>
            </w:r>
            <w:r>
              <w:rPr>
                <w:color w:val="000000" w:themeColor="text1"/>
                <w:lang w:eastAsia="en-US"/>
                <w14:ligatures w14:val="none"/>
              </w:rPr>
            </w:r>
          </w:p>
          <w:p>
            <w:pPr>
              <w:contextualSpacing w:val="0"/>
              <w:ind w:firstLine="0"/>
              <w:jc w:val="both"/>
              <w:spacing w:line="276" w:lineRule="auto"/>
              <w:rPr>
                <w:bCs/>
                <w:color w:val="000000" w:themeColor="text1"/>
                <w:lang w:eastAsia="en-US"/>
                <w14:ligatures w14:val="none"/>
              </w:rPr>
            </w:pPr>
            <w:r>
              <w:rPr>
                <w:color w:val="000000" w:themeColor="text1"/>
                <w:lang w:eastAsia="en-US"/>
              </w:rPr>
              <w:t xml:space="preserve">_________________</w:t>
            </w:r>
            <w:r>
              <w:rPr>
                <w:color w:val="000000" w:themeColor="text1"/>
                <w:lang w:eastAsia="en-US"/>
              </w:rPr>
              <w:t xml:space="preserve"> </w:t>
            </w:r>
            <w:r>
              <w:rPr>
                <w:bCs/>
                <w:color w:val="000000" w:themeColor="text1"/>
                <w:lang w:eastAsia="en-US"/>
                <w14:ligatures w14:val="none"/>
              </w:rPr>
            </w:r>
            <w:r>
              <w:rPr>
                <w:bCs/>
                <w:color w:val="000000" w:themeColor="text1"/>
                <w:lang w:eastAsia="en-US"/>
                <w14:ligatures w14:val="none"/>
              </w:rPr>
            </w:r>
          </w:p>
          <w:p>
            <w:pPr>
              <w:contextualSpacing w:val="0"/>
              <w:ind w:firstLine="0"/>
              <w:jc w:val="both"/>
              <w:spacing w:line="276" w:lineRule="auto"/>
              <w:rPr>
                <w:color w:val="000000" w:themeColor="text1"/>
                <w:lang w:eastAsia="en-US"/>
                <w14:ligatures w14:val="none"/>
              </w:rPr>
            </w:pPr>
            <w:r>
              <w:rPr>
                <w:color w:val="000000" w:themeColor="text1"/>
                <w:lang w:eastAsia="en-US"/>
              </w:rPr>
              <w:t xml:space="preserve">               </w:t>
            </w:r>
            <w:r>
              <w:rPr>
                <w:color w:val="000000" w:themeColor="text1"/>
                <w:lang w:eastAsia="en-US"/>
                <w14:ligatures w14:val="none"/>
              </w:rPr>
            </w:r>
            <w:r>
              <w:rPr>
                <w:color w:val="000000" w:themeColor="text1"/>
                <w:lang w:eastAsia="en-US"/>
                <w14:ligatures w14:val="none"/>
              </w:rPr>
            </w:r>
          </w:p>
          <w:p>
            <w:pPr>
              <w:contextualSpacing w:val="0"/>
              <w:ind w:firstLine="0"/>
              <w:jc w:val="both"/>
              <w:spacing w:line="276" w:lineRule="auto"/>
              <w:rPr>
                <w:color w:val="000000" w:themeColor="text1"/>
                <w:lang w:eastAsia="en-US"/>
                <w14:ligatures w14:val="none"/>
              </w:rPr>
            </w:pPr>
            <w:r>
              <w:rPr>
                <w:color w:val="000000" w:themeColor="text1"/>
                <w:lang w:eastAsia="en-US"/>
              </w:rPr>
              <w:t xml:space="preserve">«____»______________20__г.</w:t>
            </w:r>
            <w:r>
              <w:rPr>
                <w:color w:val="000000" w:themeColor="text1"/>
                <w:lang w:eastAsia="en-US"/>
                <w14:ligatures w14:val="none"/>
              </w:rPr>
            </w:r>
            <w:r>
              <w:rPr>
                <w:color w:val="000000" w:themeColor="text1"/>
                <w:lang w:eastAsia="en-US"/>
                <w14:ligatures w14:val="none"/>
              </w:rPr>
            </w:r>
          </w:p>
        </w:tc>
        <w:tc>
          <w:tcPr>
            <w:gridSpan w:val="2"/>
            <w:tcBorders>
              <w:top w:val="single" w:color="000000" w:sz="4" w:space="0"/>
              <w:left w:val="single" w:color="000000" w:sz="4" w:space="0"/>
              <w:bottom w:val="single" w:color="000000" w:sz="4" w:space="0"/>
              <w:right w:val="single" w:color="000000" w:sz="4" w:space="0"/>
            </w:tcBorders>
            <w:tcW w:w="4958" w:type="dxa"/>
            <w:textDirection w:val="lrTb"/>
            <w:noWrap w:val="false"/>
          </w:tcPr>
          <w:p>
            <w:pPr>
              <w:contextualSpacing w:val="0"/>
              <w:ind w:left="0" w:right="0" w:firstLine="0"/>
              <w:jc w:val="both"/>
              <w:spacing w:line="276" w:lineRule="auto"/>
              <w:rPr>
                <w:bCs/>
                <w:color w:val="000000" w:themeColor="text1"/>
                <w:lang w:eastAsia="en-US"/>
                <w14:ligatures w14:val="none"/>
              </w:rPr>
            </w:pPr>
            <w:r>
              <w:rPr>
                <w:color w:val="000000" w:themeColor="text1"/>
                <w:lang w:eastAsia="en-US"/>
              </w:rPr>
            </w:r>
            <w:r>
              <w:rPr>
                <w:bCs/>
                <w:color w:val="000000" w:themeColor="text1"/>
                <w:lang w:eastAsia="en-US"/>
                <w14:ligatures w14:val="none"/>
              </w:rPr>
            </w:r>
            <w:r>
              <w:rPr>
                <w:bCs/>
                <w:color w:val="000000" w:themeColor="text1"/>
                <w:lang w:eastAsia="en-US"/>
                <w14:ligatures w14:val="none"/>
              </w:rPr>
            </w:r>
          </w:p>
          <w:p>
            <w:pPr>
              <w:contextualSpacing w:val="0"/>
              <w:ind w:left="0" w:right="0" w:firstLine="0"/>
              <w:jc w:val="both"/>
              <w:spacing w:line="276" w:lineRule="auto"/>
              <w:rPr>
                <w:bCs/>
                <w:color w:val="000000" w:themeColor="text1"/>
                <w:lang w:eastAsia="en-US"/>
                <w14:ligatures w14:val="none"/>
              </w:rPr>
            </w:pPr>
            <w:r>
              <w:rPr>
                <w:color w:val="000000" w:themeColor="text1"/>
                <w:lang w:eastAsia="en-US"/>
              </w:rPr>
              <w:t xml:space="preserve">________________</w:t>
            </w:r>
            <w:r>
              <w:rPr>
                <w:color w:val="000000" w:themeColor="text1"/>
                <w:lang w:eastAsia="en-US"/>
              </w:rPr>
              <w:t xml:space="preserve">           </w:t>
            </w:r>
            <w:r>
              <w:rPr>
                <w:bCs/>
                <w:color w:val="000000" w:themeColor="text1"/>
                <w:lang w:eastAsia="en-US"/>
                <w14:ligatures w14:val="none"/>
              </w:rPr>
            </w:r>
            <w:r>
              <w:rPr>
                <w:bCs/>
                <w:color w:val="000000" w:themeColor="text1"/>
                <w:lang w:eastAsia="en-US"/>
                <w14:ligatures w14:val="none"/>
              </w:rPr>
            </w:r>
          </w:p>
          <w:p>
            <w:pPr>
              <w:contextualSpacing w:val="0"/>
              <w:ind w:left="0" w:right="0" w:firstLine="0"/>
              <w:jc w:val="both"/>
              <w:spacing w:line="276" w:lineRule="auto"/>
              <w:rPr>
                <w:bCs/>
                <w:color w:val="000000" w:themeColor="text1"/>
                <w:lang w:eastAsia="en-US"/>
                <w14:ligatures w14:val="none"/>
              </w:rPr>
            </w:pPr>
            <w:r>
              <w:rPr>
                <w:color w:val="000000" w:themeColor="text1"/>
                <w:lang w:eastAsia="en-US"/>
              </w:rPr>
              <w:t xml:space="preserve">      </w:t>
            </w:r>
            <w:r>
              <w:rPr>
                <w:bCs/>
                <w:color w:val="000000" w:themeColor="text1"/>
                <w:lang w:eastAsia="en-US"/>
                <w14:ligatures w14:val="none"/>
              </w:rPr>
            </w:r>
            <w:r>
              <w:rPr>
                <w:bCs/>
                <w:color w:val="000000" w:themeColor="text1"/>
                <w:lang w:eastAsia="en-US"/>
                <w14:ligatures w14:val="none"/>
              </w:rPr>
            </w:r>
          </w:p>
          <w:p>
            <w:pPr>
              <w:contextualSpacing w:val="0"/>
              <w:ind w:left="0" w:right="0" w:firstLine="0"/>
              <w:jc w:val="both"/>
              <w:spacing w:line="276" w:lineRule="auto"/>
              <w:rPr>
                <w:bCs/>
                <w:color w:val="000000" w:themeColor="text1"/>
                <w:lang w:eastAsia="en-US"/>
                <w14:ligatures w14:val="none"/>
              </w:rPr>
            </w:pPr>
            <w:r>
              <w:rPr>
                <w:color w:val="000000" w:themeColor="text1"/>
                <w:lang w:eastAsia="en-US"/>
              </w:rPr>
              <w:t xml:space="preserve">«_____»_______________</w:t>
            </w:r>
            <w:r>
              <w:rPr>
                <w:color w:val="000000" w:themeColor="text1"/>
                <w:lang w:eastAsia="en-US"/>
              </w:rPr>
              <w:t xml:space="preserve">20__г</w:t>
            </w:r>
            <w:r>
              <w:rPr>
                <w:color w:val="000000" w:themeColor="text1"/>
                <w:lang w:eastAsia="en-US"/>
              </w:rPr>
              <w:t xml:space="preserve">.</w:t>
            </w:r>
            <w:r>
              <w:rPr>
                <w:bCs/>
                <w:color w:val="000000" w:themeColor="text1"/>
                <w:lang w:eastAsia="en-US"/>
                <w14:ligatures w14:val="none"/>
              </w:rPr>
            </w:r>
            <w:r>
              <w:rPr>
                <w:bCs/>
                <w:color w:val="000000" w:themeColor="text1"/>
                <w:lang w:eastAsia="en-US"/>
                <w14:ligatures w14:val="none"/>
              </w:rPr>
            </w:r>
          </w:p>
        </w:tc>
      </w:tr>
    </w:tbl>
    <w:p>
      <w:pPr>
        <w:pStyle w:val="832"/>
        <w:ind w:firstLine="0"/>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rPr>
        <w:br w:type="page" w:clear="all"/>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6096"/>
        <w:jc w:val="right"/>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Приложение №1</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709" w:firstLine="0"/>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bookmarkStart w:id="50" w:name="Par433"/>
      <w:r>
        <w:rPr>
          <w:rFonts w:ascii="Times New Roman" w:hAnsi="Times New Roman" w:eastAsia="Times New Roman" w:cs="Times New Roman"/>
          <w:b w:val="0"/>
          <w:bCs w:val="0"/>
          <w:sz w:val="24"/>
          <w:szCs w:val="24"/>
        </w:rPr>
      </w:r>
      <w:bookmarkEnd w:id="50"/>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10"/>
        <w:jc w:val="center"/>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Техническое задание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Выполнение работ по текущему ремонту помещений в здании, расположенном по адресу: Владимирская область, г. Ковров, ул. Лопатина, д. 48 (замена радиаторов отопления)</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Заказчик: Управление Федеральной службы государственной регистрации, кадастра и картографии по Владимирской области </w:t>
      </w:r>
      <w:r>
        <w:rPr>
          <w:rFonts w:ascii="Times New Roman" w:hAnsi="Times New Roman" w:eastAsia="Times New Roman" w:cs="Times New Roman"/>
          <w:b w:val="0"/>
          <w:bCs w:val="0"/>
          <w:color w:val="0f1115"/>
          <w:sz w:val="24"/>
          <w:szCs w:val="24"/>
        </w:rPr>
        <w:t xml:space="preserve">(</w:t>
      </w:r>
      <w:r>
        <w:rPr>
          <w:rFonts w:ascii="Times New Roman" w:hAnsi="Times New Roman" w:eastAsia="Times New Roman" w:cs="Times New Roman"/>
          <w:b w:val="0"/>
          <w:bCs w:val="0"/>
          <w:color w:val="0f1115"/>
          <w:sz w:val="24"/>
          <w:szCs w:val="24"/>
        </w:rPr>
        <w:t xml:space="preserve">Управление Росреестра по Владимирской области</w:t>
      </w:r>
      <w:r>
        <w:rPr>
          <w:rFonts w:ascii="Times New Roman" w:hAnsi="Times New Roman" w:eastAsia="Times New Roman" w:cs="Times New Roman"/>
          <w:b w:val="0"/>
          <w:bCs w:val="0"/>
          <w:color w:val="0f1115"/>
          <w:sz w:val="24"/>
          <w:szCs w:val="24"/>
        </w:rPr>
        <w:t xml:space="preserve">) (далее – Управление, Заказчик)</w:t>
      </w:r>
      <w:r>
        <w:rPr>
          <w:rFonts w:ascii="Times New Roman" w:hAnsi="Times New Roman" w:eastAsia="Times New Roman" w:cs="Times New Roman"/>
          <w:b w:val="0"/>
          <w:bCs w:val="0"/>
          <w:color w:val="0f1115"/>
          <w:sz w:val="24"/>
          <w:szCs w:val="24"/>
        </w:rPr>
        <w:t xml:space="preserve">.</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jc w:val="both"/>
        <w:spacing w:line="240" w:lineRule="auto"/>
        <w:rPr>
          <w:rFonts w:ascii="Times New Roman" w:hAnsi="Times New Roman" w:cs="Times New Roman"/>
          <w:b w:val="0"/>
          <w:bCs w:val="0"/>
          <w:sz w:val="24"/>
          <w:szCs w:val="24"/>
          <w:highlight w:val="none"/>
        </w:rPr>
        <w:suppressLineNumbers w:val="0"/>
      </w:pPr>
      <w:r>
        <w:rPr>
          <w:rFonts w:ascii="Times New Roman" w:hAnsi="Times New Roman" w:eastAsia="Times New Roman" w:cs="Times New Roman"/>
          <w:b w:val="0"/>
          <w:bCs w:val="0"/>
          <w:color w:val="0f1115"/>
          <w:sz w:val="24"/>
          <w:szCs w:val="24"/>
        </w:rPr>
        <w:br/>
      </w:r>
      <w:r>
        <w:rPr>
          <w:rFonts w:ascii="Times New Roman" w:hAnsi="Times New Roman" w:eastAsia="Times New Roman" w:cs="Times New Roman"/>
          <w:b w:val="0"/>
          <w:bCs w:val="0"/>
          <w:color w:val="0f1115"/>
          <w:sz w:val="24"/>
          <w:szCs w:val="24"/>
        </w:rPr>
        <w:t xml:space="preserve">Код ОКПД2 </w:t>
      </w:r>
      <w:r>
        <w:rPr>
          <w:rFonts w:ascii="Times New Roman" w:hAnsi="Times New Roman" w:eastAsia="Times New Roman" w:cs="Times New Roman"/>
          <w:b w:val="0"/>
          <w:bCs w:val="0"/>
          <w:color w:val="0f1115"/>
          <w:sz w:val="24"/>
          <w:szCs w:val="24"/>
        </w:rPr>
        <w:t xml:space="preserve">43.39.19.190</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cs="Times New Roman"/>
          <w:b w:val="0"/>
          <w:bCs w:val="0"/>
          <w:sz w:val="24"/>
          <w:szCs w:val="24"/>
          <w:highlight w:val="none"/>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Перечень и объём выполняемых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Полный перечень и объём работ по текущему ремонту помещений указаны в </w:t>
      </w:r>
      <w:r>
        <w:rPr>
          <w:rFonts w:ascii="Times New Roman" w:hAnsi="Times New Roman" w:eastAsia="Times New Roman" w:cs="Times New Roman"/>
          <w:b w:val="0"/>
          <w:bCs w:val="0"/>
          <w:color w:val="0f1115"/>
          <w:sz w:val="24"/>
          <w:szCs w:val="24"/>
        </w:rPr>
        <w:t xml:space="preserve">Локальном сметном расчёте</w:t>
      </w:r>
      <w:r>
        <w:rPr>
          <w:rFonts w:ascii="Times New Roman" w:hAnsi="Times New Roman" w:eastAsia="Times New Roman" w:cs="Times New Roman"/>
          <w:b w:val="0"/>
          <w:bCs w:val="0"/>
          <w:color w:val="0f1115"/>
          <w:sz w:val="24"/>
          <w:szCs w:val="24"/>
        </w:rPr>
        <w:t xml:space="preserve">, являющемся неотъемлемой частью Контракта.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Объём работ считать одной условной единицей (1 усл. ед.).</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Место и срок выполнения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t xml:space="preserve">Место выполнения работ:</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t xml:space="preserve">Владимирская область, г. Ковров, ул. Лопатина, д. 48. </w:t>
      </w:r>
      <w:r>
        <w:rPr>
          <w:rFonts w:ascii="Times New Roman" w:hAnsi="Times New Roman" w:eastAsia="Times New Roman" w:cs="Times New Roman"/>
          <w:b w:val="0"/>
          <w:bCs w:val="0"/>
          <w:color w:val="0f1115"/>
          <w:sz w:val="24"/>
          <w:szCs w:val="24"/>
        </w:rPr>
        <w:t xml:space="preserve"> </w:t>
      </w:r>
      <w:r>
        <w:rPr>
          <w:rFonts w:ascii="Times New Roman" w:hAnsi="Times New Roman" w:eastAsia="Times New Roman" w:cs="Times New Roman"/>
          <w:b w:val="0"/>
          <w:bCs w:val="0"/>
          <w:color w:val="0f1115"/>
          <w:sz w:val="24"/>
          <w:szCs w:val="24"/>
        </w:rPr>
        <w:t xml:space="preserve">Общая площадь помещений, в которых выполняются работы</w:t>
      </w:r>
      <w:r>
        <w:rPr>
          <w:rFonts w:ascii="Times New Roman" w:hAnsi="Times New Roman" w:eastAsia="Times New Roman" w:cs="Times New Roman"/>
          <w:b w:val="0"/>
          <w:bCs w:val="0"/>
          <w:color w:val="0f1115"/>
          <w:sz w:val="24"/>
          <w:szCs w:val="24"/>
        </w:rPr>
        <w:t xml:space="preserve">: </w:t>
      </w:r>
      <w:r>
        <w:rPr>
          <w:rFonts w:ascii="Times New Roman" w:hAnsi="Times New Roman" w:eastAsia="Times New Roman" w:cs="Times New Roman"/>
          <w:b w:val="0"/>
          <w:bCs w:val="0"/>
          <w:color w:val="0f1115"/>
          <w:sz w:val="24"/>
          <w:szCs w:val="24"/>
        </w:rPr>
        <w:t xml:space="preserve">169 м²</w:t>
      </w:r>
      <w:r>
        <w:rPr>
          <w:rFonts w:ascii="Times New Roman" w:hAnsi="Times New Roman" w:eastAsia="Times New Roman" w:cs="Times New Roman"/>
          <w:b w:val="0"/>
          <w:bCs w:val="0"/>
          <w:color w:val="0f1115"/>
          <w:sz w:val="24"/>
          <w:szCs w:val="24"/>
        </w:rPr>
        <w:t xml:space="preserve">. Помещения расположены на 1 этаже </w:t>
      </w:r>
      <w:r>
        <w:rPr>
          <w:rFonts w:ascii="Times New Roman" w:hAnsi="Times New Roman" w:eastAsia="Times New Roman" w:cs="Times New Roman"/>
          <w:b w:val="0"/>
          <w:bCs w:val="0"/>
          <w:color w:val="0f1115"/>
          <w:sz w:val="24"/>
          <w:szCs w:val="24"/>
        </w:rPr>
        <w:t xml:space="preserve">многоквартирного жилого дома</w:t>
      </w:r>
      <w:r>
        <w:rPr>
          <w:rFonts w:ascii="Times New Roman" w:hAnsi="Times New Roman" w:cs="Times New Roman"/>
          <w:b w:val="0"/>
          <w:bCs w:val="0"/>
          <w:sz w:val="24"/>
          <w:szCs w:val="24"/>
        </w:rPr>
        <w:t xml:space="preserve"> (далее – Объект) и принадлежат Заказчику на праве оперативного управления</w:t>
      </w:r>
      <w:r>
        <w:rPr>
          <w:rFonts w:ascii="Times New Roman" w:hAnsi="Times New Roman" w:eastAsia="Times New Roman" w:cs="Times New Roman"/>
          <w:b w:val="0"/>
          <w:bCs w:val="0"/>
          <w:color w:val="0f1115"/>
          <w:sz w:val="24"/>
          <w:szCs w:val="24"/>
        </w:rPr>
        <w:t xml:space="preserve">.</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t xml:space="preserve">Срок выполнения работ: </w:t>
      </w:r>
      <w:r>
        <w:rPr>
          <w:rFonts w:ascii="Times New Roman" w:hAnsi="Times New Roman" w:eastAsia="Times New Roman" w:cs="Times New Roman"/>
          <w:b w:val="0"/>
          <w:bCs w:val="0"/>
          <w:color w:val="0f1115"/>
          <w:sz w:val="24"/>
          <w:szCs w:val="24"/>
        </w:rPr>
        <w:t xml:space="preserve">с момента заключения Контракта по </w:t>
      </w:r>
      <w:r>
        <w:rPr>
          <w:rFonts w:ascii="Times New Roman" w:hAnsi="Times New Roman" w:eastAsia="Times New Roman" w:cs="Times New Roman"/>
          <w:b w:val="0"/>
          <w:bCs w:val="0"/>
          <w:color w:val="0f1115"/>
          <w:sz w:val="24"/>
          <w:szCs w:val="24"/>
        </w:rPr>
        <w:t xml:space="preserve">30 сентября 2026 года (включительно). Допускается досрочное окончание выполнения работ. </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highlight w:val="none"/>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t xml:space="preserve">Общие требования к выполняемым работам</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В</w:t>
      </w:r>
      <w:r>
        <w:rPr>
          <w:rFonts w:ascii="Times New Roman" w:hAnsi="Times New Roman" w:eastAsia="Times New Roman" w:cs="Times New Roman"/>
          <w:b w:val="0"/>
          <w:bCs w:val="0"/>
          <w:color w:val="0f1115"/>
          <w:sz w:val="24"/>
          <w:szCs w:val="24"/>
        </w:rPr>
        <w:t xml:space="preserve"> целях исполнения требований Федерального закона от 26.07.2017 № 187-ФЗ «О безопасности критической информационной инфраструктуры Российской Федерации» и Приказа ФСТЭК России от 25.12.2017 № 239, Подрядчик обязан до начала работ представить Заказчику списо</w:t>
      </w:r>
      <w:r>
        <w:rPr>
          <w:rFonts w:ascii="Times New Roman" w:hAnsi="Times New Roman" w:eastAsia="Times New Roman" w:cs="Times New Roman"/>
          <w:b w:val="0"/>
          <w:bCs w:val="0"/>
          <w:color w:val="0f1115"/>
          <w:sz w:val="24"/>
          <w:szCs w:val="24"/>
        </w:rPr>
        <w:t xml:space="preserve">к</w:t>
      </w:r>
      <w:r>
        <w:rPr>
          <w:rFonts w:ascii="Times New Roman" w:hAnsi="Times New Roman" w:eastAsia="Times New Roman" w:cs="Times New Roman"/>
          <w:b w:val="0"/>
          <w:bCs w:val="0"/>
          <w:color w:val="0f1115"/>
          <w:sz w:val="24"/>
          <w:szCs w:val="24"/>
        </w:rPr>
        <w:t xml:space="preserve"> всех работников, привлекаемых к выполнению работ, с указанием ФИО, должности и контактного телефона. На основании данных норм Заказчик вправе осуществлять контроль допуска на объекты критической информационной инфраструктуры и отказывать в доступе лицам, </w:t>
      </w:r>
      <w:r>
        <w:rPr>
          <w:rFonts w:ascii="Times New Roman" w:hAnsi="Times New Roman" w:eastAsia="Times New Roman" w:cs="Times New Roman"/>
          <w:b w:val="0"/>
          <w:bCs w:val="0"/>
          <w:color w:val="0f1115"/>
          <w:sz w:val="24"/>
          <w:szCs w:val="24"/>
        </w:rPr>
        <w:t xml:space="preserve">не включенным в указанный список, а также лицам, в отношении которых у Заказчика имеются обоснованные сомнения в их благонадежности или правомерности нахождения на объекте.</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contextualSpacing/>
        <w:ind w:firstLine="708"/>
        <w:jc w:val="both"/>
        <w:spacing w:line="240" w:lineRule="auto"/>
        <w:rPr>
          <w:rFonts w:ascii="Times New Roman" w:hAnsi="Times New Roman" w:eastAsia="Times New Roman" w:cs="Times New Roman"/>
          <w:b w:val="0"/>
          <w:bCs w:val="0"/>
          <w:color w:val="0f1115"/>
          <w:sz w:val="24"/>
          <w:szCs w:val="24"/>
          <w:highlight w:val="none"/>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Подрядчик обязан исполнять требования миграционного и трудового законодательства Российской Федерации.</w:t>
      </w:r>
      <w:r>
        <w:rPr>
          <w:rFonts w:ascii="Times New Roman" w:hAnsi="Times New Roman" w:eastAsia="Times New Roman" w:cs="Times New Roman"/>
          <w:b w:val="0"/>
          <w:bCs w:val="0"/>
          <w:color w:val="0f1115"/>
          <w:sz w:val="24"/>
          <w:szCs w:val="24"/>
          <w:highlight w:val="none"/>
        </w:rPr>
      </w:r>
      <w:r>
        <w:rPr>
          <w:rFonts w:ascii="Times New Roman" w:hAnsi="Times New Roman" w:eastAsia="Times New Roman" w:cs="Times New Roman"/>
          <w:b w:val="0"/>
          <w:bCs w:val="0"/>
          <w:color w:val="0f1115"/>
          <w:sz w:val="24"/>
          <w:szCs w:val="24"/>
          <w:highlight w:val="none"/>
        </w:rPr>
      </w:r>
    </w:p>
    <w:p>
      <w:pPr>
        <w:contextualSpacing/>
        <w:ind w:firstLine="708"/>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Выполнять работы при наличии необходимых разрешений, выдаваемых уполномоченными государственными органами.</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highlight w:val="none"/>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В течение 3 рабочих дней с даты заключения Контракта  </w:t>
      </w:r>
      <w:r>
        <w:rPr>
          <w:rFonts w:ascii="Times New Roman" w:hAnsi="Times New Roman" w:eastAsia="Times New Roman" w:cs="Times New Roman"/>
          <w:b w:val="0"/>
          <w:bCs w:val="0"/>
          <w:color w:val="0f1115"/>
          <w:sz w:val="24"/>
          <w:szCs w:val="24"/>
        </w:rPr>
        <w:t xml:space="preserve">назначить</w:t>
      </w:r>
      <w:r>
        <w:rPr>
          <w:rFonts w:ascii="Times New Roman" w:hAnsi="Times New Roman" w:eastAsia="Times New Roman" w:cs="Times New Roman"/>
          <w:b w:val="0"/>
          <w:bCs w:val="0"/>
          <w:color w:val="0f1115"/>
          <w:sz w:val="24"/>
          <w:szCs w:val="24"/>
        </w:rPr>
        <w:t xml:space="preserve"> лиц, ответственных </w:t>
      </w:r>
      <w:r>
        <w:rPr>
          <w:rFonts w:ascii="Times New Roman" w:hAnsi="Times New Roman" w:eastAsia="Times New Roman" w:cs="Times New Roman"/>
          <w:b w:val="0"/>
          <w:bCs w:val="0"/>
          <w:color w:val="0f1115"/>
          <w:sz w:val="24"/>
          <w:szCs w:val="24"/>
        </w:rPr>
        <w:t xml:space="preserve">за предоставление отчётов по Контракту, </w:t>
      </w:r>
      <w:r>
        <w:rPr>
          <w:rFonts w:ascii="Times New Roman" w:hAnsi="Times New Roman" w:eastAsia="Times New Roman" w:cs="Times New Roman"/>
          <w:b w:val="0"/>
          <w:bCs w:val="0"/>
          <w:color w:val="0f1115"/>
          <w:sz w:val="24"/>
          <w:szCs w:val="24"/>
        </w:rPr>
        <w:t xml:space="preserve">за производство выполняемых работ и передать контакты для взаимодействия представителю Заказчика.</w:t>
      </w:r>
      <w:r>
        <w:rPr>
          <w:rFonts w:ascii="Times New Roman" w:hAnsi="Times New Roman" w:eastAsia="Times New Roman" w:cs="Times New Roman"/>
          <w:b w:val="0"/>
          <w:bCs w:val="0"/>
          <w:color w:val="0f1115"/>
          <w:sz w:val="24"/>
          <w:szCs w:val="24"/>
          <w:highlight w:val="none"/>
        </w:rPr>
      </w:r>
      <w:r>
        <w:rPr>
          <w:rFonts w:ascii="Times New Roman" w:hAnsi="Times New Roman" w:eastAsia="Times New Roman" w:cs="Times New Roman"/>
          <w:b w:val="0"/>
          <w:bCs w:val="0"/>
          <w:color w:val="0f1115"/>
          <w:sz w:val="24"/>
          <w:szCs w:val="24"/>
          <w:highlight w:val="none"/>
        </w:rPr>
      </w:r>
    </w:p>
    <w:p>
      <w:pPr>
        <w:contextualSpacing/>
        <w:ind w:firstLine="708"/>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t xml:space="preserve">Обеспечивать своевременное ведение и хранение исполнительно-технической документации по Объекту.</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contextualSpacing/>
        <w:ind w:firstLine="708"/>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t xml:space="preserve">Выполнять работы с соблюдением норм пожарной безопасности, техники безопасности, охраны окружающей среды.</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contextualSpacing/>
        <w:ind w:firstLine="708"/>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t xml:space="preserve">Обеспечить безопасность труда рабо</w:t>
      </w:r>
      <w:r>
        <w:rPr>
          <w:rFonts w:ascii="Times New Roman" w:hAnsi="Times New Roman" w:eastAsia="Times New Roman" w:cs="Times New Roman"/>
          <w:b w:val="0"/>
          <w:bCs w:val="0"/>
          <w:color w:val="0f1115"/>
          <w:sz w:val="24"/>
          <w:szCs w:val="24"/>
        </w:rPr>
        <w:t xml:space="preserve">тающих на всех этапах производства работ. Перед началом работ провести инструктаж о методах работ, последовательности их выполнения, необходимых средствах индивидуальной защиты с заполнением журнала инструктажа с последующим предоставлением его Заказчику. </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contextualSpacing/>
        <w:ind w:firstLine="708"/>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t xml:space="preserve">Подрядчик обеспечивает безопасное проведение работ на объекте, безопасность труда в соответствии с требованиями:</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pStyle w:val="908"/>
        <w:numPr>
          <w:ilvl w:val="0"/>
          <w:numId w:val="40"/>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Приказа Минтруда России от 11.12.2020 № 883н «Правила по охране труда при строительстве, реконструкции и ремонте»;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0"/>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СП 48.13330.2019 «Организация строительства»;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0"/>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СП 118.13330.2022 «Общественные здания и сооружения»;</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0"/>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Правил противопожарного режима в РФ, утв. Постановлением Правительства РФ от 16.09.2020 № 1479.</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Нести ответственность за безопасность своих работников на площадке в полном объёме в соответствии с действующим законодательством Российской Федерации, в том числе за соблюдение техники безопасности и пожарной безопасности.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В случаях проведения экспертизы результатов работ по требованию Заказчика представить запрашиваемые дополнительные материалы.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Своевременно оформлять акты на скрытые работы, извещая Заказчика не менее чем за 72 часа о времени их освидетельствования.</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 Осуществлять отключение существующих инженерных систем, сетей или их отдельных участков только по предварительному письменному согласованию с Заказчиком.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 При производстве работ выполнять следующие обязательные требования:</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1"/>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обеспечить с первого дня выполнения работ ведение общего журнала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1"/>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складировать материалы и оборудование только в пределах объекта, зоны производства работ или по согласованию с Заказчиком;</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1"/>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вывозить строительные отходы на специально отведённые места в соответствии с нормами действующего законодательства.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1"/>
        </w:numPr>
        <w:contextualSpacing/>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t xml:space="preserve">производить </w:t>
      </w:r>
      <w:r>
        <w:rPr>
          <w:rFonts w:ascii="Times New Roman" w:hAnsi="Times New Roman" w:eastAsia="Times New Roman" w:cs="Times New Roman"/>
          <w:b w:val="0"/>
          <w:bCs w:val="0"/>
          <w:color w:val="0f1115"/>
          <w:sz w:val="24"/>
          <w:szCs w:val="24"/>
        </w:rPr>
        <w:t xml:space="preserve">уборку места выполнения работ и прилегающей территории в конце каждой смены и по окончании работ, а по завершении работ в полном объёме обеспечить окончательную уборку от остатков материалов, строительного мусора, пыли и </w:t>
      </w:r>
      <w:r>
        <w:rPr>
          <w:rFonts w:ascii="Times New Roman" w:hAnsi="Times New Roman" w:eastAsia="Times New Roman" w:cs="Times New Roman"/>
          <w:b w:val="0"/>
          <w:bCs w:val="0"/>
          <w:color w:val="0f1115"/>
          <w:sz w:val="24"/>
          <w:szCs w:val="24"/>
        </w:rPr>
        <w:t xml:space="preserve">отходов.</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pStyle w:val="908"/>
        <w:numPr>
          <w:ilvl w:val="0"/>
          <w:numId w:val="41"/>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не допускать нарушений общественного порядка и иных действий, вызывающих неудобства для граждан и/или имущества граждан или других лиц.</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Заказчик не обязан предоставлять Подрядчику бытовые помещения для рабочих на своей территории.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t xml:space="preserve">Требования </w:t>
      </w:r>
      <w:r>
        <w:rPr>
          <w:rFonts w:ascii="Times New Roman" w:hAnsi="Times New Roman" w:eastAsia="Times New Roman" w:cs="Times New Roman"/>
          <w:b w:val="0"/>
          <w:bCs w:val="0"/>
          <w:color w:val="0f1115"/>
          <w:sz w:val="24"/>
          <w:szCs w:val="24"/>
        </w:rPr>
        <w:t xml:space="preserve">к выполнению работ без нарушения деятельности Заказчика</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Работы должны выполняться без создания препятствий для нормальной деятельности Управления Росреестра по Владимирской области.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Подрядчик обязан: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2"/>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обеспечивать возможность беспрепятственного прохода сотрудников Заказчика, посетителей и доставки корреспонденции к рабочим помещениям, не задействованным в ремонте;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2"/>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не блокировать эвакуационные выходы, коридоры, лестничные клетки, в том числе временно складируемыми материалами;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2"/>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выполнять работы </w:t>
      </w:r>
      <w:r>
        <w:rPr>
          <w:rFonts w:ascii="Times New Roman" w:hAnsi="Times New Roman" w:eastAsia="Times New Roman" w:cs="Times New Roman"/>
          <w:b w:val="0"/>
          <w:bCs w:val="0"/>
          <w:color w:val="0f1115"/>
          <w:sz w:val="24"/>
          <w:szCs w:val="24"/>
        </w:rPr>
        <w:t xml:space="preserve">последовательными этапами (покабинетно) </w:t>
      </w:r>
      <w:r>
        <w:rPr>
          <w:rFonts w:ascii="Times New Roman" w:hAnsi="Times New Roman" w:eastAsia="Times New Roman" w:cs="Times New Roman"/>
          <w:b w:val="0"/>
          <w:bCs w:val="0"/>
          <w:color w:val="0f1115"/>
          <w:sz w:val="24"/>
          <w:szCs w:val="24"/>
        </w:rPr>
        <w:t xml:space="preserve">с предварительным согласованием с представителем Заказчика о перекрытии конкретной зоны;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2"/>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не создавать препятствий для работы сотрудников в смежных помещениях.</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Подрядчик получает доступ для работы на Объекте только в рабочее время Заказчика (понедельник–четверг: 8:30 – 17:30, пятница: 8:30 – 16:15), если иное не согласовано сторонами в письменном виде.</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В связи с тем, что помещения, в которых выполняются работы, расположено в </w:t>
      </w:r>
      <w:r>
        <w:rPr>
          <w:rFonts w:ascii="Times New Roman" w:hAnsi="Times New Roman" w:eastAsia="Times New Roman" w:cs="Times New Roman"/>
          <w:b w:val="0"/>
          <w:bCs w:val="0"/>
          <w:color w:val="0f1115"/>
          <w:sz w:val="24"/>
          <w:szCs w:val="24"/>
        </w:rPr>
        <w:t xml:space="preserve">многоквартирном жилом доме</w:t>
      </w:r>
      <w:r>
        <w:rPr>
          <w:rFonts w:ascii="Times New Roman" w:hAnsi="Times New Roman" w:eastAsia="Times New Roman" w:cs="Times New Roman"/>
          <w:b w:val="0"/>
          <w:bCs w:val="0"/>
          <w:color w:val="0f1115"/>
          <w:sz w:val="24"/>
          <w:szCs w:val="24"/>
        </w:rPr>
        <w:t xml:space="preserve">, Подрядчик обязуется соблюдать требования </w:t>
      </w:r>
      <w:r>
        <w:rPr>
          <w:rFonts w:ascii="Times New Roman" w:hAnsi="Times New Roman" w:eastAsia="Times New Roman" w:cs="Times New Roman"/>
          <w:b w:val="0"/>
          <w:bCs w:val="0"/>
          <w:color w:val="0f1115"/>
          <w:sz w:val="24"/>
          <w:szCs w:val="24"/>
        </w:rPr>
        <w:t xml:space="preserve">Закона Владимирской области от 29.05.2020 № 35-ОЗ «Об обеспечении тишины и покоя граждан на территории Владимирской области»</w:t>
      </w:r>
      <w:r>
        <w:rPr>
          <w:rFonts w:ascii="Times New Roman" w:hAnsi="Times New Roman" w:eastAsia="Times New Roman" w:cs="Times New Roman"/>
          <w:b w:val="0"/>
          <w:bCs w:val="0"/>
          <w:color w:val="0f1115"/>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highlight w:val="none"/>
        </w:rPr>
        <w:suppressLineNumbers w:val="0"/>
      </w:pPr>
      <w:r>
        <w:rPr>
          <w:rFonts w:ascii="Times New Roman" w:hAnsi="Times New Roman" w:eastAsia="Times New Roman" w:cs="Times New Roman"/>
          <w:b w:val="0"/>
          <w:bCs w:val="0"/>
          <w:color w:val="0f1115"/>
          <w:sz w:val="24"/>
          <w:szCs w:val="24"/>
        </w:rPr>
        <w:t xml:space="preserve">Производство </w:t>
      </w:r>
      <w:r>
        <w:rPr>
          <w:rFonts w:ascii="Times New Roman" w:hAnsi="Times New Roman" w:eastAsia="Times New Roman" w:cs="Times New Roman"/>
          <w:b w:val="0"/>
          <w:bCs w:val="0"/>
          <w:color w:val="0f1115"/>
          <w:sz w:val="24"/>
          <w:szCs w:val="24"/>
        </w:rPr>
        <w:t xml:space="preserve">шумных работ</w:t>
      </w:r>
      <w:r>
        <w:rPr>
          <w:rFonts w:ascii="Times New Roman" w:hAnsi="Times New Roman" w:eastAsia="Times New Roman" w:cs="Times New Roman"/>
          <w:b w:val="0"/>
          <w:bCs w:val="0"/>
          <w:color w:val="0f1115"/>
          <w:sz w:val="24"/>
          <w:szCs w:val="24"/>
        </w:rPr>
        <w:t xml:space="preserve"> (сверление, штробление, перфорация, работа электроинструментом, демонтаж с использованием ударных механизмов и т.п.) </w:t>
      </w:r>
      <w:r>
        <w:rPr>
          <w:rFonts w:ascii="Times New Roman" w:hAnsi="Times New Roman" w:eastAsia="Times New Roman" w:cs="Times New Roman"/>
          <w:b w:val="0"/>
          <w:bCs w:val="0"/>
          <w:color w:val="0f1115"/>
          <w:sz w:val="24"/>
          <w:szCs w:val="24"/>
        </w:rPr>
        <w:t xml:space="preserve">запрещается</w:t>
      </w:r>
      <w:r>
        <w:rPr>
          <w:rFonts w:ascii="Times New Roman" w:hAnsi="Times New Roman" w:eastAsia="Times New Roman" w:cs="Times New Roman"/>
          <w:b w:val="0"/>
          <w:bCs w:val="0"/>
          <w:color w:val="0f1115"/>
          <w:sz w:val="24"/>
          <w:szCs w:val="24"/>
        </w:rPr>
        <w:t xml:space="preserve">:</w:t>
      </w:r>
      <w:r>
        <w:rPr>
          <w:rFonts w:ascii="Times New Roman" w:hAnsi="Times New Roman" w:cs="Times New Roman"/>
          <w:b w:val="0"/>
          <w:bCs w:val="0"/>
          <w:sz w:val="24"/>
          <w:szCs w:val="24"/>
          <w:highlight w:val="none"/>
        </w:rPr>
      </w:r>
      <w:r>
        <w:rPr>
          <w:rFonts w:ascii="Times New Roman" w:hAnsi="Times New Roman" w:cs="Times New Roman"/>
          <w:b w:val="0"/>
          <w:bCs w:val="0"/>
          <w:sz w:val="24"/>
          <w:szCs w:val="24"/>
          <w:highlight w:val="none"/>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cs="Times New Roman"/>
          <w:b w:val="0"/>
          <w:bCs w:val="0"/>
          <w:sz w:val="24"/>
          <w:szCs w:val="24"/>
          <w:highlight w:val="none"/>
        </w:rPr>
      </w:r>
      <w:r>
        <w:rPr>
          <w:rFonts w:ascii="Times New Roman" w:hAnsi="Times New Roman" w:cs="Times New Roman"/>
          <w:b w:val="0"/>
          <w:bCs w:val="0"/>
          <w:sz w:val="24"/>
          <w:szCs w:val="24"/>
        </w:rPr>
      </w:r>
      <w:r>
        <w:rPr>
          <w:rFonts w:ascii="Times New Roman" w:hAnsi="Times New Roman" w:cs="Times New Roman"/>
          <w:b w:val="0"/>
          <w:bCs w:val="0"/>
          <w:sz w:val="24"/>
          <w:szCs w:val="24"/>
        </w:rPr>
      </w:r>
    </w:p>
    <w:tbl>
      <w:tblPr>
        <w:tblStyle w:val="917"/>
        <w:tblW w:w="0" w:type="auto"/>
        <w:tblLayout w:type="autofit"/>
        <w:tblLook w:val="04A0" w:firstRow="1" w:lastRow="0" w:firstColumn="1" w:lastColumn="0" w:noHBand="0" w:noVBand="1"/>
      </w:tblPr>
      <w:tblGrid>
        <w:gridCol w:w="5130"/>
        <w:gridCol w:w="4017"/>
      </w:tblGrid>
      <w:tr>
        <w:tblPrEx/>
        <w:trPr/>
        <w:tc>
          <w:tcPr>
            <w:tcW w:w="5130"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Дни недели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017"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Запрещённое время</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5130"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Понедельник – пятница (будни)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017"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с 22:00 до 06:00</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5130"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Суббота, воскресенье, нерабочие праздничные дни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017"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с 22:00 до 09:00</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5130"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Ежедневно (в т.ч. в будни и выходные)</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017" w:type="dxa"/>
            <w:vAlign w:val="center"/>
            <w:textDirection w:val="lrTb"/>
            <w:noWrap w:val="false"/>
          </w:tcPr>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00000"/>
                <w:sz w:val="24"/>
                <w:szCs w:val="24"/>
              </w:rPr>
              <w:t xml:space="preserve">с 13:00 до 15:00 («тихий час»)</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bl>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Нарушение требований настоящего раздела влечёт административную ответственность по законодательству Владимирской области и является основанием для применения мер ответственности по Контракту.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eastAsia="Times New Roman" w:cs="Times New Roman"/>
          <w:b w:val="0"/>
          <w:bCs w:val="0"/>
          <w:color w:val="0f1115"/>
          <w:sz w:val="24"/>
          <w:szCs w:val="24"/>
          <w:highlight w:val="none"/>
        </w:rPr>
        <w:suppressLineNumbers w:val="0"/>
      </w:pPr>
      <w:r>
        <w:rPr>
          <w:rFonts w:ascii="Times New Roman" w:hAnsi="Times New Roman" w:eastAsia="Times New Roman" w:cs="Times New Roman"/>
          <w:b w:val="0"/>
          <w:bCs w:val="0"/>
          <w:color w:val="0f1115"/>
          <w:sz w:val="24"/>
          <w:szCs w:val="24"/>
        </w:rPr>
        <w:t xml:space="preserve">Требования </w:t>
      </w:r>
      <w:r>
        <w:rPr>
          <w:rFonts w:ascii="Times New Roman" w:hAnsi="Times New Roman" w:eastAsia="Times New Roman" w:cs="Times New Roman"/>
          <w:b w:val="0"/>
          <w:bCs w:val="0"/>
          <w:color w:val="0f1115"/>
          <w:sz w:val="24"/>
          <w:szCs w:val="24"/>
        </w:rPr>
        <w:t xml:space="preserve">к обеспечению сохранности имущества и коммуникаций Заказчика</w:t>
      </w:r>
      <w:r>
        <w:rPr>
          <w:rFonts w:ascii="Times New Roman" w:hAnsi="Times New Roman" w:eastAsia="Times New Roman" w:cs="Times New Roman"/>
          <w:b w:val="0"/>
          <w:bCs w:val="0"/>
          <w:color w:val="0f1115"/>
          <w:sz w:val="24"/>
          <w:szCs w:val="24"/>
          <w:highlight w:val="none"/>
        </w:rPr>
      </w:r>
      <w:r>
        <w:rPr>
          <w:rFonts w:ascii="Times New Roman" w:hAnsi="Times New Roman" w:eastAsia="Times New Roman" w:cs="Times New Roman"/>
          <w:b w:val="0"/>
          <w:bCs w:val="0"/>
          <w:color w:val="0f1115"/>
          <w:sz w:val="24"/>
          <w:szCs w:val="24"/>
          <w:highlight w:val="none"/>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Подрядчик обязуется выполнять работы по демонтажу, подключению (отключению), перемещению компьютерной, оргтехники, сетевого оборудования, электрических и слаботочных проводов (кабелей), а также иных элементов рабочей инфраструктуры</w:t>
      </w:r>
      <w:r>
        <w:rPr>
          <w:rFonts w:ascii="Times New Roman" w:hAnsi="Times New Roman" w:eastAsia="Times New Roman" w:cs="Times New Roman"/>
          <w:b w:val="0"/>
          <w:bCs w:val="0"/>
          <w:color w:val="0f1115"/>
          <w:sz w:val="24"/>
          <w:szCs w:val="24"/>
        </w:rPr>
        <w:t xml:space="preserve"> </w:t>
      </w:r>
      <w:r>
        <w:rPr>
          <w:rFonts w:ascii="Times New Roman" w:hAnsi="Times New Roman" w:eastAsia="Times New Roman" w:cs="Times New Roman"/>
          <w:b w:val="0"/>
          <w:bCs w:val="0"/>
          <w:color w:val="0f1115"/>
          <w:sz w:val="24"/>
          <w:szCs w:val="24"/>
        </w:rPr>
        <w:t xml:space="preserve">исключительно с разрешения и в присутствии уполномоченного представителя Заказчика</w:t>
      </w:r>
      <w:r>
        <w:rPr>
          <w:rFonts w:ascii="Times New Roman" w:hAnsi="Times New Roman" w:eastAsia="Times New Roman" w:cs="Times New Roman"/>
          <w:b w:val="0"/>
          <w:bCs w:val="0"/>
          <w:color w:val="0f1115"/>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Дату и время выполнения указанных работ, а также перечень помещений Подрядчик и Заказчик согласовывают </w:t>
      </w:r>
      <w:r>
        <w:rPr>
          <w:rFonts w:ascii="Times New Roman" w:hAnsi="Times New Roman" w:eastAsia="Times New Roman" w:cs="Times New Roman"/>
          <w:b w:val="0"/>
          <w:bCs w:val="0"/>
          <w:color w:val="0f1115"/>
          <w:sz w:val="24"/>
          <w:szCs w:val="24"/>
        </w:rPr>
        <w:t xml:space="preserve">не менее чем за 5 рабочих дня</w:t>
      </w:r>
      <w:r>
        <w:rPr>
          <w:rFonts w:ascii="Times New Roman" w:hAnsi="Times New Roman" w:eastAsia="Times New Roman" w:cs="Times New Roman"/>
          <w:b w:val="0"/>
          <w:bCs w:val="0"/>
          <w:color w:val="0f1115"/>
          <w:sz w:val="24"/>
          <w:szCs w:val="24"/>
        </w:rPr>
        <w:t xml:space="preserve"> путём обмена письмами (в т.ч. электронными).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 До начала любых работ, связанных с образованием пыли, грязи, жидкости, летучих веществ, Подрядчик обязан:</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3"/>
        </w:numPr>
        <w:contextualSpacing/>
        <w:jc w:val="both"/>
        <w:spacing w:line="240" w:lineRule="auto"/>
        <w:rPr>
          <w:b w:val="0"/>
          <w:bCs w:val="0"/>
          <w:sz w:val="24"/>
          <w:szCs w:val="24"/>
        </w:rPr>
        <w:suppressLineNumbers w:val="0"/>
      </w:pPr>
      <w:r>
        <w:rPr>
          <w:rFonts w:ascii="Times New Roman" w:hAnsi="Times New Roman" w:eastAsia="Times New Roman" w:cs="Times New Roman"/>
          <w:b w:val="0"/>
          <w:bCs w:val="0"/>
          <w:color w:val="0f1115"/>
          <w:sz w:val="24"/>
          <w:szCs w:val="24"/>
        </w:rPr>
        <w:t xml:space="preserve">укрыть мебель, оргтехнику, документацию, оборудование, находящиеся в зоне работ, полиэтиленовой плёнкой, брезентом или иным защитным материалом, ук</w:t>
      </w:r>
      <w:r>
        <w:rPr>
          <w:rFonts w:ascii="Times New Roman" w:hAnsi="Times New Roman" w:eastAsia="Times New Roman" w:cs="Times New Roman"/>
          <w:b w:val="0"/>
          <w:bCs w:val="0"/>
          <w:color w:val="0f1115"/>
          <w:sz w:val="24"/>
          <w:szCs w:val="24"/>
        </w:rPr>
        <w:t xml:space="preserve">рыть каждый элемент </w:t>
      </w:r>
      <w:r>
        <w:rPr>
          <w:rFonts w:ascii="Times New Roman" w:hAnsi="Times New Roman" w:eastAsia="Times New Roman" w:cs="Times New Roman"/>
          <w:b w:val="0"/>
          <w:bCs w:val="0"/>
          <w:color w:val="0f1115"/>
          <w:sz w:val="24"/>
          <w:szCs w:val="24"/>
        </w:rPr>
        <w:t xml:space="preserve">охранно-пожарной сигнализации</w:t>
      </w:r>
      <w:r>
        <w:rPr>
          <w:rFonts w:ascii="Times New Roman" w:hAnsi="Times New Roman" w:eastAsia="Times New Roman" w:cs="Times New Roman"/>
          <w:b w:val="0"/>
          <w:bCs w:val="0"/>
          <w:color w:val="0f1115"/>
          <w:sz w:val="24"/>
          <w:szCs w:val="24"/>
        </w:rPr>
        <w:t xml:space="preserve"> (далее - ОПС) и структурированной кабельной сети (далее – СКС)   защитным колпаком (чехлом и т.д.), обеспечивающим </w:t>
      </w:r>
      <w:r>
        <w:rPr>
          <w:rFonts w:ascii="Times New Roman" w:hAnsi="Times New Roman" w:eastAsia="Times New Roman" w:cs="Times New Roman"/>
          <w:b w:val="0"/>
          <w:bCs w:val="0"/>
          <w:color w:val="0f1115"/>
          <w:sz w:val="24"/>
          <w:szCs w:val="24"/>
        </w:rPr>
        <w:t xml:space="preserve">герметичность и </w:t>
      </w:r>
      <w:r>
        <w:rPr>
          <w:rFonts w:ascii="Times New Roman" w:hAnsi="Times New Roman" w:eastAsia="Times New Roman" w:cs="Times New Roman"/>
          <w:b w:val="0"/>
          <w:bCs w:val="0"/>
          <w:color w:val="0f1115"/>
          <w:sz w:val="24"/>
          <w:szCs w:val="24"/>
        </w:rPr>
        <w:t xml:space="preserve">невозможность механического повреждения.</w:t>
      </w:r>
      <w:r>
        <w:rPr>
          <w:b w:val="0"/>
          <w:bCs w:val="0"/>
          <w:sz w:val="24"/>
          <w:szCs w:val="24"/>
        </w:rPr>
      </w:r>
      <w:r>
        <w:rPr>
          <w:b w:val="0"/>
          <w:bCs w:val="0"/>
          <w:sz w:val="24"/>
          <w:szCs w:val="24"/>
        </w:rPr>
      </w:r>
    </w:p>
    <w:p>
      <w:pPr>
        <w:pStyle w:val="908"/>
        <w:numPr>
          <w:ilvl w:val="0"/>
          <w:numId w:val="43"/>
        </w:numPr>
        <w:contextualSpacing/>
        <w:jc w:val="both"/>
        <w:spacing w:line="240" w:lineRule="auto"/>
        <w:rPr>
          <w:rFonts w:ascii="Times New Roman" w:hAnsi="Times New Roman" w:eastAsia="Times New Roman" w:cs="Times New Roman"/>
          <w:b w:val="0"/>
          <w:bCs w:val="0"/>
          <w:color w:val="0f1115"/>
          <w:sz w:val="24"/>
          <w:szCs w:val="24"/>
        </w:rPr>
        <w:suppressLineNumbers w:val="0"/>
      </w:pPr>
      <w:r>
        <w:rPr>
          <w:rFonts w:ascii="Times New Roman" w:hAnsi="Times New Roman" w:eastAsia="Times New Roman" w:cs="Times New Roman"/>
          <w:b w:val="0"/>
          <w:bCs w:val="0"/>
          <w:color w:val="0f1115"/>
          <w:sz w:val="24"/>
          <w:szCs w:val="24"/>
        </w:rPr>
        <w:t xml:space="preserve">при невозможности качественного укрытия или повышенном риске повреждения – вынести указанные предметы  в место, определенное  представителем </w:t>
      </w:r>
      <w:r>
        <w:rPr>
          <w:rFonts w:ascii="Times New Roman" w:hAnsi="Times New Roman" w:eastAsia="Times New Roman" w:cs="Times New Roman"/>
          <w:b w:val="0"/>
          <w:bCs w:val="0"/>
          <w:color w:val="0f1115"/>
          <w:sz w:val="24"/>
          <w:szCs w:val="24"/>
        </w:rPr>
        <w:t xml:space="preserve">Заказчика</w:t>
      </w:r>
      <w:r>
        <w:rPr>
          <w:rFonts w:ascii="Times New Roman" w:hAnsi="Times New Roman" w:eastAsia="Times New Roman" w:cs="Times New Roman"/>
          <w:b w:val="0"/>
          <w:bCs w:val="0"/>
          <w:color w:val="0f1115"/>
          <w:sz w:val="24"/>
          <w:szCs w:val="24"/>
        </w:rPr>
        <w:t xml:space="preserve">.</w:t>
      </w:r>
      <w:r>
        <w:rPr>
          <w:rFonts w:ascii="Times New Roman" w:hAnsi="Times New Roman" w:eastAsia="Times New Roman" w:cs="Times New Roman"/>
          <w:b w:val="0"/>
          <w:bCs w:val="0"/>
          <w:color w:val="0f1115"/>
          <w:sz w:val="24"/>
          <w:szCs w:val="24"/>
        </w:rPr>
      </w:r>
      <w:r>
        <w:rPr>
          <w:rFonts w:ascii="Times New Roman" w:hAnsi="Times New Roman" w:eastAsia="Times New Roman" w:cs="Times New Roman"/>
          <w:b w:val="0"/>
          <w:bCs w:val="0"/>
          <w:color w:val="0f1115"/>
          <w:sz w:val="24"/>
          <w:szCs w:val="24"/>
        </w:rPr>
      </w:r>
    </w:p>
    <w:p>
      <w:pPr>
        <w:contextualSpacing/>
        <w:ind w:firstLine="708"/>
        <w:jc w:val="both"/>
        <w:spacing w:line="240" w:lineRule="auto"/>
        <w:rPr>
          <w:rFonts w:ascii="Times New Roman" w:hAnsi="Times New Roman" w:eastAsia="Times New Roman" w:cs="Times New Roman"/>
          <w:b w:val="0"/>
          <w:bCs w:val="0"/>
          <w:color w:val="0f1115"/>
          <w:sz w:val="24"/>
          <w:szCs w:val="24"/>
          <w14:ligatures w14:val="none"/>
        </w:rPr>
        <w:suppressLineNumbers w:val="0"/>
      </w:pPr>
      <w:r>
        <w:rPr>
          <w:rFonts w:ascii="Times New Roman" w:hAnsi="Times New Roman" w:eastAsia="Times New Roman" w:cs="Times New Roman"/>
          <w:b w:val="0"/>
          <w:bCs w:val="0"/>
          <w:color w:val="0f1115"/>
          <w:sz w:val="24"/>
          <w:szCs w:val="24"/>
        </w:rPr>
        <w:t xml:space="preserve">В случае если </w:t>
      </w:r>
      <w:r>
        <w:rPr>
          <w:rFonts w:ascii="Times New Roman" w:hAnsi="Times New Roman" w:eastAsia="Times New Roman" w:cs="Times New Roman"/>
          <w:b w:val="0"/>
          <w:bCs w:val="0"/>
          <w:color w:val="0f1115"/>
          <w:sz w:val="24"/>
          <w:szCs w:val="24"/>
        </w:rPr>
        <w:t xml:space="preserve">укрытие ОПС невозможно</w:t>
      </w:r>
      <w:r>
        <w:rPr>
          <w:rFonts w:ascii="Times New Roman" w:hAnsi="Times New Roman" w:eastAsia="Times New Roman" w:cs="Times New Roman"/>
          <w:b w:val="0"/>
          <w:bCs w:val="0"/>
          <w:color w:val="0f1115"/>
          <w:sz w:val="24"/>
          <w:szCs w:val="24"/>
        </w:rPr>
        <w:t xml:space="preserve">, Подрядчик обязан получив согласие Заказчика </w:t>
      </w:r>
      <w:r>
        <w:rPr>
          <w:rFonts w:ascii="Times New Roman" w:hAnsi="Times New Roman" w:eastAsia="Times New Roman" w:cs="Times New Roman"/>
          <w:b w:val="0"/>
          <w:bCs w:val="0"/>
          <w:color w:val="0f1115"/>
          <w:sz w:val="24"/>
          <w:szCs w:val="24"/>
        </w:rPr>
        <w:t xml:space="preserve">за свой счет привлечь </w:t>
      </w:r>
      <w:r>
        <w:rPr>
          <w:rFonts w:ascii="Times New Roman" w:hAnsi="Times New Roman" w:eastAsia="Times New Roman" w:cs="Times New Roman"/>
          <w:b w:val="0"/>
          <w:bCs w:val="0"/>
          <w:color w:val="0f1115"/>
          <w:sz w:val="24"/>
          <w:szCs w:val="24"/>
        </w:rPr>
        <w:t xml:space="preserve">ор</w:t>
      </w:r>
      <w:r>
        <w:rPr>
          <w:rFonts w:ascii="Times New Roman" w:hAnsi="Times New Roman" w:eastAsia="Times New Roman" w:cs="Times New Roman"/>
          <w:b w:val="0"/>
          <w:bCs w:val="0"/>
          <w:color w:val="0f1115"/>
          <w:sz w:val="24"/>
          <w:szCs w:val="24"/>
        </w:rPr>
        <w:t xml:space="preserve">ганизацию с лицензией МЧС России</w:t>
      </w:r>
      <w:r>
        <w:rPr>
          <w:rFonts w:ascii="Times New Roman" w:hAnsi="Times New Roman" w:eastAsia="Times New Roman" w:cs="Times New Roman"/>
          <w:b w:val="0"/>
          <w:bCs w:val="0"/>
          <w:color w:val="0f1115"/>
          <w:sz w:val="24"/>
          <w:szCs w:val="24"/>
        </w:rPr>
        <w:t xml:space="preserve"> (постановление Правительства РФ № 1128 от 28.07.2020) для временного отключения/демонтажа и последующего монтажа/восстановления ОПС.</w:t>
      </w:r>
      <w:r>
        <w:rPr>
          <w:rFonts w:ascii="Times New Roman" w:hAnsi="Times New Roman" w:eastAsia="Times New Roman" w:cs="Times New Roman"/>
          <w:b w:val="0"/>
          <w:bCs w:val="0"/>
          <w:color w:val="0f1115"/>
          <w:sz w:val="24"/>
          <w:szCs w:val="24"/>
        </w:rPr>
        <w:t xml:space="preserve"> После завершения работ передать ОПС по </w:t>
      </w:r>
      <w:r>
        <w:rPr>
          <w:rFonts w:ascii="Times New Roman" w:hAnsi="Times New Roman" w:eastAsia="Times New Roman" w:cs="Times New Roman"/>
          <w:b w:val="0"/>
          <w:bCs w:val="0"/>
          <w:color w:val="0f1115"/>
          <w:sz w:val="24"/>
          <w:szCs w:val="24"/>
        </w:rPr>
        <w:t xml:space="preserve">акту восстановления работоспособности</w:t>
      </w:r>
      <w:r>
        <w:rPr>
          <w:rFonts w:ascii="Times New Roman" w:hAnsi="Times New Roman" w:eastAsia="Times New Roman" w:cs="Times New Roman"/>
          <w:b w:val="0"/>
          <w:bCs w:val="0"/>
          <w:color w:val="0f1115"/>
          <w:sz w:val="24"/>
          <w:szCs w:val="24"/>
        </w:rPr>
        <w:t xml:space="preserve">.</w:t>
      </w:r>
      <w:r>
        <w:rPr>
          <w:rFonts w:ascii="Times New Roman" w:hAnsi="Times New Roman" w:eastAsia="Times New Roman" w:cs="Times New Roman"/>
          <w:b w:val="0"/>
          <w:bCs w:val="0"/>
          <w:color w:val="0f1115"/>
          <w:sz w:val="24"/>
          <w:szCs w:val="24"/>
          <w14:ligatures w14:val="none"/>
        </w:rPr>
      </w:r>
      <w:r>
        <w:rPr>
          <w:rFonts w:ascii="Times New Roman" w:hAnsi="Times New Roman" w:eastAsia="Times New Roman" w:cs="Times New Roman"/>
          <w:b w:val="0"/>
          <w:bCs w:val="0"/>
          <w:color w:val="0f1115"/>
          <w:sz w:val="24"/>
          <w:szCs w:val="24"/>
          <w14:ligatures w14:val="none"/>
        </w:rPr>
      </w:r>
    </w:p>
    <w:p>
      <w:pPr>
        <w:contextualSpacing/>
        <w:ind w:firstLine="708"/>
        <w:jc w:val="both"/>
        <w:spacing w:line="240" w:lineRule="auto"/>
        <w:rPr>
          <w:rFonts w:ascii="Times New Roman" w:hAnsi="Times New Roman" w:eastAsia="Times New Roman" w:cs="Times New Roman"/>
          <w:b w:val="0"/>
          <w:bCs w:val="0"/>
          <w:sz w:val="24"/>
          <w:szCs w:val="24"/>
          <w:highlight w:val="none"/>
        </w:rPr>
        <w:suppressLineNumbers w:val="0"/>
      </w:pPr>
      <w:r>
        <w:rPr>
          <w:rFonts w:ascii="Times New Roman" w:hAnsi="Times New Roman" w:eastAsia="Times New Roman" w:cs="Times New Roman"/>
          <w:b w:val="0"/>
          <w:bCs w:val="0"/>
          <w:color w:val="0f1115"/>
          <w:sz w:val="24"/>
          <w:szCs w:val="24"/>
        </w:rPr>
        <w:t xml:space="preserve">Перемещение мебели и оборудования из помещения в помещение, а также обратная расстановка производятся силами и за счёт Подрядчика.</w:t>
      </w:r>
      <w:r>
        <w:rPr>
          <w:rFonts w:ascii="Times New Roman" w:hAnsi="Times New Roman" w:eastAsia="Times New Roman" w:cs="Times New Roman"/>
          <w:b w:val="0"/>
          <w:bCs w:val="0"/>
          <w:sz w:val="24"/>
          <w:szCs w:val="24"/>
          <w:highlight w:val="none"/>
        </w:rPr>
      </w:r>
      <w:r>
        <w:rPr>
          <w:rFonts w:ascii="Times New Roman" w:hAnsi="Times New Roman" w:eastAsia="Times New Roman" w:cs="Times New Roman"/>
          <w:b w:val="0"/>
          <w:bCs w:val="0"/>
          <w:sz w:val="24"/>
          <w:szCs w:val="24"/>
          <w:highlight w:val="none"/>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sz w:val="24"/>
          <w:szCs w:val="24"/>
          <w:highlight w:val="none"/>
        </w:rPr>
        <w:t xml:space="preserve">Демонтированные в ходе осуществления работ элементы информационно-коммуникационной сети и электроснабжения (в том числе осветительные приборы) не подлежат утилизации и передаются Заказчику.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В случае пов</w:t>
      </w:r>
      <w:r>
        <w:rPr>
          <w:rFonts w:ascii="Times New Roman" w:hAnsi="Times New Roman" w:eastAsia="Times New Roman" w:cs="Times New Roman"/>
          <w:b w:val="0"/>
          <w:bCs w:val="0"/>
          <w:color w:val="0f1115"/>
          <w:sz w:val="24"/>
          <w:szCs w:val="24"/>
        </w:rPr>
        <w:t xml:space="preserve">реждения имущества Заказчика при его перемещении, отсутствия укрытия либо нарушения условий данного раздела Подрядчик восстанавливает такое имущество или возмещает его стоимость в полном объёме в течение 10 рабочих дней с момента выставления требования Зак</w:t>
      </w:r>
      <w:r>
        <w:rPr>
          <w:rFonts w:ascii="Times New Roman" w:hAnsi="Times New Roman" w:eastAsia="Times New Roman" w:cs="Times New Roman"/>
          <w:b w:val="0"/>
          <w:bCs w:val="0"/>
          <w:color w:val="0f1115"/>
          <w:sz w:val="24"/>
          <w:szCs w:val="24"/>
        </w:rPr>
        <w:t xml:space="preserve">азчиком.</w:t>
      </w:r>
      <w:r>
        <w:rPr>
          <w:rFonts w:ascii="Times New Roman" w:hAnsi="Times New Roman" w:eastAsia="Times New Roman" w:cs="Times New Roman"/>
          <w:b w:val="0"/>
          <w:bCs w:val="0"/>
          <w:sz w:val="24"/>
          <w:szCs w:val="24"/>
        </w:rPr>
        <w:t xml:space="preserve">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Требования </w:t>
      </w:r>
      <w:r>
        <w:rPr>
          <w:rFonts w:ascii="Times New Roman" w:hAnsi="Times New Roman" w:eastAsia="Times New Roman" w:cs="Times New Roman"/>
          <w:b w:val="0"/>
          <w:bCs w:val="0"/>
          <w:color w:val="0f1115"/>
          <w:sz w:val="24"/>
          <w:szCs w:val="24"/>
        </w:rPr>
        <w:t xml:space="preserve">к качеству и безопасности работ и используемых материалов</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Подрядчик должен обеспечить качественное выполнение работ в соответствии с требованиями настоящего описания, нормативными актами, </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 Подрядчик обязан применять сертифицированные материалы, конструкции, оборудование. Все материалы должны соответствовать государственным стандартам и нормам и иметь соответствующие сертификаты и паспорта (предоставляются Заказчику до выполнения работ)</w:t>
      </w:r>
      <w:r>
        <w:rPr>
          <w:rFonts w:ascii="Times New Roman" w:hAnsi="Times New Roman" w:eastAsia="Times New Roman" w:cs="Times New Roman"/>
          <w:b w:val="0"/>
          <w:bCs w:val="0"/>
          <w:color w:val="0f1115"/>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При указании в описании объекта закупки или приложениях </w:t>
      </w:r>
      <w:r>
        <w:rPr>
          <w:rFonts w:ascii="Times New Roman" w:hAnsi="Times New Roman" w:eastAsia="Times New Roman" w:cs="Times New Roman"/>
          <w:b w:val="0"/>
          <w:bCs w:val="0"/>
          <w:color w:val="0f1115"/>
          <w:sz w:val="24"/>
          <w:szCs w:val="24"/>
        </w:rPr>
        <w:t xml:space="preserve">товарного знака, знака обслуживания, наименования производителя</w:t>
      </w:r>
      <w:r>
        <w:rPr>
          <w:rFonts w:ascii="Times New Roman" w:hAnsi="Times New Roman" w:eastAsia="Times New Roman" w:cs="Times New Roman"/>
          <w:b w:val="0"/>
          <w:bCs w:val="0"/>
          <w:color w:val="0f1115"/>
          <w:sz w:val="24"/>
          <w:szCs w:val="24"/>
        </w:rPr>
        <w:t xml:space="preserve"> Подрядчик вправе по согласованию с Заказчиком использовать </w:t>
      </w:r>
      <w:r>
        <w:rPr>
          <w:rFonts w:ascii="Times New Roman" w:hAnsi="Times New Roman" w:eastAsia="Times New Roman" w:cs="Times New Roman"/>
          <w:b w:val="0"/>
          <w:bCs w:val="0"/>
          <w:color w:val="0f1115"/>
          <w:sz w:val="24"/>
          <w:szCs w:val="24"/>
        </w:rPr>
        <w:t xml:space="preserve">эквивалентные материалы</w:t>
      </w:r>
      <w:r>
        <w:rPr>
          <w:rFonts w:ascii="Times New Roman" w:hAnsi="Times New Roman" w:eastAsia="Times New Roman" w:cs="Times New Roman"/>
          <w:b w:val="0"/>
          <w:bCs w:val="0"/>
          <w:color w:val="0f1115"/>
          <w:sz w:val="24"/>
          <w:szCs w:val="24"/>
        </w:rPr>
        <w:t xml:space="preserve">, которые по своим техническим и функциональным характеристикам являются аналогичными либо обладают улучшенными характеристиками. Применение материалов с характеристиками, отличными от указанных, не должно ухудшать качество ремонтируемого объекта.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i/>
          <w:color w:val="0f1115"/>
          <w:sz w:val="24"/>
          <w:szCs w:val="24"/>
        </w:rPr>
        <w:t xml:space="preserve">(Все позиции в Локальном сметном расчёте и Ведомости объёмов работ, содержащие указания на конкретные товарные знаки, считать содержащими условие «или эквивалент».)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Материалы должны быть новыми, не бывшими в употреблении, иметь документы, подтверждающие качество.</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Требования </w:t>
      </w:r>
      <w:r>
        <w:rPr>
          <w:rFonts w:ascii="Times New Roman" w:hAnsi="Times New Roman" w:eastAsia="Times New Roman" w:cs="Times New Roman"/>
          <w:b w:val="0"/>
          <w:bCs w:val="0"/>
          <w:color w:val="0f1115"/>
          <w:sz w:val="24"/>
          <w:szCs w:val="24"/>
        </w:rPr>
        <w:t xml:space="preserve">к гарантийному сроку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Гарантийный срок на результат работ и используемые материалы составляет </w:t>
      </w:r>
      <w:r>
        <w:rPr>
          <w:rFonts w:ascii="Times New Roman" w:hAnsi="Times New Roman" w:eastAsia="Times New Roman" w:cs="Times New Roman"/>
          <w:b w:val="0"/>
          <w:bCs w:val="0"/>
          <w:color w:val="0f1115"/>
          <w:sz w:val="24"/>
          <w:szCs w:val="24"/>
        </w:rPr>
        <w:t xml:space="preserve">24 месяца</w:t>
      </w:r>
      <w:r>
        <w:rPr>
          <w:rFonts w:ascii="Times New Roman" w:hAnsi="Times New Roman" w:eastAsia="Times New Roman" w:cs="Times New Roman"/>
          <w:b w:val="0"/>
          <w:bCs w:val="0"/>
          <w:color w:val="0f1115"/>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Гарантийный срок исчисляется с момента подписания Заказчиком документа о приёмке выполненных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Гарантии распространяются на все конструктивные элементы и работы, выполненные Подрядчиком и субподрядчиками.</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firstLine="708"/>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Подрядчик обязан за свой счёт устранить недостатки, обнаруженные в гарантийный срок, в срок, установленный Контрактом. В случае неустранения Заказчик вправе привлечь третьих лиц и взыскать убытки с Подрядчика.</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39"/>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Требования к </w:t>
      </w:r>
      <w:r>
        <w:rPr>
          <w:rFonts w:ascii="Times New Roman" w:hAnsi="Times New Roman" w:eastAsia="Times New Roman" w:cs="Times New Roman"/>
          <w:b w:val="0"/>
          <w:bCs w:val="0"/>
          <w:color w:val="0f1115"/>
          <w:sz w:val="24"/>
          <w:szCs w:val="24"/>
        </w:rPr>
        <w:t xml:space="preserve">результатам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Подрядчик предъявляет Заказчику по факту завершения работ следующие документы:</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4"/>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журнал производства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4"/>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сертификаты на все использованные материалы и паспорта на изделия </w:t>
      </w:r>
      <w:r>
        <w:rPr>
          <w:rFonts w:ascii="Times New Roman" w:hAnsi="Times New Roman" w:eastAsia="Times New Roman" w:cs="Times New Roman"/>
          <w:b w:val="0"/>
          <w:bCs w:val="0"/>
          <w:sz w:val="24"/>
          <w:szCs w:val="24"/>
        </w:rPr>
        <w:t xml:space="preserve">(или другие документы, подтверждающие качество)</w:t>
      </w:r>
      <w:r>
        <w:rPr>
          <w:rFonts w:ascii="Times New Roman" w:hAnsi="Times New Roman" w:eastAsia="Times New Roman" w:cs="Times New Roman"/>
          <w:b w:val="0"/>
          <w:bCs w:val="0"/>
          <w:color w:val="0f1115"/>
          <w:sz w:val="24"/>
          <w:szCs w:val="24"/>
        </w:rPr>
        <w:t xml:space="preserve">;</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4"/>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акты освидетельствования скрытых работ;</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4"/>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акт о приёмке выполненных работ (форма КС‑2);</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908"/>
        <w:numPr>
          <w:ilvl w:val="0"/>
          <w:numId w:val="44"/>
        </w:numPr>
        <w:contextualSpacing/>
        <w:jc w:val="both"/>
        <w:spacing w:line="240" w:lineRule="auto"/>
        <w:rPr>
          <w:rFonts w:ascii="Times New Roman" w:hAnsi="Times New Roman" w:cs="Times New Roman"/>
          <w:b w:val="0"/>
          <w:bCs w:val="0"/>
          <w:sz w:val="24"/>
          <w:szCs w:val="24"/>
        </w:rPr>
        <w:suppressLineNumbers w:val="0"/>
      </w:pPr>
      <w:r>
        <w:rPr>
          <w:rFonts w:ascii="Times New Roman" w:hAnsi="Times New Roman" w:eastAsia="Times New Roman" w:cs="Times New Roman"/>
          <w:b w:val="0"/>
          <w:bCs w:val="0"/>
          <w:color w:val="0f1115"/>
          <w:sz w:val="24"/>
          <w:szCs w:val="24"/>
        </w:rPr>
        <w:t xml:space="preserve">справку о стоимости выполненных работ и затрат (форма КС‑3).</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ind w:left="720" w:firstLine="0"/>
        <w:jc w:val="both"/>
        <w:spacing w:line="240" w:lineRule="auto"/>
        <w:rPr>
          <w:rFonts w:ascii="Times New Roman" w:hAnsi="Times New Roman" w:cs="Times New Roman"/>
          <w:b w:val="0"/>
          <w:bCs w:val="0"/>
          <w:sz w:val="24"/>
          <w:szCs w:val="24"/>
        </w:rPr>
        <w:suppressLineNumbers w:val="0"/>
      </w:pPr>
      <w:r>
        <w:rPr>
          <w:rFonts w:ascii="Times New Roman" w:hAnsi="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contextualSpacing/>
        <w:jc w:val="both"/>
        <w:spacing w:line="240" w:lineRule="auto"/>
        <w:rPr>
          <w:rFonts w:ascii="Times New Roman" w:hAnsi="Times New Roman" w:cs="Times New Roman"/>
          <w:b w:val="0"/>
          <w:bCs w:val="0"/>
          <w:sz w:val="24"/>
          <w:szCs w:val="24"/>
          <w:highlight w:val="none"/>
          <w:shd w:val="clear" w:color="auto" w:fill="auto"/>
        </w:rPr>
        <w:suppressLineNumbers w:val="0"/>
      </w:pPr>
      <w:r>
        <w:rPr>
          <w:rFonts w:ascii="Times New Roman" w:hAnsi="Times New Roman" w:eastAsia="Times New Roman" w:cs="Times New Roman"/>
          <w:b w:val="0"/>
          <w:bCs w:val="0"/>
          <w:sz w:val="24"/>
          <w:szCs w:val="24"/>
          <w:shd w:val="clear" w:color="auto" w:fill="auto"/>
        </w:rPr>
      </w:r>
      <w:r>
        <w:rPr>
          <w:rFonts w:ascii="Times New Roman" w:hAnsi="Times New Roman" w:cs="Times New Roman"/>
          <w:b w:val="0"/>
          <w:bCs w:val="0"/>
          <w:sz w:val="24"/>
          <w:szCs w:val="24"/>
          <w:highlight w:val="none"/>
          <w:shd w:val="clear" w:color="auto" w:fill="auto"/>
        </w:rPr>
      </w:r>
      <w:r>
        <w:rPr>
          <w:rFonts w:ascii="Times New Roman" w:hAnsi="Times New Roman" w:cs="Times New Roman"/>
          <w:b w:val="0"/>
          <w:bCs w:val="0"/>
          <w:sz w:val="24"/>
          <w:szCs w:val="24"/>
          <w:highlight w:val="none"/>
          <w:shd w:val="clear" w:color="auto" w:fill="auto"/>
        </w:rPr>
      </w:r>
    </w:p>
    <w:p>
      <w:pPr>
        <w:contextualSpacing/>
        <w:jc w:val="both"/>
        <w:spacing w:line="240" w:lineRule="auto"/>
        <w:rPr>
          <w:rFonts w:ascii="Times New Roman" w:hAnsi="Times New Roman" w:cs="Times New Roman"/>
          <w:b w:val="0"/>
          <w:bCs w:val="0"/>
          <w:sz w:val="24"/>
          <w:szCs w:val="24"/>
          <w:highlight w:val="none"/>
          <w:shd w:val="clear" w:color="auto" w:fill="auto"/>
        </w:rPr>
        <w:suppressLineNumbers w:val="0"/>
      </w:pPr>
      <w:r>
        <w:rPr>
          <w:rFonts w:ascii="Times New Roman" w:hAnsi="Times New Roman" w:eastAsia="Times New Roman" w:cs="Times New Roman"/>
          <w:b w:val="0"/>
          <w:bCs w:val="0"/>
          <w:sz w:val="24"/>
          <w:szCs w:val="24"/>
          <w:shd w:val="clear" w:color="auto" w:fill="auto"/>
        </w:rPr>
      </w:r>
      <w:r>
        <w:rPr>
          <w:rFonts w:ascii="Times New Roman" w:hAnsi="Times New Roman" w:cs="Times New Roman"/>
          <w:b w:val="0"/>
          <w:bCs w:val="0"/>
          <w:sz w:val="24"/>
          <w:szCs w:val="24"/>
          <w:highlight w:val="none"/>
          <w:shd w:val="clear" w:color="auto" w:fill="auto"/>
        </w:rPr>
      </w:r>
      <w:r>
        <w:rPr>
          <w:rFonts w:ascii="Times New Roman" w:hAnsi="Times New Roman" w:cs="Times New Roman"/>
          <w:b w:val="0"/>
          <w:bCs w:val="0"/>
          <w:sz w:val="24"/>
          <w:szCs w:val="24"/>
          <w:highlight w:val="none"/>
          <w:shd w:val="clear" w:color="auto" w:fill="auto"/>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i/>
          <w:sz w:val="24"/>
          <w:szCs w:val="24"/>
        </w:rPr>
      </w:pPr>
      <w:r>
        <w:rPr>
          <w:rFonts w:ascii="Times New Roman" w:hAnsi="Times New Roman" w:eastAsia="Times New Roman" w:cs="Times New Roman"/>
          <w:b w:val="0"/>
          <w:bCs w:val="0"/>
          <w:i/>
          <w:sz w:val="24"/>
          <w:szCs w:val="24"/>
        </w:rPr>
      </w:r>
      <w:r>
        <w:rPr>
          <w:rFonts w:ascii="Times New Roman" w:hAnsi="Times New Roman" w:cs="Times New Roman"/>
          <w:b w:val="0"/>
          <w:bCs w:val="0"/>
          <w:i/>
          <w:sz w:val="24"/>
          <w:szCs w:val="24"/>
        </w:rPr>
      </w:r>
      <w:r>
        <w:rPr>
          <w:rFonts w:ascii="Times New Roman" w:hAnsi="Times New Roman" w:cs="Times New Roman"/>
          <w:b w:val="0"/>
          <w:bCs w:val="0"/>
          <w:i/>
          <w:sz w:val="24"/>
          <w:szCs w:val="24"/>
        </w:rPr>
      </w:r>
    </w:p>
    <w:p>
      <w:pPr>
        <w:pStyle w:val="832"/>
        <w:ind w:firstLine="0"/>
        <w:jc w:val="center"/>
        <w:spacing w:before="0" w:after="0" w:line="276" w:lineRule="auto"/>
        <w:shd w:val="clear" w:color="auto" w:fill="ffffff"/>
        <w:widowControl/>
        <w:rPr>
          <w:rFonts w:ascii="Times New Roman" w:hAnsi="Times New Roman" w:cs="Times New Roman"/>
          <w:b w:val="0"/>
          <w:bCs w:val="0"/>
          <w:color w:val="000000"/>
          <w:spacing w:val="-2"/>
          <w:sz w:val="24"/>
          <w:szCs w:val="24"/>
        </w:rPr>
      </w:pPr>
      <w:r>
        <w:rPr>
          <w:rFonts w:ascii="Times New Roman" w:hAnsi="Times New Roman" w:eastAsia="Times New Roman" w:cs="Times New Roman"/>
          <w:b w:val="0"/>
          <w:bCs w:val="0"/>
          <w:color w:val="000000"/>
          <w:spacing w:val="-2"/>
          <w:sz w:val="24"/>
          <w:szCs w:val="24"/>
          <w:lang w:eastAsia="ru-RU"/>
        </w:rPr>
      </w:r>
      <w:r>
        <w:rPr>
          <w:rFonts w:ascii="Times New Roman" w:hAnsi="Times New Roman" w:cs="Times New Roman"/>
          <w:b w:val="0"/>
          <w:bCs w:val="0"/>
          <w:color w:val="000000"/>
          <w:spacing w:val="-2"/>
          <w:sz w:val="24"/>
          <w:szCs w:val="24"/>
        </w:rPr>
      </w:r>
      <w:r>
        <w:rPr>
          <w:rFonts w:ascii="Times New Roman" w:hAnsi="Times New Roman" w:cs="Times New Roman"/>
          <w:b w:val="0"/>
          <w:bCs w:val="0"/>
          <w:color w:val="000000"/>
          <w:spacing w:val="-2"/>
          <w:sz w:val="24"/>
          <w:szCs w:val="24"/>
        </w:rPr>
      </w:r>
    </w:p>
    <w:tbl>
      <w:tblPr>
        <w:tblW w:w="9078" w:type="dxa"/>
        <w:tblInd w:w="62" w:type="dxa"/>
        <w:tblLayout w:type="fixed"/>
        <w:tblCellMar>
          <w:left w:w="62" w:type="dxa"/>
          <w:top w:w="102" w:type="dxa"/>
          <w:right w:w="62" w:type="dxa"/>
          <w:bottom w:w="102" w:type="dxa"/>
        </w:tblCellMar>
        <w:tblLook w:val="0000" w:firstRow="0" w:lastRow="0" w:firstColumn="0" w:lastColumn="0" w:noHBand="0" w:noVBand="0"/>
      </w:tblPr>
      <w:tblGrid>
        <w:gridCol w:w="4539"/>
        <w:gridCol w:w="4538"/>
      </w:tblGrid>
      <w:tr>
        <w:tblPrEx/>
        <w:trPr/>
        <w:tc>
          <w:tcPr>
            <w:tcW w:w="4539"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ЗАКАЗЧИК:</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538"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ПОДРЯДЧИК:</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4539"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________________________________</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(должность)</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538"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________________________________</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(должность)</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4539"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________________________________</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(подпись, фамилия и инициалы)</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538"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________________________________</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(подпись, фамилия и инициалы)</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4539" w:type="dxa"/>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__ _____________ 20__ г.</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538" w:type="dxa"/>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__ _____________ 20__ г.</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r>
        <w:tblPrEx/>
        <w:trPr/>
        <w:tc>
          <w:tcPr>
            <w:tcW w:w="4539"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М.П. (при наличии печати)</w:t>
            </w:r>
            <w:r>
              <w:rPr>
                <w:rFonts w:ascii="Times New Roman" w:hAnsi="Times New Roman" w:cs="Times New Roman"/>
                <w:b w:val="0"/>
                <w:bCs w:val="0"/>
                <w:sz w:val="24"/>
                <w:szCs w:val="24"/>
              </w:rPr>
            </w:r>
            <w:r>
              <w:rPr>
                <w:rFonts w:ascii="Times New Roman" w:hAnsi="Times New Roman" w:cs="Times New Roman"/>
                <w:b w:val="0"/>
                <w:bCs w:val="0"/>
                <w:sz w:val="24"/>
                <w:szCs w:val="24"/>
              </w:rPr>
            </w:r>
          </w:p>
        </w:tc>
        <w:tc>
          <w:tcPr>
            <w:tcW w:w="4538" w:type="dxa"/>
            <w:vAlign w:val="center"/>
            <w:textDirection w:val="lrTb"/>
            <w:noWrap w:val="false"/>
          </w:tcPr>
          <w:p>
            <w:pPr>
              <w:pStyle w:val="832"/>
              <w:ind w:firstLine="0"/>
              <w:jc w:val="center"/>
              <w:spacing w:before="0" w:after="0" w:line="276" w:lineRule="auto"/>
              <w:widowControl w:val="off"/>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t xml:space="preserve">М.П. (при наличии печати)</w:t>
            </w:r>
            <w:r>
              <w:rPr>
                <w:rFonts w:ascii="Times New Roman" w:hAnsi="Times New Roman" w:cs="Times New Roman"/>
                <w:b w:val="0"/>
                <w:bCs w:val="0"/>
                <w:sz w:val="24"/>
                <w:szCs w:val="24"/>
              </w:rPr>
            </w:r>
            <w:r>
              <w:rPr>
                <w:rFonts w:ascii="Times New Roman" w:hAnsi="Times New Roman" w:cs="Times New Roman"/>
                <w:b w:val="0"/>
                <w:bCs w:val="0"/>
                <w:sz w:val="24"/>
                <w:szCs w:val="24"/>
              </w:rPr>
            </w:r>
          </w:p>
        </w:tc>
      </w:tr>
    </w:tbl>
    <w:p>
      <w:pPr>
        <w:pStyle w:val="832"/>
        <w:ind w:firstLine="0"/>
        <w:spacing w:before="0" w:after="0" w:line="276" w:lineRule="auto"/>
        <w:shd w:val="clear" w:color="auto" w:fill="ffffff"/>
        <w:widowControl/>
        <w:rPr>
          <w:rFonts w:ascii="Times New Roman" w:hAnsi="Times New Roman" w:cs="Times New Roman"/>
          <w:b w:val="0"/>
          <w:bCs w:val="0"/>
          <w:color w:val="000000"/>
          <w:spacing w:val="-2"/>
          <w:sz w:val="24"/>
          <w:szCs w:val="24"/>
        </w:rPr>
      </w:pPr>
      <w:r>
        <w:rPr>
          <w:rFonts w:ascii="Times New Roman" w:hAnsi="Times New Roman" w:eastAsia="Times New Roman" w:cs="Times New Roman"/>
          <w:b w:val="0"/>
          <w:bCs w:val="0"/>
          <w:color w:val="000000"/>
          <w:spacing w:val="-2"/>
          <w:sz w:val="24"/>
          <w:szCs w:val="24"/>
          <w:lang w:eastAsia="ru-RU"/>
        </w:rPr>
      </w:r>
      <w:r>
        <w:rPr>
          <w:rFonts w:ascii="Times New Roman" w:hAnsi="Times New Roman" w:eastAsia="Times New Roman" w:cs="Times New Roman"/>
          <w:b w:val="0"/>
          <w:bCs w:val="0"/>
          <w:sz w:val="24"/>
          <w:szCs w:val="24"/>
        </w:rPr>
        <w:br w:type="page" w:clear="all"/>
      </w:r>
      <w:r>
        <w:rPr>
          <w:rFonts w:ascii="Times New Roman" w:hAnsi="Times New Roman" w:cs="Times New Roman"/>
          <w:b w:val="0"/>
          <w:bCs w:val="0"/>
          <w:color w:val="000000"/>
          <w:spacing w:val="-2"/>
          <w:sz w:val="24"/>
          <w:szCs w:val="24"/>
        </w:rPr>
      </w:r>
      <w:r>
        <w:rPr>
          <w:rFonts w:ascii="Times New Roman" w:hAnsi="Times New Roman" w:cs="Times New Roman"/>
          <w:b w:val="0"/>
          <w:bCs w:val="0"/>
          <w:color w:val="000000"/>
          <w:spacing w:val="-2"/>
          <w:sz w:val="24"/>
          <w:szCs w:val="24"/>
        </w:rPr>
      </w:r>
    </w:p>
    <w:p>
      <w:pPr>
        <w:pStyle w:val="832"/>
        <w:ind w:firstLine="6096"/>
        <w:spacing w:before="0" w:after="0"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Приложение №2</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6096"/>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t xml:space="preserve">к государственному контракту</w:t>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6096" w:firstLine="0"/>
        <w:spacing w:line="276" w:lineRule="auto"/>
        <w:rPr>
          <w:rFonts w:ascii="Times New Roman" w:hAnsi="Times New Roman" w:cs="Times New Roman"/>
          <w:b w:val="0"/>
          <w:bCs w:val="0"/>
          <w:sz w:val="24"/>
          <w:szCs w:val="24"/>
        </w:rPr>
      </w:pPr>
      <w:r>
        <w:rPr>
          <w:rFonts w:ascii="Times New Roman" w:hAnsi="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left="6096" w:firstLine="0"/>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widowControl/>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Локальный сметный расчет</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jc w:val="center"/>
        <w:spacing w:before="0" w:after="0" w:line="276" w:lineRule="auto"/>
        <w:tabs>
          <w:tab w:val="clear" w:pos="708" w:leader="none"/>
          <w:tab w:val="left" w:pos="8640" w:leader="none"/>
        </w:tabs>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rPr>
      </w:r>
      <w:r>
        <w:rPr>
          <w:rFonts w:ascii="Times New Roman" w:hAnsi="Times New Roman" w:cs="Times New Roman"/>
          <w:b w:val="0"/>
          <w:bCs w:val="0"/>
          <w:sz w:val="24"/>
          <w:szCs w:val="24"/>
        </w:rPr>
      </w:r>
      <w:r>
        <w:rPr>
          <w:rFonts w:ascii="Times New Roman" w:hAnsi="Times New Roman" w:cs="Times New Roman"/>
          <w:b w:val="0"/>
          <w:bCs w:val="0"/>
          <w:sz w:val="24"/>
          <w:szCs w:val="24"/>
        </w:rPr>
      </w:r>
    </w:p>
    <w:p>
      <w:pPr>
        <w:pStyle w:val="832"/>
        <w:ind w:firstLine="0"/>
        <w:pageBreakBefore w:val="0"/>
        <w:spacing w:line="276" w:lineRule="auto"/>
        <w:rPr>
          <w:rFonts w:ascii="Times New Roman" w:hAnsi="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cs="Times New Roman"/>
          <w:b w:val="0"/>
          <w:bCs w:val="0"/>
          <w:sz w:val="24"/>
          <w:szCs w:val="24"/>
        </w:rPr>
      </w:r>
      <w:r>
        <w:rPr>
          <w:rFonts w:ascii="Times New Roman" w:hAnsi="Times New Roman" w:cs="Times New Roman"/>
          <w:b w:val="0"/>
          <w:bCs w:val="0"/>
          <w:sz w:val="24"/>
          <w:szCs w:val="24"/>
        </w:rPr>
      </w:r>
    </w:p>
    <w:sectPr>
      <w:footnotePr>
        <w:numFmt w:val="decimal"/>
      </w:footnotePr>
      <w:endnotePr/>
      <w:type w:val="nextPage"/>
      <w:pgSz w:w="11906" w:h="16838" w:orient="portrait"/>
      <w:pgMar w:top="1077" w:right="850" w:bottom="1020" w:left="1587" w:header="0" w:footer="0" w:gutter="0"/>
      <w:cols w:num="1" w:sep="0" w:space="1701"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Sun">
    <w:panose1 w:val="02000506000000020000"/>
  </w:font>
  <w:font w:name="Liberation Sans">
    <w:panose1 w:val="020B0604020202020204"/>
  </w:font>
  <w:font w:name="Wingdings">
    <w:panose1 w:val="05010000000000000000"/>
  </w:font>
  <w:font w:name="Symbol">
    <w:panose1 w:val="05010000000000000000"/>
  </w:font>
  <w:font w:name="Tahoma">
    <w:panose1 w:val="020B0604030504040204"/>
  </w:font>
  <w:font w:name="Noto Sans Devanagari">
    <w:panose1 w:val="020B0502040504020204"/>
  </w:font>
  <w:font w:name="Andale Sans UI">
    <w:panose1 w:val="02000603000000000000"/>
  </w:font>
  <w:font w:name="Segoe UI">
    <w:panose1 w:val="020B0502040504020204"/>
  </w:font>
  <w:font w:name="Calibri">
    <w:panose1 w:val="020F0502020204030204"/>
  </w:font>
  <w:font w:name="Calibri Light">
    <w:panose1 w:val="020F0502020204030204"/>
  </w:font>
  <w:font w:name="Mangal">
    <w:panose1 w:val="02040503050406030204"/>
  </w:font>
  <w:font w:name="Courier New">
    <w:panose1 w:val="02070309020205020404"/>
  </w:font>
  <w:font w:name="Consolas">
    <w:panose1 w:val="020B0606020202030204"/>
  </w:font>
  <w:font w:name="PT Astra Serif">
    <w:panose1 w:val="020A0603040505020204"/>
  </w:font>
  <w:font w:name="Arial">
    <w:panose1 w:val="020B060402020202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rPr>
          <w:sz w:val="12"/>
        </w:rPr>
      </w:pPr>
      <w:r>
        <w:separator/>
      </w:r>
      <w:r>
        <w:rPr>
          <w:sz w:val="12"/>
        </w:rPr>
      </w:r>
      <w:r>
        <w:rPr>
          <w:sz w:val="12"/>
        </w:rPr>
      </w:r>
    </w:p>
  </w:footnote>
  <w:footnote w:type="continuationSeparator" w:id="0">
    <w:p>
      <w:pPr>
        <w:rPr>
          <w:sz w:val="12"/>
        </w:rPr>
      </w:pPr>
      <w:r>
        <w:continuationSeparator/>
      </w:r>
      <w:r>
        <w:rPr>
          <w:sz w:val="12"/>
        </w:rPr>
      </w:r>
      <w:r>
        <w:rPr>
          <w:sz w:val="12"/>
        </w:rPr>
      </w:r>
    </w:p>
  </w:footnote>
  <w:footnote w:id="2">
    <w:p>
      <w:pPr>
        <w:pStyle w:val="907"/>
        <w:ind w:left="0" w:right="0" w:firstLine="0"/>
        <w:rPr>
          <w:sz w:val="16"/>
          <w:szCs w:val="16"/>
        </w:rPr>
      </w:pPr>
      <w:r>
        <w:rPr>
          <w:sz w:val="16"/>
          <w:szCs w:val="16"/>
        </w:rPr>
        <w:footnoteRef/>
      </w:r>
      <w:r>
        <w:rPr>
          <w:sz w:val="16"/>
          <w:szCs w:val="16"/>
        </w:rPr>
        <w:t xml:space="preserve"> В соответствии с п. 6 постановления  Правительства РФ от 30 августа 2017 г. N 1042 размер штрафа устанавливается в следующем порядке:</w:t>
      </w:r>
      <w:r>
        <w:rPr>
          <w:sz w:val="16"/>
          <w:szCs w:val="16"/>
        </w:rPr>
      </w:r>
      <w:r>
        <w:rPr>
          <w:sz w:val="16"/>
          <w:szCs w:val="16"/>
        </w:rPr>
      </w:r>
    </w:p>
    <w:p>
      <w:pPr>
        <w:pStyle w:val="907"/>
        <w:ind w:left="0" w:right="0" w:firstLine="0"/>
        <w:rPr>
          <w:sz w:val="16"/>
          <w:szCs w:val="16"/>
        </w:rPr>
      </w:pPr>
      <w:r>
        <w:rPr>
          <w:sz w:val="16"/>
          <w:szCs w:val="16"/>
        </w:rPr>
        <w:t xml:space="preserve">а) 1000 рублей, если цена контракта не превышает 3 млн. рублей;</w:t>
      </w:r>
      <w:r>
        <w:rPr>
          <w:sz w:val="16"/>
          <w:szCs w:val="16"/>
        </w:rPr>
      </w:r>
      <w:r>
        <w:rPr>
          <w:sz w:val="16"/>
          <w:szCs w:val="16"/>
        </w:rPr>
      </w:r>
    </w:p>
    <w:p>
      <w:pPr>
        <w:pStyle w:val="907"/>
        <w:ind w:left="0" w:right="0" w:firstLine="0"/>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07"/>
        <w:ind w:left="0" w:right="0" w:firstLine="0"/>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07"/>
        <w:ind w:left="0" w:right="0" w:firstLine="0"/>
      </w:pPr>
      <w:r>
        <w:rPr>
          <w:sz w:val="16"/>
          <w:szCs w:val="16"/>
        </w:rPr>
        <w:t xml:space="preserve">г) 100000 рублей, если цена контракта превышает 100 млн. рублей.</w:t>
      </w:r>
      <w:r/>
    </w:p>
  </w:footnote>
  <w:footnote w:id="3">
    <w:p>
      <w:pPr>
        <w:pStyle w:val="907"/>
        <w:ind w:left="0" w:right="0" w:firstLine="0"/>
        <w:rPr>
          <w:sz w:val="16"/>
          <w:szCs w:val="16"/>
        </w:rPr>
      </w:pPr>
      <w:r>
        <w:rPr>
          <w:rStyle w:val="869"/>
          <w:sz w:val="16"/>
          <w:szCs w:val="16"/>
        </w:rPr>
        <w:footnoteRef/>
      </w:r>
      <w:r>
        <w:rPr>
          <w:sz w:val="16"/>
          <w:szCs w:val="16"/>
        </w:rPr>
        <w:t xml:space="preserve"> В соответствии с п. 9 Правил, утвержденных постановлением  Правительства РФ от 30 августа 2017 г. N 1042 размер штрафа устанавливается в  следующем порядке:</w:t>
      </w:r>
      <w:r>
        <w:rPr>
          <w:sz w:val="16"/>
          <w:szCs w:val="16"/>
        </w:rPr>
      </w:r>
      <w:r>
        <w:rPr>
          <w:sz w:val="16"/>
          <w:szCs w:val="16"/>
        </w:rPr>
      </w:r>
    </w:p>
    <w:p>
      <w:pPr>
        <w:pStyle w:val="907"/>
        <w:ind w:left="0" w:right="0" w:firstLine="0"/>
        <w:rPr>
          <w:sz w:val="16"/>
          <w:szCs w:val="16"/>
        </w:rPr>
      </w:pPr>
      <w:r>
        <w:rPr>
          <w:sz w:val="16"/>
          <w:szCs w:val="16"/>
        </w:rPr>
        <w:t xml:space="preserve">а) 1000 рублей, если цена контракта не превышает 3 млн. рублей;</w:t>
      </w:r>
      <w:r>
        <w:rPr>
          <w:sz w:val="16"/>
          <w:szCs w:val="16"/>
        </w:rPr>
      </w:r>
      <w:r>
        <w:rPr>
          <w:sz w:val="16"/>
          <w:szCs w:val="16"/>
        </w:rPr>
      </w:r>
    </w:p>
    <w:p>
      <w:pPr>
        <w:pStyle w:val="907"/>
        <w:ind w:left="0" w:right="0" w:firstLine="0"/>
        <w:rPr>
          <w:sz w:val="16"/>
          <w:szCs w:val="16"/>
        </w:rPr>
      </w:pPr>
      <w:r>
        <w:rPr>
          <w:sz w:val="16"/>
          <w:szCs w:val="16"/>
        </w:rPr>
        <w:t xml:space="preserve">б) 5000 рублей, если цена контракта составляет от 3 млн. рублей до 50 млн. рублей (включительно);</w:t>
      </w:r>
      <w:r>
        <w:rPr>
          <w:sz w:val="16"/>
          <w:szCs w:val="16"/>
        </w:rPr>
      </w:r>
      <w:r>
        <w:rPr>
          <w:sz w:val="16"/>
          <w:szCs w:val="16"/>
        </w:rPr>
      </w:r>
    </w:p>
    <w:p>
      <w:pPr>
        <w:pStyle w:val="907"/>
        <w:ind w:left="0" w:right="0" w:firstLine="0"/>
        <w:rPr>
          <w:sz w:val="16"/>
          <w:szCs w:val="16"/>
        </w:rPr>
      </w:pPr>
      <w:r>
        <w:rPr>
          <w:sz w:val="16"/>
          <w:szCs w:val="16"/>
        </w:rPr>
        <w:t xml:space="preserve">в) 10000 рублей, если цена контракта составляет от 50 млн. рублей до 100 млн. рублей (включительно);</w:t>
      </w:r>
      <w:r>
        <w:rPr>
          <w:sz w:val="16"/>
          <w:szCs w:val="16"/>
        </w:rPr>
      </w:r>
      <w:r>
        <w:rPr>
          <w:sz w:val="16"/>
          <w:szCs w:val="16"/>
        </w:rPr>
      </w:r>
    </w:p>
    <w:p>
      <w:pPr>
        <w:pStyle w:val="907"/>
        <w:ind w:left="0" w:right="0" w:firstLine="0"/>
        <w:rPr>
          <w:sz w:val="16"/>
          <w:szCs w:val="16"/>
        </w:rPr>
      </w:pPr>
      <w:r>
        <w:rPr>
          <w:sz w:val="16"/>
          <w:szCs w:val="16"/>
        </w:rPr>
        <w:t xml:space="preserve">г) 100000 рублей, если цена контракта превышает 100 млн. рублей.</w:t>
      </w:r>
      <w:r>
        <w:rPr>
          <w:sz w:val="16"/>
          <w:szCs w:val="16"/>
        </w:rPr>
      </w:r>
      <w:r>
        <w:rPr>
          <w:sz w:val="16"/>
          <w:szCs w:val="16"/>
        </w:rPr>
      </w:r>
    </w:p>
    <w:p>
      <w:pPr>
        <w:pStyle w:val="907"/>
        <w:ind w:left="0" w:right="0" w:firstLine="0"/>
      </w:pP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space"/>
      <w:lvlText w:val="%1."/>
      <w:lvlJc w:val="left"/>
      <w:pPr>
        <w:ind w:left="360" w:hanging="360"/>
        <w:tabs>
          <w:tab w:val="num" w:pos="0" w:leader="none"/>
        </w:tabs>
      </w:pPr>
      <w:rPr>
        <w:b w:val="0"/>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1">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4">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5">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6">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7">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8">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
    <w:multiLevelType w:val="hybridMultilevel"/>
    <w:lvl w:ilvl="0">
      <w:start w:val="1"/>
      <w:numFmt w:val="decimal"/>
      <w:isLgl w:val="false"/>
      <w:suff w:val="space"/>
      <w:lvlText w:val="%1."/>
      <w:lvlJc w:val="left"/>
      <w:pPr>
        <w:ind w:left="2127" w:hanging="360"/>
        <w:tabs>
          <w:tab w:val="num" w:pos="0" w:leader="none"/>
        </w:tabs>
      </w:pPr>
      <w:rPr>
        <w:b/>
        <w:bCs/>
      </w:rPr>
    </w:lvl>
    <w:lvl w:ilvl="1">
      <w:start w:val="1"/>
      <w:numFmt w:val="decimal"/>
      <w:isLgl w:val="false"/>
      <w:suff w:val="space"/>
      <w:lvlText w:val="%1.%2."/>
      <w:lvlJc w:val="left"/>
      <w:pPr>
        <w:ind w:left="2837" w:hanging="360"/>
        <w:tabs>
          <w:tab w:val="num" w:pos="0" w:leader="none"/>
        </w:tabs>
      </w:pPr>
      <w:rPr>
        <w:b w:val="0"/>
      </w:rPr>
    </w:lvl>
    <w:lvl w:ilvl="2">
      <w:start w:val="1"/>
      <w:numFmt w:val="decimal"/>
      <w:isLgl w:val="false"/>
      <w:suff w:val="space"/>
      <w:lvlText w:val="%1.%2.%3."/>
      <w:lvlJc w:val="left"/>
      <w:pPr>
        <w:ind w:left="4472" w:hanging="720"/>
        <w:tabs>
          <w:tab w:val="num" w:pos="0" w:leader="none"/>
        </w:tabs>
      </w:pPr>
      <w:rPr>
        <w:b w:val="0"/>
        <w:bCs w:val="0"/>
        <w:u w:val="none"/>
      </w:rPr>
    </w:lvl>
    <w:lvl w:ilvl="3">
      <w:start w:val="1"/>
      <w:numFmt w:val="decimalZero"/>
      <w:isLgl w:val="false"/>
      <w:suff w:val="tab"/>
      <w:lvlText w:val="%1.%2.%3.%4."/>
      <w:lvlJc w:val="left"/>
      <w:pPr>
        <w:ind w:left="2487" w:hanging="720"/>
        <w:tabs>
          <w:tab w:val="num" w:pos="0" w:leader="none"/>
        </w:tabs>
      </w:pPr>
    </w:lvl>
    <w:lvl w:ilvl="4">
      <w:start w:val="1"/>
      <w:numFmt w:val="decimal"/>
      <w:isLgl w:val="false"/>
      <w:suff w:val="tab"/>
      <w:lvlText w:val="%1.%2.%3.%4.%5."/>
      <w:lvlJc w:val="left"/>
      <w:pPr>
        <w:ind w:left="2847" w:hanging="1080"/>
        <w:tabs>
          <w:tab w:val="num" w:pos="0" w:leader="none"/>
        </w:tabs>
      </w:pPr>
    </w:lvl>
    <w:lvl w:ilvl="5">
      <w:start w:val="1"/>
      <w:numFmt w:val="decimal"/>
      <w:isLgl w:val="false"/>
      <w:suff w:val="tab"/>
      <w:lvlText w:val="%1.%2.%3.%4.%5.%6."/>
      <w:lvlJc w:val="left"/>
      <w:pPr>
        <w:ind w:left="2847" w:hanging="1080"/>
        <w:tabs>
          <w:tab w:val="num" w:pos="0" w:leader="none"/>
        </w:tabs>
      </w:pPr>
    </w:lvl>
    <w:lvl w:ilvl="6">
      <w:start w:val="1"/>
      <w:numFmt w:val="decimal"/>
      <w:isLgl w:val="false"/>
      <w:suff w:val="tab"/>
      <w:lvlText w:val="%1.%2.%3.%4.%5.%6.%7."/>
      <w:lvlJc w:val="left"/>
      <w:pPr>
        <w:ind w:left="3207" w:hanging="1440"/>
        <w:tabs>
          <w:tab w:val="num" w:pos="0" w:leader="none"/>
        </w:tabs>
      </w:pPr>
    </w:lvl>
    <w:lvl w:ilvl="7">
      <w:start w:val="1"/>
      <w:numFmt w:val="decimal"/>
      <w:isLgl w:val="false"/>
      <w:suff w:val="tab"/>
      <w:lvlText w:val="%1.%2.%3.%4.%5.%6.%7.%8."/>
      <w:lvlJc w:val="left"/>
      <w:pPr>
        <w:ind w:left="3207" w:hanging="1440"/>
        <w:tabs>
          <w:tab w:val="num" w:pos="0" w:leader="none"/>
        </w:tabs>
      </w:pPr>
    </w:lvl>
    <w:lvl w:ilvl="8">
      <w:start w:val="1"/>
      <w:numFmt w:val="decimal"/>
      <w:isLgl w:val="false"/>
      <w:suff w:val="tab"/>
      <w:lvlText w:val="%1.%2.%3.%4.%5.%6.%7.%8.%9."/>
      <w:lvlJc w:val="left"/>
      <w:pPr>
        <w:ind w:left="3567" w:hanging="1800"/>
        <w:tabs>
          <w:tab w:val="num" w:pos="0" w:leader="none"/>
        </w:tabs>
      </w:pPr>
    </w:lvl>
  </w:abstractNum>
  <w:abstractNum w:abstractNumId="10">
    <w:multiLevelType w:val="hybridMultilevel"/>
    <w:lvl w:ilvl="0">
      <w:start w:val="1"/>
      <w:numFmt w:val="decimal"/>
      <w:isLgl w:val="false"/>
      <w:suff w:val="space"/>
      <w:lvlText w:val="%1."/>
      <w:lvlJc w:val="left"/>
      <w:pPr>
        <w:ind w:left="1417" w:hanging="360"/>
        <w:tabs>
          <w:tab w:val="num" w:pos="0" w:leader="none"/>
        </w:tabs>
      </w:pPr>
      <w:rPr>
        <w:b/>
        <w:bCs/>
      </w:rPr>
    </w:lvl>
    <w:lvl w:ilvl="1">
      <w:start w:val="1"/>
      <w:numFmt w:val="decimal"/>
      <w:isLgl w:val="false"/>
      <w:suff w:val="space"/>
      <w:lvlText w:val="%1.%2."/>
      <w:lvlJc w:val="left"/>
      <w:pPr>
        <w:ind w:left="2127" w:hanging="360"/>
        <w:tabs>
          <w:tab w:val="num" w:pos="0" w:leader="none"/>
        </w:tabs>
      </w:pPr>
      <w:rPr>
        <w:b w:val="0"/>
      </w:rPr>
    </w:lvl>
    <w:lvl w:ilvl="2">
      <w:start w:val="1"/>
      <w:numFmt w:val="decimal"/>
      <w:isLgl w:val="false"/>
      <w:suff w:val="space"/>
      <w:lvlText w:val="%1.%2.%3."/>
      <w:lvlJc w:val="left"/>
      <w:pPr>
        <w:ind w:left="3762" w:hanging="720"/>
        <w:tabs>
          <w:tab w:val="num" w:pos="0" w:leader="none"/>
        </w:tabs>
      </w:pPr>
      <w:rPr>
        <w:b w:val="0"/>
        <w:bCs w:val="0"/>
        <w:u w:val="none"/>
      </w:rPr>
    </w:lvl>
    <w:lvl w:ilvl="3">
      <w:start w:val="1"/>
      <w:numFmt w:val="decimalZero"/>
      <w:isLgl w:val="false"/>
      <w:suff w:val="tab"/>
      <w:lvlText w:val="%1.%2.%3.%4."/>
      <w:lvlJc w:val="left"/>
      <w:pPr>
        <w:ind w:left="1777" w:hanging="720"/>
        <w:tabs>
          <w:tab w:val="num" w:pos="0" w:leader="none"/>
        </w:tabs>
      </w:pPr>
    </w:lvl>
    <w:lvl w:ilvl="4">
      <w:start w:val="1"/>
      <w:numFmt w:val="decimal"/>
      <w:isLgl w:val="false"/>
      <w:suff w:val="tab"/>
      <w:lvlText w:val="%1.%2.%3.%4.%5."/>
      <w:lvlJc w:val="left"/>
      <w:pPr>
        <w:ind w:left="2137" w:hanging="1080"/>
        <w:tabs>
          <w:tab w:val="num" w:pos="0" w:leader="none"/>
        </w:tabs>
      </w:pPr>
    </w:lvl>
    <w:lvl w:ilvl="5">
      <w:start w:val="1"/>
      <w:numFmt w:val="decimal"/>
      <w:isLgl w:val="false"/>
      <w:suff w:val="tab"/>
      <w:lvlText w:val="%1.%2.%3.%4.%5.%6."/>
      <w:lvlJc w:val="left"/>
      <w:pPr>
        <w:ind w:left="2137" w:hanging="1080"/>
        <w:tabs>
          <w:tab w:val="num" w:pos="0" w:leader="none"/>
        </w:tabs>
      </w:pPr>
    </w:lvl>
    <w:lvl w:ilvl="6">
      <w:start w:val="1"/>
      <w:numFmt w:val="decimal"/>
      <w:isLgl w:val="false"/>
      <w:suff w:val="tab"/>
      <w:lvlText w:val="%1.%2.%3.%4.%5.%6.%7."/>
      <w:lvlJc w:val="left"/>
      <w:pPr>
        <w:ind w:left="2497" w:hanging="1440"/>
        <w:tabs>
          <w:tab w:val="num" w:pos="0" w:leader="none"/>
        </w:tabs>
      </w:pPr>
    </w:lvl>
    <w:lvl w:ilvl="7">
      <w:start w:val="1"/>
      <w:numFmt w:val="decimal"/>
      <w:isLgl w:val="false"/>
      <w:suff w:val="tab"/>
      <w:lvlText w:val="%1.%2.%3.%4.%5.%6.%7.%8."/>
      <w:lvlJc w:val="left"/>
      <w:pPr>
        <w:ind w:left="2497" w:hanging="1440"/>
        <w:tabs>
          <w:tab w:val="num" w:pos="0" w:leader="none"/>
        </w:tabs>
      </w:pPr>
    </w:lvl>
    <w:lvl w:ilvl="8">
      <w:start w:val="1"/>
      <w:numFmt w:val="decimal"/>
      <w:isLgl w:val="false"/>
      <w:suff w:val="tab"/>
      <w:lvlText w:val="%1.%2.%3.%4.%5.%6.%7.%8.%9."/>
      <w:lvlJc w:val="left"/>
      <w:pPr>
        <w:ind w:left="2857" w:hanging="1800"/>
        <w:tabs>
          <w:tab w:val="num" w:pos="0" w:leader="none"/>
        </w:tabs>
      </w:pPr>
    </w:lvl>
  </w:abstractNum>
  <w:abstractNum w:abstractNumId="11">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12">
    <w:multiLevelType w:val="hybridMultilevel"/>
    <w:lvl w:ilvl="0">
      <w:start w:val="1"/>
      <w:numFmt w:val="decimal"/>
      <w:isLgl w:val="false"/>
      <w:suff w:val="space"/>
      <w:lvlText w:val="%1."/>
      <w:lvlJc w:val="left"/>
      <w:pPr>
        <w:ind w:left="360" w:hanging="360"/>
        <w:tabs>
          <w:tab w:val="num" w:pos="0" w:leader="none"/>
        </w:tabs>
      </w:pPr>
      <w:rPr>
        <w:b/>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13">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4">
    <w:multiLevelType w:val="hybridMultilevel"/>
    <w:lvl w:ilvl="0">
      <w:start w:val="1"/>
      <w:numFmt w:val="decimal"/>
      <w:isLgl w:val="false"/>
      <w:suff w:val="tab"/>
      <w:lvlText w:val="%1."/>
      <w:lvlJc w:val="left"/>
      <w:pPr>
        <w:ind w:left="1571" w:hanging="360"/>
      </w:pPr>
    </w:lvl>
    <w:lvl w:ilvl="1">
      <w:start w:val="1"/>
      <w:numFmt w:val="decimal"/>
      <w:isLgl/>
      <w:suff w:val="tab"/>
      <w:lvlText w:val="%1.%2."/>
      <w:lvlJc w:val="left"/>
      <w:pPr>
        <w:ind w:left="2456" w:hanging="1245"/>
      </w:pPr>
      <w:rPr>
        <w:rFonts w:hint="default"/>
        <w:b w:val="0"/>
        <w:i w:val="0"/>
        <w:strike w:val="0"/>
      </w:rPr>
    </w:lvl>
    <w:lvl w:ilvl="2">
      <w:start w:val="1"/>
      <w:numFmt w:val="decimal"/>
      <w:isLgl/>
      <w:suff w:val="tab"/>
      <w:lvlText w:val="%1.%2.%3."/>
      <w:lvlJc w:val="left"/>
      <w:pPr>
        <w:ind w:left="2456" w:hanging="1245"/>
      </w:pPr>
      <w:rPr>
        <w:rFonts w:hint="default"/>
      </w:rPr>
    </w:lvl>
    <w:lvl w:ilvl="3">
      <w:start w:val="1"/>
      <w:numFmt w:val="decimal"/>
      <w:isLgl/>
      <w:suff w:val="tab"/>
      <w:lvlText w:val="%1.%2.%3.%4."/>
      <w:lvlJc w:val="left"/>
      <w:pPr>
        <w:ind w:left="2456" w:hanging="1245"/>
      </w:pPr>
      <w:rPr>
        <w:rFonts w:hint="default"/>
      </w:rPr>
    </w:lvl>
    <w:lvl w:ilvl="4">
      <w:start w:val="1"/>
      <w:numFmt w:val="decimal"/>
      <w:isLgl/>
      <w:suff w:val="tab"/>
      <w:lvlText w:val="%1.%2.%3.%4.%5."/>
      <w:lvlJc w:val="left"/>
      <w:pPr>
        <w:ind w:left="2456" w:hanging="1245"/>
      </w:pPr>
      <w:rPr>
        <w:rFonts w:hint="default"/>
      </w:rPr>
    </w:lvl>
    <w:lvl w:ilvl="5">
      <w:start w:val="1"/>
      <w:numFmt w:val="decimal"/>
      <w:isLgl/>
      <w:suff w:val="tab"/>
      <w:lvlText w:val="%1.%2.%3.%4.%5.%6."/>
      <w:lvlJc w:val="left"/>
      <w:pPr>
        <w:ind w:left="2456" w:hanging="1245"/>
      </w:pPr>
      <w:rPr>
        <w:rFonts w:hint="default"/>
      </w:rPr>
    </w:lvl>
    <w:lvl w:ilvl="6">
      <w:start w:val="1"/>
      <w:numFmt w:val="decimal"/>
      <w:isLgl/>
      <w:suff w:val="tab"/>
      <w:lvlText w:val="%1.%2.%3.%4.%5.%6.%7."/>
      <w:lvlJc w:val="left"/>
      <w:pPr>
        <w:ind w:left="2651" w:hanging="1440"/>
      </w:pPr>
      <w:rPr>
        <w:rFonts w:hint="default"/>
      </w:rPr>
    </w:lvl>
    <w:lvl w:ilvl="7">
      <w:start w:val="1"/>
      <w:numFmt w:val="decimal"/>
      <w:isLgl/>
      <w:suff w:val="tab"/>
      <w:lvlText w:val="%1.%2.%3.%4.%5.%6.%7.%8."/>
      <w:lvlJc w:val="left"/>
      <w:pPr>
        <w:ind w:left="2651" w:hanging="1440"/>
      </w:pPr>
      <w:rPr>
        <w:rFonts w:hint="default"/>
      </w:rPr>
    </w:lvl>
    <w:lvl w:ilvl="8">
      <w:start w:val="1"/>
      <w:numFmt w:val="decimal"/>
      <w:isLgl/>
      <w:suff w:val="tab"/>
      <w:lvlText w:val="%1.%2.%3.%4.%5.%6.%7.%8.%9."/>
      <w:lvlJc w:val="left"/>
      <w:pPr>
        <w:ind w:left="3011" w:hanging="1800"/>
      </w:pPr>
      <w:rPr>
        <w:rFonts w:hint="default"/>
      </w:rPr>
    </w:lvl>
  </w:abstractNum>
  <w:abstractNum w:abstractNumId="15">
    <w:multiLevelType w:val="hybridMultilevel"/>
    <w:lvl w:ilvl="0">
      <w:start w:val="1"/>
      <w:numFmt w:val="decimal"/>
      <w:isLgl w:val="false"/>
      <w:suff w:val="space"/>
      <w:lvlText w:val="%1."/>
      <w:lvlJc w:val="left"/>
      <w:pPr>
        <w:ind w:left="360" w:hanging="360"/>
        <w:tabs>
          <w:tab w:val="num" w:pos="0" w:leader="none"/>
        </w:tabs>
      </w:pPr>
      <w:rPr>
        <w:b/>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16">
    <w:multiLevelType w:val="hybridMultilevel"/>
    <w:lvl w:ilvl="0">
      <w:start w:val="1"/>
      <w:numFmt w:val="decimal"/>
      <w:isLgl w:val="false"/>
      <w:suff w:val="space"/>
      <w:lvlText w:val="%1."/>
      <w:lvlJc w:val="left"/>
      <w:pPr>
        <w:ind w:left="1249" w:hanging="360"/>
        <w:tabs>
          <w:tab w:val="num" w:pos="0" w:leader="none"/>
        </w:tabs>
      </w:pPr>
      <w:rPr>
        <w:b/>
        <w:bCs/>
      </w:rPr>
    </w:lvl>
    <w:lvl w:ilvl="1">
      <w:start w:val="1"/>
      <w:numFmt w:val="decimal"/>
      <w:isLgl w:val="false"/>
      <w:suff w:val="space"/>
      <w:lvlText w:val="%1.%2."/>
      <w:lvlJc w:val="left"/>
      <w:pPr>
        <w:ind w:left="1959" w:hanging="360"/>
        <w:tabs>
          <w:tab w:val="num" w:pos="0" w:leader="none"/>
        </w:tabs>
      </w:pPr>
      <w:rPr>
        <w:b w:val="0"/>
      </w:rPr>
    </w:lvl>
    <w:lvl w:ilvl="2">
      <w:start w:val="1"/>
      <w:numFmt w:val="decimal"/>
      <w:isLgl w:val="false"/>
      <w:suff w:val="space"/>
      <w:lvlText w:val="%1.%2.%3."/>
      <w:lvlJc w:val="left"/>
      <w:pPr>
        <w:ind w:left="3594" w:hanging="720"/>
        <w:tabs>
          <w:tab w:val="num" w:pos="0" w:leader="none"/>
        </w:tabs>
      </w:pPr>
      <w:rPr>
        <w:b w:val="0"/>
        <w:bCs w:val="0"/>
        <w:u w:val="none"/>
      </w:rPr>
    </w:lvl>
    <w:lvl w:ilvl="3">
      <w:start w:val="1"/>
      <w:numFmt w:val="decimalZero"/>
      <w:isLgl w:val="false"/>
      <w:suff w:val="tab"/>
      <w:lvlText w:val="%1.%2.%3.%4."/>
      <w:lvlJc w:val="left"/>
      <w:pPr>
        <w:ind w:left="1609" w:hanging="720"/>
        <w:tabs>
          <w:tab w:val="num" w:pos="0" w:leader="none"/>
        </w:tabs>
      </w:pPr>
    </w:lvl>
    <w:lvl w:ilvl="4">
      <w:start w:val="1"/>
      <w:numFmt w:val="decimal"/>
      <w:isLgl w:val="false"/>
      <w:suff w:val="tab"/>
      <w:lvlText w:val="%1.%2.%3.%4.%5."/>
      <w:lvlJc w:val="left"/>
      <w:pPr>
        <w:ind w:left="1969" w:hanging="1080"/>
        <w:tabs>
          <w:tab w:val="num" w:pos="0" w:leader="none"/>
        </w:tabs>
      </w:pPr>
    </w:lvl>
    <w:lvl w:ilvl="5">
      <w:start w:val="1"/>
      <w:numFmt w:val="decimal"/>
      <w:isLgl w:val="false"/>
      <w:suff w:val="tab"/>
      <w:lvlText w:val="%1.%2.%3.%4.%5.%6."/>
      <w:lvlJc w:val="left"/>
      <w:pPr>
        <w:ind w:left="1969" w:hanging="1080"/>
        <w:tabs>
          <w:tab w:val="num" w:pos="0" w:leader="none"/>
        </w:tabs>
      </w:pPr>
    </w:lvl>
    <w:lvl w:ilvl="6">
      <w:start w:val="1"/>
      <w:numFmt w:val="decimal"/>
      <w:isLgl w:val="false"/>
      <w:suff w:val="tab"/>
      <w:lvlText w:val="%1.%2.%3.%4.%5.%6.%7."/>
      <w:lvlJc w:val="left"/>
      <w:pPr>
        <w:ind w:left="2329" w:hanging="1440"/>
        <w:tabs>
          <w:tab w:val="num" w:pos="0" w:leader="none"/>
        </w:tabs>
      </w:pPr>
    </w:lvl>
    <w:lvl w:ilvl="7">
      <w:start w:val="1"/>
      <w:numFmt w:val="decimal"/>
      <w:isLgl w:val="false"/>
      <w:suff w:val="tab"/>
      <w:lvlText w:val="%1.%2.%3.%4.%5.%6.%7.%8."/>
      <w:lvlJc w:val="left"/>
      <w:pPr>
        <w:ind w:left="2329" w:hanging="1440"/>
        <w:tabs>
          <w:tab w:val="num" w:pos="0" w:leader="none"/>
        </w:tabs>
      </w:pPr>
    </w:lvl>
    <w:lvl w:ilvl="8">
      <w:start w:val="1"/>
      <w:numFmt w:val="decimal"/>
      <w:isLgl w:val="false"/>
      <w:suff w:val="tab"/>
      <w:lvlText w:val="%1.%2.%3.%4.%5.%6.%7.%8.%9."/>
      <w:lvlJc w:val="left"/>
      <w:pPr>
        <w:ind w:left="2689" w:hanging="1800"/>
        <w:tabs>
          <w:tab w:val="num" w:pos="0" w:leader="none"/>
        </w:tabs>
      </w:pPr>
    </w:lvl>
  </w:abstractNum>
  <w:abstractNum w:abstractNumId="17">
    <w:multiLevelType w:val="hybridMultilevel"/>
    <w:lvl w:ilvl="0">
      <w:start w:val="1"/>
      <w:numFmt w:val="decimal"/>
      <w:isLgl w:val="false"/>
      <w:suff w:val="space"/>
      <w:lvlText w:val="%1."/>
      <w:lvlJc w:val="left"/>
      <w:pPr>
        <w:ind w:left="1957" w:hanging="360"/>
        <w:tabs>
          <w:tab w:val="num" w:pos="0" w:leader="none"/>
        </w:tabs>
      </w:pPr>
      <w:rPr>
        <w:b/>
        <w:bCs/>
      </w:rPr>
    </w:lvl>
    <w:lvl w:ilvl="1">
      <w:start w:val="1"/>
      <w:numFmt w:val="decimal"/>
      <w:isLgl w:val="false"/>
      <w:suff w:val="space"/>
      <w:lvlText w:val="%1.%2."/>
      <w:lvlJc w:val="left"/>
      <w:pPr>
        <w:ind w:left="2667" w:hanging="360"/>
        <w:tabs>
          <w:tab w:val="num" w:pos="0" w:leader="none"/>
        </w:tabs>
      </w:pPr>
      <w:rPr>
        <w:b w:val="0"/>
      </w:rPr>
    </w:lvl>
    <w:lvl w:ilvl="2">
      <w:start w:val="1"/>
      <w:numFmt w:val="decimal"/>
      <w:isLgl w:val="false"/>
      <w:suff w:val="space"/>
      <w:lvlText w:val="%1.%2.%3."/>
      <w:lvlJc w:val="left"/>
      <w:pPr>
        <w:ind w:left="4302" w:hanging="720"/>
        <w:tabs>
          <w:tab w:val="num" w:pos="0" w:leader="none"/>
        </w:tabs>
      </w:pPr>
      <w:rPr>
        <w:b w:val="0"/>
        <w:bCs w:val="0"/>
        <w:u w:val="none"/>
      </w:rPr>
    </w:lvl>
    <w:lvl w:ilvl="3">
      <w:start w:val="1"/>
      <w:numFmt w:val="decimalZero"/>
      <w:isLgl w:val="false"/>
      <w:suff w:val="tab"/>
      <w:lvlText w:val="%1.%2.%3.%4."/>
      <w:lvlJc w:val="left"/>
      <w:pPr>
        <w:ind w:left="2317" w:hanging="720"/>
        <w:tabs>
          <w:tab w:val="num" w:pos="0" w:leader="none"/>
        </w:tabs>
      </w:pPr>
    </w:lvl>
    <w:lvl w:ilvl="4">
      <w:start w:val="1"/>
      <w:numFmt w:val="decimal"/>
      <w:isLgl w:val="false"/>
      <w:suff w:val="tab"/>
      <w:lvlText w:val="%1.%2.%3.%4.%5."/>
      <w:lvlJc w:val="left"/>
      <w:pPr>
        <w:ind w:left="2677" w:hanging="1080"/>
        <w:tabs>
          <w:tab w:val="num" w:pos="0" w:leader="none"/>
        </w:tabs>
      </w:pPr>
    </w:lvl>
    <w:lvl w:ilvl="5">
      <w:start w:val="1"/>
      <w:numFmt w:val="decimal"/>
      <w:isLgl w:val="false"/>
      <w:suff w:val="tab"/>
      <w:lvlText w:val="%1.%2.%3.%4.%5.%6."/>
      <w:lvlJc w:val="left"/>
      <w:pPr>
        <w:ind w:left="2677" w:hanging="1080"/>
        <w:tabs>
          <w:tab w:val="num" w:pos="0" w:leader="none"/>
        </w:tabs>
      </w:pPr>
    </w:lvl>
    <w:lvl w:ilvl="6">
      <w:start w:val="1"/>
      <w:numFmt w:val="decimal"/>
      <w:isLgl w:val="false"/>
      <w:suff w:val="tab"/>
      <w:lvlText w:val="%1.%2.%3.%4.%5.%6.%7."/>
      <w:lvlJc w:val="left"/>
      <w:pPr>
        <w:ind w:left="3037" w:hanging="1440"/>
        <w:tabs>
          <w:tab w:val="num" w:pos="0" w:leader="none"/>
        </w:tabs>
      </w:pPr>
    </w:lvl>
    <w:lvl w:ilvl="7">
      <w:start w:val="1"/>
      <w:numFmt w:val="decimal"/>
      <w:isLgl w:val="false"/>
      <w:suff w:val="tab"/>
      <w:lvlText w:val="%1.%2.%3.%4.%5.%6.%7.%8."/>
      <w:lvlJc w:val="left"/>
      <w:pPr>
        <w:ind w:left="3037" w:hanging="1440"/>
        <w:tabs>
          <w:tab w:val="num" w:pos="0" w:leader="none"/>
        </w:tabs>
      </w:pPr>
    </w:lvl>
    <w:lvl w:ilvl="8">
      <w:start w:val="1"/>
      <w:numFmt w:val="decimal"/>
      <w:isLgl w:val="false"/>
      <w:suff w:val="tab"/>
      <w:lvlText w:val="%1.%2.%3.%4.%5.%6.%7.%8.%9."/>
      <w:lvlJc w:val="left"/>
      <w:pPr>
        <w:ind w:left="3397" w:hanging="1800"/>
        <w:tabs>
          <w:tab w:val="num" w:pos="0" w:leader="none"/>
        </w:tabs>
      </w:pPr>
    </w:lvl>
  </w:abstractNum>
  <w:abstractNum w:abstractNumId="18">
    <w:multiLevelType w:val="hybridMultilevel"/>
    <w:lvl w:ilvl="0">
      <w:start w:val="1"/>
      <w:numFmt w:val="decimal"/>
      <w:isLgl w:val="false"/>
      <w:suff w:val="space"/>
      <w:lvlText w:val="%1."/>
      <w:lvlJc w:val="left"/>
      <w:pPr>
        <w:ind w:left="1249" w:hanging="360"/>
        <w:tabs>
          <w:tab w:val="num" w:pos="0" w:leader="none"/>
        </w:tabs>
      </w:pPr>
      <w:rPr>
        <w:b/>
        <w:bCs/>
      </w:rPr>
    </w:lvl>
    <w:lvl w:ilvl="1">
      <w:start w:val="1"/>
      <w:numFmt w:val="decimal"/>
      <w:isLgl w:val="false"/>
      <w:suff w:val="space"/>
      <w:lvlText w:val="%1.%2."/>
      <w:lvlJc w:val="left"/>
      <w:pPr>
        <w:ind w:left="1959" w:hanging="360"/>
        <w:tabs>
          <w:tab w:val="num" w:pos="0" w:leader="none"/>
        </w:tabs>
      </w:pPr>
      <w:rPr>
        <w:b w:val="0"/>
      </w:rPr>
    </w:lvl>
    <w:lvl w:ilvl="2">
      <w:start w:val="1"/>
      <w:numFmt w:val="decimal"/>
      <w:isLgl w:val="false"/>
      <w:suff w:val="space"/>
      <w:lvlText w:val="%1.%2.%3."/>
      <w:lvlJc w:val="left"/>
      <w:pPr>
        <w:ind w:left="3594" w:hanging="720"/>
        <w:tabs>
          <w:tab w:val="num" w:pos="0" w:leader="none"/>
        </w:tabs>
      </w:pPr>
      <w:rPr>
        <w:b w:val="0"/>
        <w:bCs w:val="0"/>
        <w:u w:val="none"/>
      </w:rPr>
    </w:lvl>
    <w:lvl w:ilvl="3">
      <w:start w:val="1"/>
      <w:numFmt w:val="decimalZero"/>
      <w:isLgl w:val="false"/>
      <w:suff w:val="tab"/>
      <w:lvlText w:val="%1.%2.%3.%4."/>
      <w:lvlJc w:val="left"/>
      <w:pPr>
        <w:ind w:left="1609" w:hanging="720"/>
        <w:tabs>
          <w:tab w:val="num" w:pos="0" w:leader="none"/>
        </w:tabs>
      </w:pPr>
    </w:lvl>
    <w:lvl w:ilvl="4">
      <w:start w:val="1"/>
      <w:numFmt w:val="decimal"/>
      <w:isLgl w:val="false"/>
      <w:suff w:val="tab"/>
      <w:lvlText w:val="%1.%2.%3.%4.%5."/>
      <w:lvlJc w:val="left"/>
      <w:pPr>
        <w:ind w:left="1969" w:hanging="1080"/>
        <w:tabs>
          <w:tab w:val="num" w:pos="0" w:leader="none"/>
        </w:tabs>
      </w:pPr>
    </w:lvl>
    <w:lvl w:ilvl="5">
      <w:start w:val="1"/>
      <w:numFmt w:val="decimal"/>
      <w:isLgl w:val="false"/>
      <w:suff w:val="tab"/>
      <w:lvlText w:val="%1.%2.%3.%4.%5.%6."/>
      <w:lvlJc w:val="left"/>
      <w:pPr>
        <w:ind w:left="1969" w:hanging="1080"/>
        <w:tabs>
          <w:tab w:val="num" w:pos="0" w:leader="none"/>
        </w:tabs>
      </w:pPr>
    </w:lvl>
    <w:lvl w:ilvl="6">
      <w:start w:val="1"/>
      <w:numFmt w:val="decimal"/>
      <w:isLgl w:val="false"/>
      <w:suff w:val="tab"/>
      <w:lvlText w:val="%1.%2.%3.%4.%5.%6.%7."/>
      <w:lvlJc w:val="left"/>
      <w:pPr>
        <w:ind w:left="2329" w:hanging="1440"/>
        <w:tabs>
          <w:tab w:val="num" w:pos="0" w:leader="none"/>
        </w:tabs>
      </w:pPr>
    </w:lvl>
    <w:lvl w:ilvl="7">
      <w:start w:val="1"/>
      <w:numFmt w:val="decimal"/>
      <w:isLgl w:val="false"/>
      <w:suff w:val="tab"/>
      <w:lvlText w:val="%1.%2.%3.%4.%5.%6.%7.%8."/>
      <w:lvlJc w:val="left"/>
      <w:pPr>
        <w:ind w:left="2329" w:hanging="1440"/>
        <w:tabs>
          <w:tab w:val="num" w:pos="0" w:leader="none"/>
        </w:tabs>
      </w:pPr>
    </w:lvl>
    <w:lvl w:ilvl="8">
      <w:start w:val="1"/>
      <w:numFmt w:val="decimal"/>
      <w:isLgl w:val="false"/>
      <w:suff w:val="tab"/>
      <w:lvlText w:val="%1.%2.%3.%4.%5.%6.%7.%8.%9."/>
      <w:lvlJc w:val="left"/>
      <w:pPr>
        <w:ind w:left="2689" w:hanging="1800"/>
        <w:tabs>
          <w:tab w:val="num" w:pos="0" w:leader="none"/>
        </w:tabs>
      </w:pPr>
    </w:lvl>
  </w:abstractNum>
  <w:abstractNum w:abstractNumId="19">
    <w:multiLevelType w:val="hybridMultilevel"/>
    <w:lvl w:ilvl="0">
      <w:start w:val="1"/>
      <w:numFmt w:val="decimal"/>
      <w:isLgl w:val="false"/>
      <w:suff w:val="space"/>
      <w:lvlText w:val="%1."/>
      <w:lvlJc w:val="left"/>
      <w:pPr>
        <w:ind w:left="1249" w:hanging="360"/>
        <w:tabs>
          <w:tab w:val="num" w:pos="0" w:leader="none"/>
        </w:tabs>
      </w:pPr>
      <w:rPr>
        <w:b/>
        <w:bCs/>
      </w:rPr>
    </w:lvl>
    <w:lvl w:ilvl="1">
      <w:start w:val="1"/>
      <w:numFmt w:val="decimal"/>
      <w:isLgl w:val="false"/>
      <w:suff w:val="space"/>
      <w:lvlText w:val="%1.%2."/>
      <w:lvlJc w:val="left"/>
      <w:pPr>
        <w:ind w:left="1959" w:hanging="360"/>
        <w:tabs>
          <w:tab w:val="num" w:pos="0" w:leader="none"/>
        </w:tabs>
      </w:pPr>
      <w:rPr>
        <w:b w:val="0"/>
      </w:rPr>
    </w:lvl>
    <w:lvl w:ilvl="2">
      <w:start w:val="1"/>
      <w:numFmt w:val="decimal"/>
      <w:isLgl w:val="false"/>
      <w:suff w:val="space"/>
      <w:lvlText w:val="%1.%2.%3."/>
      <w:lvlJc w:val="left"/>
      <w:pPr>
        <w:ind w:left="3594" w:hanging="720"/>
        <w:tabs>
          <w:tab w:val="num" w:pos="0" w:leader="none"/>
        </w:tabs>
      </w:pPr>
      <w:rPr>
        <w:b w:val="0"/>
        <w:bCs w:val="0"/>
        <w:u w:val="none"/>
      </w:rPr>
    </w:lvl>
    <w:lvl w:ilvl="3">
      <w:start w:val="1"/>
      <w:numFmt w:val="decimalZero"/>
      <w:isLgl w:val="false"/>
      <w:suff w:val="tab"/>
      <w:lvlText w:val="%1.%2.%3.%4."/>
      <w:lvlJc w:val="left"/>
      <w:pPr>
        <w:ind w:left="1609" w:hanging="720"/>
        <w:tabs>
          <w:tab w:val="num" w:pos="0" w:leader="none"/>
        </w:tabs>
      </w:pPr>
    </w:lvl>
    <w:lvl w:ilvl="4">
      <w:start w:val="1"/>
      <w:numFmt w:val="decimal"/>
      <w:isLgl w:val="false"/>
      <w:suff w:val="tab"/>
      <w:lvlText w:val="%1.%2.%3.%4.%5."/>
      <w:lvlJc w:val="left"/>
      <w:pPr>
        <w:ind w:left="1969" w:hanging="1080"/>
        <w:tabs>
          <w:tab w:val="num" w:pos="0" w:leader="none"/>
        </w:tabs>
      </w:pPr>
    </w:lvl>
    <w:lvl w:ilvl="5">
      <w:start w:val="1"/>
      <w:numFmt w:val="decimal"/>
      <w:isLgl w:val="false"/>
      <w:suff w:val="tab"/>
      <w:lvlText w:val="%1.%2.%3.%4.%5.%6."/>
      <w:lvlJc w:val="left"/>
      <w:pPr>
        <w:ind w:left="1969" w:hanging="1080"/>
        <w:tabs>
          <w:tab w:val="num" w:pos="0" w:leader="none"/>
        </w:tabs>
      </w:pPr>
    </w:lvl>
    <w:lvl w:ilvl="6">
      <w:start w:val="1"/>
      <w:numFmt w:val="decimal"/>
      <w:isLgl w:val="false"/>
      <w:suff w:val="tab"/>
      <w:lvlText w:val="%1.%2.%3.%4.%5.%6.%7."/>
      <w:lvlJc w:val="left"/>
      <w:pPr>
        <w:ind w:left="2329" w:hanging="1440"/>
        <w:tabs>
          <w:tab w:val="num" w:pos="0" w:leader="none"/>
        </w:tabs>
      </w:pPr>
    </w:lvl>
    <w:lvl w:ilvl="7">
      <w:start w:val="1"/>
      <w:numFmt w:val="decimal"/>
      <w:isLgl w:val="false"/>
      <w:suff w:val="tab"/>
      <w:lvlText w:val="%1.%2.%3.%4.%5.%6.%7.%8."/>
      <w:lvlJc w:val="left"/>
      <w:pPr>
        <w:ind w:left="2329" w:hanging="1440"/>
        <w:tabs>
          <w:tab w:val="num" w:pos="0" w:leader="none"/>
        </w:tabs>
      </w:pPr>
    </w:lvl>
    <w:lvl w:ilvl="8">
      <w:start w:val="1"/>
      <w:numFmt w:val="decimal"/>
      <w:isLgl w:val="false"/>
      <w:suff w:val="tab"/>
      <w:lvlText w:val="%1.%2.%3.%4.%5.%6.%7.%8.%9."/>
      <w:lvlJc w:val="left"/>
      <w:pPr>
        <w:ind w:left="2689" w:hanging="1800"/>
        <w:tabs>
          <w:tab w:val="num" w:pos="0" w:leader="none"/>
        </w:tabs>
      </w:pPr>
    </w:lvl>
  </w:abstractNum>
  <w:abstractNum w:abstractNumId="20">
    <w:multiLevelType w:val="hybridMultilevel"/>
    <w:lvl w:ilvl="0">
      <w:start w:val="1"/>
      <w:numFmt w:val="decimal"/>
      <w:isLgl w:val="false"/>
      <w:suff w:val="space"/>
      <w:lvlText w:val="%1."/>
      <w:lvlJc w:val="left"/>
      <w:pPr>
        <w:ind w:left="1249" w:hanging="360"/>
        <w:tabs>
          <w:tab w:val="num" w:pos="0" w:leader="none"/>
        </w:tabs>
      </w:pPr>
      <w:rPr>
        <w:b/>
        <w:bCs/>
      </w:rPr>
    </w:lvl>
    <w:lvl w:ilvl="1">
      <w:start w:val="1"/>
      <w:numFmt w:val="decimal"/>
      <w:isLgl w:val="false"/>
      <w:suff w:val="space"/>
      <w:lvlText w:val="%1.%2."/>
      <w:lvlJc w:val="left"/>
      <w:pPr>
        <w:ind w:left="1959" w:hanging="360"/>
        <w:tabs>
          <w:tab w:val="num" w:pos="0" w:leader="none"/>
        </w:tabs>
      </w:pPr>
      <w:rPr>
        <w:b w:val="0"/>
      </w:rPr>
    </w:lvl>
    <w:lvl w:ilvl="2">
      <w:start w:val="1"/>
      <w:numFmt w:val="decimal"/>
      <w:isLgl w:val="false"/>
      <w:suff w:val="space"/>
      <w:lvlText w:val="%1.%2.%3."/>
      <w:lvlJc w:val="left"/>
      <w:pPr>
        <w:ind w:left="3594" w:hanging="720"/>
        <w:tabs>
          <w:tab w:val="num" w:pos="0" w:leader="none"/>
        </w:tabs>
      </w:pPr>
      <w:rPr>
        <w:b w:val="0"/>
        <w:bCs w:val="0"/>
        <w:u w:val="none"/>
      </w:rPr>
    </w:lvl>
    <w:lvl w:ilvl="3">
      <w:start w:val="1"/>
      <w:numFmt w:val="decimalZero"/>
      <w:isLgl w:val="false"/>
      <w:suff w:val="tab"/>
      <w:lvlText w:val="%1.%2.%3.%4."/>
      <w:lvlJc w:val="left"/>
      <w:pPr>
        <w:ind w:left="1609" w:hanging="720"/>
        <w:tabs>
          <w:tab w:val="num" w:pos="0" w:leader="none"/>
        </w:tabs>
      </w:pPr>
    </w:lvl>
    <w:lvl w:ilvl="4">
      <w:start w:val="1"/>
      <w:numFmt w:val="decimal"/>
      <w:isLgl w:val="false"/>
      <w:suff w:val="tab"/>
      <w:lvlText w:val="%1.%2.%3.%4.%5."/>
      <w:lvlJc w:val="left"/>
      <w:pPr>
        <w:ind w:left="1969" w:hanging="1080"/>
        <w:tabs>
          <w:tab w:val="num" w:pos="0" w:leader="none"/>
        </w:tabs>
      </w:pPr>
    </w:lvl>
    <w:lvl w:ilvl="5">
      <w:start w:val="1"/>
      <w:numFmt w:val="decimal"/>
      <w:isLgl w:val="false"/>
      <w:suff w:val="tab"/>
      <w:lvlText w:val="%1.%2.%3.%4.%5.%6."/>
      <w:lvlJc w:val="left"/>
      <w:pPr>
        <w:ind w:left="1969" w:hanging="1080"/>
        <w:tabs>
          <w:tab w:val="num" w:pos="0" w:leader="none"/>
        </w:tabs>
      </w:pPr>
    </w:lvl>
    <w:lvl w:ilvl="6">
      <w:start w:val="1"/>
      <w:numFmt w:val="decimal"/>
      <w:isLgl w:val="false"/>
      <w:suff w:val="tab"/>
      <w:lvlText w:val="%1.%2.%3.%4.%5.%6.%7."/>
      <w:lvlJc w:val="left"/>
      <w:pPr>
        <w:ind w:left="2329" w:hanging="1440"/>
        <w:tabs>
          <w:tab w:val="num" w:pos="0" w:leader="none"/>
        </w:tabs>
      </w:pPr>
    </w:lvl>
    <w:lvl w:ilvl="7">
      <w:start w:val="1"/>
      <w:numFmt w:val="decimal"/>
      <w:isLgl w:val="false"/>
      <w:suff w:val="tab"/>
      <w:lvlText w:val="%1.%2.%3.%4.%5.%6.%7.%8."/>
      <w:lvlJc w:val="left"/>
      <w:pPr>
        <w:ind w:left="2329" w:hanging="1440"/>
        <w:tabs>
          <w:tab w:val="num" w:pos="0" w:leader="none"/>
        </w:tabs>
      </w:pPr>
    </w:lvl>
    <w:lvl w:ilvl="8">
      <w:start w:val="1"/>
      <w:numFmt w:val="decimal"/>
      <w:isLgl w:val="false"/>
      <w:suff w:val="tab"/>
      <w:lvlText w:val="%1.%2.%3.%4.%5.%6.%7.%8.%9."/>
      <w:lvlJc w:val="left"/>
      <w:pPr>
        <w:ind w:left="2689" w:hanging="1800"/>
        <w:tabs>
          <w:tab w:val="num" w:pos="0" w:leader="none"/>
        </w:tabs>
      </w:pPr>
    </w:lvl>
  </w:abstractNum>
  <w:abstractNum w:abstractNumId="21">
    <w:multiLevelType w:val="hybridMultilevel"/>
    <w:lvl w:ilvl="0">
      <w:start w:val="1"/>
      <w:numFmt w:val="decimal"/>
      <w:isLgl w:val="false"/>
      <w:suff w:val="space"/>
      <w:lvlText w:val="%1."/>
      <w:lvlJc w:val="left"/>
      <w:pPr>
        <w:ind w:left="360" w:hanging="360"/>
        <w:tabs>
          <w:tab w:val="num" w:pos="0" w:leader="none"/>
        </w:tabs>
      </w:pPr>
      <w:rPr>
        <w:b/>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22">
    <w:multiLevelType w:val="hybridMultilevel"/>
    <w:lvl w:ilvl="0">
      <w:start w:val="1"/>
      <w:numFmt w:val="decimal"/>
      <w:isLgl w:val="false"/>
      <w:suff w:val="space"/>
      <w:lvlText w:val="%1."/>
      <w:lvlJc w:val="left"/>
      <w:pPr>
        <w:ind w:left="1069" w:hanging="360"/>
        <w:tabs>
          <w:tab w:val="num" w:pos="0" w:leader="none"/>
        </w:tabs>
      </w:pPr>
      <w:rPr>
        <w:b/>
        <w:bCs/>
      </w:rPr>
    </w:lvl>
    <w:lvl w:ilvl="1">
      <w:start w:val="1"/>
      <w:numFmt w:val="decimal"/>
      <w:isLgl w:val="false"/>
      <w:suff w:val="space"/>
      <w:lvlText w:val="%1.%2."/>
      <w:lvlJc w:val="left"/>
      <w:pPr>
        <w:ind w:left="1779" w:hanging="360"/>
        <w:tabs>
          <w:tab w:val="num" w:pos="0" w:leader="none"/>
        </w:tabs>
      </w:pPr>
      <w:rPr>
        <w:b w:val="0"/>
      </w:rPr>
    </w:lvl>
    <w:lvl w:ilvl="2">
      <w:start w:val="1"/>
      <w:numFmt w:val="decimal"/>
      <w:isLgl w:val="false"/>
      <w:suff w:val="space"/>
      <w:lvlText w:val="%1.%2.%3."/>
      <w:lvlJc w:val="left"/>
      <w:pPr>
        <w:ind w:left="3414" w:hanging="720"/>
        <w:tabs>
          <w:tab w:val="num" w:pos="0" w:leader="none"/>
        </w:tabs>
      </w:pPr>
      <w:rPr>
        <w:b w:val="0"/>
        <w:bCs w:val="0"/>
        <w:u w:val="none"/>
      </w:rPr>
    </w:lvl>
    <w:lvl w:ilvl="3">
      <w:start w:val="1"/>
      <w:numFmt w:val="decimalZero"/>
      <w:isLgl w:val="false"/>
      <w:suff w:val="tab"/>
      <w:lvlText w:val="%1.%2.%3.%4."/>
      <w:lvlJc w:val="left"/>
      <w:pPr>
        <w:ind w:left="1429" w:hanging="720"/>
        <w:tabs>
          <w:tab w:val="num" w:pos="0" w:leader="none"/>
        </w:tabs>
      </w:pPr>
    </w:lvl>
    <w:lvl w:ilvl="4">
      <w:start w:val="1"/>
      <w:numFmt w:val="decimal"/>
      <w:isLgl w:val="false"/>
      <w:suff w:val="tab"/>
      <w:lvlText w:val="%1.%2.%3.%4.%5."/>
      <w:lvlJc w:val="left"/>
      <w:pPr>
        <w:ind w:left="1789" w:hanging="1080"/>
        <w:tabs>
          <w:tab w:val="num" w:pos="0" w:leader="none"/>
        </w:tabs>
      </w:pPr>
    </w:lvl>
    <w:lvl w:ilvl="5">
      <w:start w:val="1"/>
      <w:numFmt w:val="decimal"/>
      <w:isLgl w:val="false"/>
      <w:suff w:val="tab"/>
      <w:lvlText w:val="%1.%2.%3.%4.%5.%6."/>
      <w:lvlJc w:val="left"/>
      <w:pPr>
        <w:ind w:left="1789" w:hanging="1080"/>
        <w:tabs>
          <w:tab w:val="num" w:pos="0" w:leader="none"/>
        </w:tabs>
      </w:pPr>
    </w:lvl>
    <w:lvl w:ilvl="6">
      <w:start w:val="1"/>
      <w:numFmt w:val="decimal"/>
      <w:isLgl w:val="false"/>
      <w:suff w:val="tab"/>
      <w:lvlText w:val="%1.%2.%3.%4.%5.%6.%7."/>
      <w:lvlJc w:val="left"/>
      <w:pPr>
        <w:ind w:left="2149" w:hanging="1440"/>
        <w:tabs>
          <w:tab w:val="num" w:pos="0" w:leader="none"/>
        </w:tabs>
      </w:pPr>
    </w:lvl>
    <w:lvl w:ilvl="7">
      <w:start w:val="1"/>
      <w:numFmt w:val="decimal"/>
      <w:isLgl w:val="false"/>
      <w:suff w:val="tab"/>
      <w:lvlText w:val="%1.%2.%3.%4.%5.%6.%7.%8."/>
      <w:lvlJc w:val="left"/>
      <w:pPr>
        <w:ind w:left="2149" w:hanging="1440"/>
        <w:tabs>
          <w:tab w:val="num" w:pos="0" w:leader="none"/>
        </w:tabs>
      </w:pPr>
    </w:lvl>
    <w:lvl w:ilvl="8">
      <w:start w:val="1"/>
      <w:numFmt w:val="decimal"/>
      <w:isLgl w:val="false"/>
      <w:suff w:val="tab"/>
      <w:lvlText w:val="%1.%2.%3.%4.%5.%6.%7.%8.%9."/>
      <w:lvlJc w:val="left"/>
      <w:pPr>
        <w:ind w:left="2509" w:hanging="1800"/>
        <w:tabs>
          <w:tab w:val="num" w:pos="0" w:leader="none"/>
        </w:tabs>
      </w:pPr>
    </w:lvl>
  </w:abstractNum>
  <w:abstractNum w:abstractNumId="23">
    <w:multiLevelType w:val="hybridMultilevel"/>
    <w:lvl w:ilvl="0">
      <w:start w:val="1"/>
      <w:numFmt w:val="decimal"/>
      <w:isLgl w:val="false"/>
      <w:suff w:val="space"/>
      <w:lvlText w:val="%1."/>
      <w:lvlJc w:val="left"/>
      <w:pPr>
        <w:ind w:left="360" w:hanging="360"/>
        <w:tabs>
          <w:tab w:val="num" w:pos="0" w:leader="none"/>
        </w:tabs>
      </w:pPr>
      <w:rPr>
        <w:b/>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24">
    <w:multiLevelType w:val="hybridMultilevel"/>
    <w:lvl w:ilvl="0">
      <w:start w:val="1"/>
      <w:numFmt w:val="decimal"/>
      <w:isLgl w:val="false"/>
      <w:suff w:val="space"/>
      <w:lvlText w:val="%1."/>
      <w:lvlJc w:val="left"/>
      <w:pPr>
        <w:ind w:left="360" w:hanging="360"/>
        <w:tabs>
          <w:tab w:val="num" w:pos="0" w:leader="none"/>
        </w:tabs>
      </w:pPr>
      <w:rPr>
        <w:b/>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25">
    <w:multiLevelType w:val="hybridMultilevel"/>
    <w:lvl w:ilvl="0">
      <w:start w:val="1"/>
      <w:numFmt w:val="decimal"/>
      <w:isLgl w:val="false"/>
      <w:suff w:val="tab"/>
      <w:lvlText w:val="%1."/>
      <w:lvlJc w:val="left"/>
      <w:pPr>
        <w:ind w:left="1249" w:hanging="360"/>
      </w:pPr>
    </w:lvl>
    <w:lvl w:ilvl="1">
      <w:start w:val="1"/>
      <w:numFmt w:val="lowerLetter"/>
      <w:isLgl w:val="false"/>
      <w:suff w:val="tab"/>
      <w:lvlText w:val="%2."/>
      <w:lvlJc w:val="left"/>
      <w:pPr>
        <w:ind w:left="1969" w:hanging="360"/>
      </w:pPr>
    </w:lvl>
    <w:lvl w:ilvl="2">
      <w:start w:val="1"/>
      <w:numFmt w:val="lowerRoman"/>
      <w:isLgl w:val="false"/>
      <w:suff w:val="tab"/>
      <w:lvlText w:val="%3."/>
      <w:lvlJc w:val="right"/>
      <w:pPr>
        <w:ind w:left="2689" w:hanging="180"/>
      </w:pPr>
    </w:lvl>
    <w:lvl w:ilvl="3">
      <w:start w:val="1"/>
      <w:numFmt w:val="decimal"/>
      <w:isLgl w:val="false"/>
      <w:suff w:val="tab"/>
      <w:lvlText w:val="%4."/>
      <w:lvlJc w:val="left"/>
      <w:pPr>
        <w:ind w:left="3409" w:hanging="360"/>
      </w:pPr>
    </w:lvl>
    <w:lvl w:ilvl="4">
      <w:start w:val="1"/>
      <w:numFmt w:val="lowerLetter"/>
      <w:isLgl w:val="false"/>
      <w:suff w:val="tab"/>
      <w:lvlText w:val="%5."/>
      <w:lvlJc w:val="left"/>
      <w:pPr>
        <w:ind w:left="4129" w:hanging="360"/>
      </w:pPr>
    </w:lvl>
    <w:lvl w:ilvl="5">
      <w:start w:val="1"/>
      <w:numFmt w:val="lowerRoman"/>
      <w:isLgl w:val="false"/>
      <w:suff w:val="tab"/>
      <w:lvlText w:val="%6."/>
      <w:lvlJc w:val="right"/>
      <w:pPr>
        <w:ind w:left="4849" w:hanging="180"/>
      </w:pPr>
    </w:lvl>
    <w:lvl w:ilvl="6">
      <w:start w:val="1"/>
      <w:numFmt w:val="decimal"/>
      <w:isLgl w:val="false"/>
      <w:suff w:val="tab"/>
      <w:lvlText w:val="%7."/>
      <w:lvlJc w:val="left"/>
      <w:pPr>
        <w:ind w:left="5569" w:hanging="360"/>
      </w:pPr>
    </w:lvl>
    <w:lvl w:ilvl="7">
      <w:start w:val="1"/>
      <w:numFmt w:val="lowerLetter"/>
      <w:isLgl w:val="false"/>
      <w:suff w:val="tab"/>
      <w:lvlText w:val="%8."/>
      <w:lvlJc w:val="left"/>
      <w:pPr>
        <w:ind w:left="6289" w:hanging="360"/>
      </w:pPr>
    </w:lvl>
    <w:lvl w:ilvl="8">
      <w:start w:val="1"/>
      <w:numFmt w:val="lowerRoman"/>
      <w:isLgl w:val="false"/>
      <w:suff w:val="tab"/>
      <w:lvlText w:val="%9."/>
      <w:lvlJc w:val="right"/>
      <w:pPr>
        <w:ind w:left="7009" w:hanging="180"/>
      </w:pPr>
    </w:lvl>
  </w:abstractNum>
  <w:abstractNum w:abstractNumId="26">
    <w:multiLevelType w:val="hybridMultilevel"/>
    <w:lvl w:ilvl="0">
      <w:start w:val="1"/>
      <w:numFmt w:val="decimal"/>
      <w:isLgl w:val="false"/>
      <w:suff w:val="tab"/>
      <w:lvlText w:val="%1."/>
      <w:lvlJc w:val="left"/>
      <w:pPr>
        <w:ind w:left="1249" w:hanging="360"/>
      </w:pPr>
    </w:lvl>
    <w:lvl w:ilvl="1">
      <w:start w:val="1"/>
      <w:numFmt w:val="lowerLetter"/>
      <w:isLgl w:val="false"/>
      <w:suff w:val="tab"/>
      <w:lvlText w:val="%2."/>
      <w:lvlJc w:val="left"/>
      <w:pPr>
        <w:ind w:left="1969" w:hanging="360"/>
      </w:pPr>
    </w:lvl>
    <w:lvl w:ilvl="2">
      <w:start w:val="1"/>
      <w:numFmt w:val="lowerRoman"/>
      <w:isLgl w:val="false"/>
      <w:suff w:val="tab"/>
      <w:lvlText w:val="%3."/>
      <w:lvlJc w:val="right"/>
      <w:pPr>
        <w:ind w:left="2689" w:hanging="180"/>
      </w:pPr>
    </w:lvl>
    <w:lvl w:ilvl="3">
      <w:start w:val="1"/>
      <w:numFmt w:val="decimal"/>
      <w:isLgl w:val="false"/>
      <w:suff w:val="tab"/>
      <w:lvlText w:val="%4."/>
      <w:lvlJc w:val="left"/>
      <w:pPr>
        <w:ind w:left="3409" w:hanging="360"/>
      </w:pPr>
    </w:lvl>
    <w:lvl w:ilvl="4">
      <w:start w:val="1"/>
      <w:numFmt w:val="lowerLetter"/>
      <w:isLgl w:val="false"/>
      <w:suff w:val="tab"/>
      <w:lvlText w:val="%5."/>
      <w:lvlJc w:val="left"/>
      <w:pPr>
        <w:ind w:left="4129" w:hanging="360"/>
      </w:pPr>
    </w:lvl>
    <w:lvl w:ilvl="5">
      <w:start w:val="1"/>
      <w:numFmt w:val="lowerRoman"/>
      <w:isLgl w:val="false"/>
      <w:suff w:val="tab"/>
      <w:lvlText w:val="%6."/>
      <w:lvlJc w:val="right"/>
      <w:pPr>
        <w:ind w:left="4849" w:hanging="180"/>
      </w:pPr>
    </w:lvl>
    <w:lvl w:ilvl="6">
      <w:start w:val="1"/>
      <w:numFmt w:val="decimal"/>
      <w:isLgl w:val="false"/>
      <w:suff w:val="tab"/>
      <w:lvlText w:val="%7."/>
      <w:lvlJc w:val="left"/>
      <w:pPr>
        <w:ind w:left="5569" w:hanging="360"/>
      </w:pPr>
    </w:lvl>
    <w:lvl w:ilvl="7">
      <w:start w:val="1"/>
      <w:numFmt w:val="lowerLetter"/>
      <w:isLgl w:val="false"/>
      <w:suff w:val="tab"/>
      <w:lvlText w:val="%8."/>
      <w:lvlJc w:val="left"/>
      <w:pPr>
        <w:ind w:left="6289" w:hanging="360"/>
      </w:pPr>
    </w:lvl>
    <w:lvl w:ilvl="8">
      <w:start w:val="1"/>
      <w:numFmt w:val="lowerRoman"/>
      <w:isLgl w:val="false"/>
      <w:suff w:val="tab"/>
      <w:lvlText w:val="%9."/>
      <w:lvlJc w:val="right"/>
      <w:pPr>
        <w:ind w:left="7009" w:hanging="180"/>
      </w:pPr>
    </w:lvl>
  </w:abstractNum>
  <w:abstractNum w:abstractNumId="27">
    <w:multiLevelType w:val="hybridMultilevel"/>
    <w:lvl w:ilvl="0">
      <w:start w:val="1"/>
      <w:numFmt w:val="decimal"/>
      <w:isLgl w:val="false"/>
      <w:suff w:val="space"/>
      <w:lvlText w:val="%1."/>
      <w:lvlJc w:val="left"/>
      <w:pPr>
        <w:ind w:left="360" w:hanging="360"/>
        <w:tabs>
          <w:tab w:val="num" w:pos="0" w:leader="none"/>
        </w:tabs>
      </w:pPr>
      <w:rPr>
        <w:b w:val="0"/>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28">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1">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4">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7">
    <w:multiLevelType w:val="hybridMultilevel"/>
    <w:lvl w:ilvl="0">
      <w:start w:val="1"/>
      <w:numFmt w:val="decimal"/>
      <w:isLgl w:val="false"/>
      <w:suff w:val="space"/>
      <w:lvlText w:val="%1."/>
      <w:lvlJc w:val="left"/>
      <w:pPr>
        <w:ind w:left="360" w:hanging="360"/>
        <w:tabs>
          <w:tab w:val="num" w:pos="0" w:leader="none"/>
        </w:tabs>
      </w:pPr>
      <w:rPr>
        <w:b w:val="0"/>
        <w:bCs/>
      </w:rPr>
    </w:lvl>
    <w:lvl w:ilvl="1">
      <w:start w:val="1"/>
      <w:numFmt w:val="decimal"/>
      <w:isLgl w:val="false"/>
      <w:suff w:val="space"/>
      <w:lvlText w:val="%1.%2."/>
      <w:lvlJc w:val="left"/>
      <w:pPr>
        <w:ind w:left="1070" w:hanging="360"/>
        <w:tabs>
          <w:tab w:val="num" w:pos="0" w:leader="none"/>
        </w:tabs>
      </w:pPr>
      <w:rPr>
        <w:b w:val="0"/>
      </w:rPr>
    </w:lvl>
    <w:lvl w:ilvl="2">
      <w:start w:val="1"/>
      <w:numFmt w:val="decimal"/>
      <w:isLgl w:val="false"/>
      <w:suff w:val="space"/>
      <w:lvlText w:val="%1.%2.%3."/>
      <w:lvlJc w:val="left"/>
      <w:pPr>
        <w:ind w:left="2705" w:hanging="720"/>
        <w:tabs>
          <w:tab w:val="num" w:pos="0" w:leader="none"/>
        </w:tabs>
      </w:pPr>
      <w:rPr>
        <w:b w:val="0"/>
        <w:bCs w:val="0"/>
        <w:u w:val="none"/>
      </w:rPr>
    </w:lvl>
    <w:lvl w:ilvl="3">
      <w:start w:val="1"/>
      <w:numFmt w:val="decimalZero"/>
      <w:isLgl w:val="false"/>
      <w:suff w:val="tab"/>
      <w:lvlText w:val="%1.%2.%3.%4."/>
      <w:lvlJc w:val="left"/>
      <w:pPr>
        <w:ind w:left="720" w:hanging="720"/>
        <w:tabs>
          <w:tab w:val="num" w:pos="0" w:leader="none"/>
        </w:tabs>
      </w:pPr>
    </w:lvl>
    <w:lvl w:ilvl="4">
      <w:start w:val="1"/>
      <w:numFmt w:val="decimal"/>
      <w:isLgl w:val="false"/>
      <w:suff w:val="tab"/>
      <w:lvlText w:val="%1.%2.%3.%4.%5."/>
      <w:lvlJc w:val="left"/>
      <w:pPr>
        <w:ind w:left="1080" w:hanging="1080"/>
        <w:tabs>
          <w:tab w:val="num" w:pos="0" w:leader="none"/>
        </w:tabs>
      </w:pPr>
    </w:lvl>
    <w:lvl w:ilvl="5">
      <w:start w:val="1"/>
      <w:numFmt w:val="decimal"/>
      <w:isLgl w:val="false"/>
      <w:suff w:val="tab"/>
      <w:lvlText w:val="%1.%2.%3.%4.%5.%6."/>
      <w:lvlJc w:val="left"/>
      <w:pPr>
        <w:ind w:left="1080" w:hanging="1080"/>
        <w:tabs>
          <w:tab w:val="num" w:pos="0" w:leader="none"/>
        </w:tabs>
      </w:pPr>
    </w:lvl>
    <w:lvl w:ilvl="6">
      <w:start w:val="1"/>
      <w:numFmt w:val="decimal"/>
      <w:isLgl w:val="false"/>
      <w:suff w:val="tab"/>
      <w:lvlText w:val="%1.%2.%3.%4.%5.%6.%7."/>
      <w:lvlJc w:val="left"/>
      <w:pPr>
        <w:ind w:left="1440" w:hanging="1440"/>
        <w:tabs>
          <w:tab w:val="num" w:pos="0" w:leader="none"/>
        </w:tabs>
      </w:pPr>
    </w:lvl>
    <w:lvl w:ilvl="7">
      <w:start w:val="1"/>
      <w:numFmt w:val="decimal"/>
      <w:isLgl w:val="false"/>
      <w:suff w:val="tab"/>
      <w:lvlText w:val="%1.%2.%3.%4.%5.%6.%7.%8."/>
      <w:lvlJc w:val="left"/>
      <w:pPr>
        <w:ind w:left="1440" w:hanging="1440"/>
        <w:tabs>
          <w:tab w:val="num" w:pos="0" w:leader="none"/>
        </w:tabs>
      </w:pPr>
    </w:lvl>
    <w:lvl w:ilvl="8">
      <w:start w:val="1"/>
      <w:numFmt w:val="decimal"/>
      <w:isLgl w:val="false"/>
      <w:suff w:val="tab"/>
      <w:lvlText w:val="%1.%2.%3.%4.%5.%6.%7.%8.%9."/>
      <w:lvlJc w:val="left"/>
      <w:pPr>
        <w:ind w:left="1800" w:hanging="1800"/>
        <w:tabs>
          <w:tab w:val="num" w:pos="0" w:leader="none"/>
        </w:tabs>
      </w:pPr>
    </w:lvl>
  </w:abstractNum>
  <w:abstractNum w:abstractNumId="38">
    <w:multiLevelType w:val="hybridMultilevel"/>
    <w:lvl w:ilvl="0">
      <w:start w:val="1"/>
      <w:numFmt w:val="decimal"/>
      <w:isLgl w:val="false"/>
      <w:suff w:val="tab"/>
      <w:lvlText w:val="%1."/>
      <w:lvlJc w:val="left"/>
      <w:pPr>
        <w:ind w:left="709" w:hanging="360"/>
      </w:pPr>
    </w:lvl>
    <w:lvl w:ilvl="1">
      <w:start w:val="1"/>
      <w:numFmt w:val="lowerLetter"/>
      <w:isLgl w:val="false"/>
      <w:suff w:val="tab"/>
      <w:lvlText w:val="%2."/>
      <w:lvlJc w:val="left"/>
      <w:pPr>
        <w:ind w:left="1080" w:hanging="360"/>
      </w:pPr>
    </w:lvl>
    <w:lvl w:ilvl="2">
      <w:start w:val="1"/>
      <w:numFmt w:val="lowerRoman"/>
      <w:isLgl w:val="false"/>
      <w:suff w:val="tab"/>
      <w:lvlText w:val="%3."/>
      <w:lvlJc w:val="right"/>
      <w:pPr>
        <w:ind w:left="1800" w:hanging="180"/>
      </w:pPr>
    </w:lvl>
    <w:lvl w:ilvl="3">
      <w:start w:val="1"/>
      <w:numFmt w:val="decimal"/>
      <w:isLgl w:val="false"/>
      <w:suff w:val="tab"/>
      <w:lvlText w:val="%4."/>
      <w:lvlJc w:val="left"/>
      <w:pPr>
        <w:ind w:left="2520" w:hanging="360"/>
      </w:pPr>
    </w:lvl>
    <w:lvl w:ilvl="4">
      <w:start w:val="1"/>
      <w:numFmt w:val="lowerLetter"/>
      <w:isLgl w:val="false"/>
      <w:suff w:val="tab"/>
      <w:lvlText w:val="%5."/>
      <w:lvlJc w:val="left"/>
      <w:pPr>
        <w:ind w:left="3240" w:hanging="360"/>
      </w:pPr>
    </w:lvl>
    <w:lvl w:ilvl="5">
      <w:start w:val="1"/>
      <w:numFmt w:val="lowerRoman"/>
      <w:isLgl w:val="false"/>
      <w:suff w:val="tab"/>
      <w:lvlText w:val="%6."/>
      <w:lvlJc w:val="right"/>
      <w:pPr>
        <w:ind w:left="3960" w:hanging="180"/>
      </w:pPr>
    </w:lvl>
    <w:lvl w:ilvl="6">
      <w:start w:val="1"/>
      <w:numFmt w:val="decimal"/>
      <w:isLgl w:val="false"/>
      <w:suff w:val="tab"/>
      <w:lvlText w:val="%7."/>
      <w:lvlJc w:val="left"/>
      <w:pPr>
        <w:ind w:left="4680" w:hanging="360"/>
      </w:pPr>
    </w:lvl>
    <w:lvl w:ilvl="7">
      <w:start w:val="1"/>
      <w:numFmt w:val="lowerLetter"/>
      <w:isLgl w:val="false"/>
      <w:suff w:val="tab"/>
      <w:lvlText w:val="%8."/>
      <w:lvlJc w:val="left"/>
      <w:pPr>
        <w:ind w:left="5400" w:hanging="360"/>
      </w:pPr>
    </w:lvl>
    <w:lvl w:ilvl="8">
      <w:start w:val="1"/>
      <w:numFmt w:val="lowerRoman"/>
      <w:isLgl w:val="false"/>
      <w:suff w:val="tab"/>
      <w:lvlText w:val="%9."/>
      <w:lvlJc w:val="right"/>
      <w:pPr>
        <w:ind w:left="6120" w:hanging="180"/>
      </w:pPr>
    </w:lvl>
  </w:abstractNum>
  <w:abstractNum w:abstractNumId="39">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0">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1">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2">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3">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4">
    <w:multiLevelType w:val="hybridMultilevel"/>
    <w:lvl w:ilvl="0">
      <w:start w:val="1"/>
      <w:numFmt w:val="decimal"/>
      <w:isLgl w:val="false"/>
      <w:suff w:val="tab"/>
      <w:lvlText w:val="%1."/>
      <w:lvlJc w:val="left"/>
      <w:pPr>
        <w:ind w:left="1249" w:hanging="360"/>
      </w:pPr>
    </w:lvl>
    <w:lvl w:ilvl="1">
      <w:start w:val="1"/>
      <w:numFmt w:val="lowerLetter"/>
      <w:isLgl w:val="false"/>
      <w:suff w:val="tab"/>
      <w:lvlText w:val="%2."/>
      <w:lvlJc w:val="left"/>
      <w:pPr>
        <w:ind w:left="1969" w:hanging="360"/>
      </w:pPr>
    </w:lvl>
    <w:lvl w:ilvl="2">
      <w:start w:val="1"/>
      <w:numFmt w:val="lowerRoman"/>
      <w:isLgl w:val="false"/>
      <w:suff w:val="tab"/>
      <w:lvlText w:val="%3."/>
      <w:lvlJc w:val="right"/>
      <w:pPr>
        <w:ind w:left="2689" w:hanging="180"/>
      </w:pPr>
    </w:lvl>
    <w:lvl w:ilvl="3">
      <w:start w:val="1"/>
      <w:numFmt w:val="decimal"/>
      <w:isLgl w:val="false"/>
      <w:suff w:val="tab"/>
      <w:lvlText w:val="%4."/>
      <w:lvlJc w:val="left"/>
      <w:pPr>
        <w:ind w:left="3409" w:hanging="360"/>
      </w:pPr>
    </w:lvl>
    <w:lvl w:ilvl="4">
      <w:start w:val="1"/>
      <w:numFmt w:val="lowerLetter"/>
      <w:isLgl w:val="false"/>
      <w:suff w:val="tab"/>
      <w:lvlText w:val="%5."/>
      <w:lvlJc w:val="left"/>
      <w:pPr>
        <w:ind w:left="4129" w:hanging="360"/>
      </w:pPr>
    </w:lvl>
    <w:lvl w:ilvl="5">
      <w:start w:val="1"/>
      <w:numFmt w:val="lowerRoman"/>
      <w:isLgl w:val="false"/>
      <w:suff w:val="tab"/>
      <w:lvlText w:val="%6."/>
      <w:lvlJc w:val="right"/>
      <w:pPr>
        <w:ind w:left="4849" w:hanging="180"/>
      </w:pPr>
    </w:lvl>
    <w:lvl w:ilvl="6">
      <w:start w:val="1"/>
      <w:numFmt w:val="decimal"/>
      <w:isLgl w:val="false"/>
      <w:suff w:val="tab"/>
      <w:lvlText w:val="%7."/>
      <w:lvlJc w:val="left"/>
      <w:pPr>
        <w:ind w:left="5569" w:hanging="360"/>
      </w:pPr>
    </w:lvl>
    <w:lvl w:ilvl="7">
      <w:start w:val="1"/>
      <w:numFmt w:val="lowerLetter"/>
      <w:isLgl w:val="false"/>
      <w:suff w:val="tab"/>
      <w:lvlText w:val="%8."/>
      <w:lvlJc w:val="left"/>
      <w:pPr>
        <w:ind w:left="6289" w:hanging="360"/>
      </w:pPr>
    </w:lvl>
    <w:lvl w:ilvl="8">
      <w:start w:val="1"/>
      <w:numFmt w:val="lowerRoman"/>
      <w:isLgl w:val="false"/>
      <w:suff w:val="tab"/>
      <w:lvlText w:val="%9."/>
      <w:lvlJc w:val="right"/>
      <w:pPr>
        <w:ind w:left="7009" w:hanging="180"/>
      </w:pPr>
    </w:lvl>
  </w:abstractNum>
  <w:abstractNum w:abstractNumId="45">
    <w:multiLevelType w:val="hybridMultilevel"/>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6">
    <w:multiLevelType w:val="hybridMultilevel"/>
    <w:lvl w:ilvl="0">
      <w:start w:val="1"/>
      <w:numFmt w:val="decimal"/>
      <w:isLgl w:val="false"/>
      <w:suff w:val="tab"/>
      <w:lvlText w:val="%1."/>
      <w:lvlJc w:val="right"/>
      <w:pPr>
        <w:ind w:left="709" w:hanging="360"/>
      </w:pPr>
      <w:rPr>
        <w:rFonts w:ascii="Liberation Sans" w:hAnsi="Liberation Sans" w:eastAsia="Liberation Sans" w:cs="Liberation Sans"/>
        <w:color w:val="0f1115"/>
        <w:sz w:val="24"/>
      </w:rPr>
    </w:lvl>
    <w:lvl w:ilvl="1">
      <w:start w:val="1"/>
      <w:numFmt w:val="decimal"/>
      <w:isLgl w:val="false"/>
      <w:suff w:val="tab"/>
      <w:lvlText w:val="%2."/>
      <w:lvlJc w:val="right"/>
      <w:pPr>
        <w:ind w:left="1429" w:hanging="360"/>
      </w:pPr>
    </w:lvl>
    <w:lvl w:ilvl="2">
      <w:start w:val="1"/>
      <w:numFmt w:val="decimal"/>
      <w:isLgl w:val="false"/>
      <w:suff w:val="tab"/>
      <w:lvlText w:val="%3."/>
      <w:lvlJc w:val="right"/>
      <w:pPr>
        <w:ind w:left="2149" w:hanging="180"/>
      </w:pPr>
    </w:lvl>
    <w:lvl w:ilvl="3">
      <w:start w:val="1"/>
      <w:numFmt w:val="decimal"/>
      <w:isLgl w:val="false"/>
      <w:suff w:val="tab"/>
      <w:lvlText w:val="%4."/>
      <w:lvlJc w:val="right"/>
      <w:pPr>
        <w:ind w:left="2869" w:hanging="360"/>
      </w:pPr>
    </w:lvl>
    <w:lvl w:ilvl="4">
      <w:start w:val="1"/>
      <w:numFmt w:val="decimal"/>
      <w:isLgl w:val="false"/>
      <w:suff w:val="tab"/>
      <w:lvlText w:val="%5."/>
      <w:lvlJc w:val="right"/>
      <w:pPr>
        <w:ind w:left="3589" w:hanging="360"/>
      </w:pPr>
    </w:lvl>
    <w:lvl w:ilvl="5">
      <w:start w:val="1"/>
      <w:numFmt w:val="decimal"/>
      <w:isLgl w:val="false"/>
      <w:suff w:val="tab"/>
      <w:lvlText w:val="%6."/>
      <w:lvlJc w:val="right"/>
      <w:pPr>
        <w:ind w:left="4309" w:hanging="180"/>
      </w:pPr>
    </w:lvl>
    <w:lvl w:ilvl="6">
      <w:start w:val="1"/>
      <w:numFmt w:val="decimal"/>
      <w:isLgl w:val="false"/>
      <w:suff w:val="tab"/>
      <w:lvlText w:val="%7."/>
      <w:lvlJc w:val="right"/>
      <w:pPr>
        <w:ind w:left="5029" w:hanging="360"/>
      </w:pPr>
    </w:lvl>
    <w:lvl w:ilvl="7">
      <w:start w:val="1"/>
      <w:numFmt w:val="decimal"/>
      <w:isLgl w:val="false"/>
      <w:suff w:val="tab"/>
      <w:lvlText w:val="%8."/>
      <w:lvlJc w:val="right"/>
      <w:pPr>
        <w:ind w:left="5749" w:hanging="360"/>
      </w:pPr>
    </w:lvl>
    <w:lvl w:ilvl="8">
      <w:start w:val="1"/>
      <w:numFmt w:val="decimal"/>
      <w:isLgl w:val="false"/>
      <w:suff w:val="tab"/>
      <w:lvlText w:val="%9."/>
      <w:lvlJc w:val="right"/>
      <w:pPr>
        <w:ind w:left="6469" w:hanging="180"/>
      </w:pPr>
    </w:lvl>
  </w:abstractNum>
  <w:abstractNum w:abstractNumId="47">
    <w:multiLevelType w:val="hybridMultilevel"/>
    <w:lvl w:ilvl="0">
      <w:start w:val="1"/>
      <w:numFmt w:val="bullet"/>
      <w:isLgl w:val="false"/>
      <w:suff w:val="tab"/>
      <w:lvlText w:val="·"/>
      <w:lvlJc w:val="left"/>
      <w:pPr>
        <w:ind w:left="709" w:hanging="360"/>
      </w:pPr>
      <w:rPr>
        <w:rFonts w:hint="default" w:ascii="Symbol" w:hAnsi="Symbol" w:eastAsia="Symbol" w:cs="Symbol"/>
        <w:color w:val="0f1115"/>
        <w:sz w:val="24"/>
      </w:rPr>
    </w:lvl>
    <w:lvl w:ilvl="1">
      <w:start w:val="1"/>
      <w:numFmt w:val="bullet"/>
      <w:isLgl w:val="false"/>
      <w:suff w:val="tab"/>
      <w:lvlText w:val="·"/>
      <w:lvlJc w:val="left"/>
      <w:pPr>
        <w:ind w:left="1429" w:hanging="360"/>
      </w:pPr>
      <w:rPr>
        <w:rFonts w:hint="default" w:ascii="Symbol" w:hAnsi="Symbol" w:eastAsia="Symbol" w:cs="Symbol"/>
        <w:color w:val="0f1115"/>
        <w:sz w:val="24"/>
      </w:rPr>
    </w:lvl>
    <w:lvl w:ilvl="2">
      <w:start w:val="1"/>
      <w:numFmt w:val="bullet"/>
      <w:isLgl w:val="false"/>
      <w:suff w:val="tab"/>
      <w:lvlText w:val="·"/>
      <w:lvlJc w:val="left"/>
      <w:pPr>
        <w:ind w:left="2149" w:hanging="360"/>
      </w:pPr>
      <w:rPr>
        <w:rFonts w:hint="default" w:ascii="Symbol" w:hAnsi="Symbol" w:eastAsia="Symbol" w:cs="Symbol"/>
        <w:color w:val="0f1115"/>
        <w:sz w:val="24"/>
      </w:rPr>
    </w:lvl>
    <w:lvl w:ilvl="3">
      <w:start w:val="1"/>
      <w:numFmt w:val="bullet"/>
      <w:isLgl w:val="false"/>
      <w:suff w:val="tab"/>
      <w:lvlText w:val="·"/>
      <w:lvlJc w:val="left"/>
      <w:pPr>
        <w:ind w:left="2869" w:hanging="360"/>
      </w:pPr>
      <w:rPr>
        <w:rFonts w:hint="default" w:ascii="Symbol" w:hAnsi="Symbol" w:eastAsia="Symbol" w:cs="Symbol"/>
        <w:color w:val="0f1115"/>
        <w:sz w:val="24"/>
      </w:rPr>
    </w:lvl>
    <w:lvl w:ilvl="4">
      <w:start w:val="1"/>
      <w:numFmt w:val="bullet"/>
      <w:isLgl w:val="false"/>
      <w:suff w:val="tab"/>
      <w:lvlText w:val="·"/>
      <w:lvlJc w:val="left"/>
      <w:pPr>
        <w:ind w:left="3589" w:hanging="360"/>
      </w:pPr>
      <w:rPr>
        <w:rFonts w:hint="default" w:ascii="Symbol" w:hAnsi="Symbol" w:eastAsia="Symbol" w:cs="Symbol"/>
        <w:color w:val="0f1115"/>
        <w:sz w:val="24"/>
      </w:rPr>
    </w:lvl>
    <w:lvl w:ilvl="5">
      <w:start w:val="1"/>
      <w:numFmt w:val="bullet"/>
      <w:isLgl w:val="false"/>
      <w:suff w:val="tab"/>
      <w:lvlText w:val="·"/>
      <w:lvlJc w:val="left"/>
      <w:pPr>
        <w:ind w:left="4309" w:hanging="360"/>
      </w:pPr>
      <w:rPr>
        <w:rFonts w:hint="default" w:ascii="Symbol" w:hAnsi="Symbol" w:eastAsia="Symbol" w:cs="Symbol"/>
        <w:color w:val="0f1115"/>
        <w:sz w:val="24"/>
      </w:rPr>
    </w:lvl>
    <w:lvl w:ilvl="6">
      <w:start w:val="1"/>
      <w:numFmt w:val="bullet"/>
      <w:isLgl w:val="false"/>
      <w:suff w:val="tab"/>
      <w:lvlText w:val="·"/>
      <w:lvlJc w:val="left"/>
      <w:pPr>
        <w:ind w:left="5029" w:hanging="360"/>
      </w:pPr>
      <w:rPr>
        <w:rFonts w:hint="default" w:ascii="Symbol" w:hAnsi="Symbol" w:eastAsia="Symbol" w:cs="Symbol"/>
        <w:color w:val="0f1115"/>
        <w:sz w:val="24"/>
      </w:rPr>
    </w:lvl>
    <w:lvl w:ilvl="7">
      <w:start w:val="1"/>
      <w:numFmt w:val="bullet"/>
      <w:isLgl w:val="false"/>
      <w:suff w:val="tab"/>
      <w:lvlText w:val="·"/>
      <w:lvlJc w:val="left"/>
      <w:pPr>
        <w:ind w:left="5749" w:hanging="360"/>
      </w:pPr>
      <w:rPr>
        <w:rFonts w:hint="default" w:ascii="Symbol" w:hAnsi="Symbol" w:eastAsia="Symbol" w:cs="Symbol"/>
        <w:color w:val="0f1115"/>
        <w:sz w:val="24"/>
      </w:rPr>
    </w:lvl>
    <w:lvl w:ilvl="8">
      <w:start w:val="1"/>
      <w:numFmt w:val="bullet"/>
      <w:isLgl w:val="false"/>
      <w:suff w:val="tab"/>
      <w:lvlText w:val="·"/>
      <w:lvlJc w:val="left"/>
      <w:pPr>
        <w:ind w:left="6469" w:hanging="360"/>
      </w:pPr>
      <w:rPr>
        <w:rFonts w:hint="default" w:ascii="Symbol" w:hAnsi="Symbol" w:eastAsia="Symbol" w:cs="Symbol"/>
        <w:color w:val="0f1115"/>
        <w:sz w:val="24"/>
      </w:rPr>
    </w:lvl>
  </w:abstractNum>
  <w:abstractNum w:abstractNumId="48">
    <w:multiLevelType w:val="hybridMultilevel"/>
    <w:lvl w:ilvl="0">
      <w:start w:val="1"/>
      <w:numFmt w:val="bullet"/>
      <w:isLgl w:val="false"/>
      <w:suff w:val="tab"/>
      <w:lvlText w:val="·"/>
      <w:lvlJc w:val="left"/>
      <w:pPr>
        <w:ind w:left="709" w:hanging="360"/>
      </w:pPr>
      <w:rPr>
        <w:rFonts w:hint="default" w:ascii="Symbol" w:hAnsi="Symbol" w:eastAsia="Symbol" w:cs="Symbol"/>
        <w:color w:val="0f1115"/>
        <w:sz w:val="24"/>
      </w:rPr>
    </w:lvl>
    <w:lvl w:ilvl="1">
      <w:start w:val="1"/>
      <w:numFmt w:val="bullet"/>
      <w:isLgl w:val="false"/>
      <w:suff w:val="tab"/>
      <w:lvlText w:val="·"/>
      <w:lvlJc w:val="left"/>
      <w:pPr>
        <w:ind w:left="1429" w:hanging="360"/>
      </w:pPr>
      <w:rPr>
        <w:rFonts w:hint="default" w:ascii="Symbol" w:hAnsi="Symbol" w:eastAsia="Symbol" w:cs="Symbol"/>
        <w:color w:val="0f1115"/>
        <w:sz w:val="24"/>
      </w:rPr>
    </w:lvl>
    <w:lvl w:ilvl="2">
      <w:start w:val="1"/>
      <w:numFmt w:val="bullet"/>
      <w:isLgl w:val="false"/>
      <w:suff w:val="tab"/>
      <w:lvlText w:val="·"/>
      <w:lvlJc w:val="left"/>
      <w:pPr>
        <w:ind w:left="2149" w:hanging="360"/>
      </w:pPr>
      <w:rPr>
        <w:rFonts w:hint="default" w:ascii="Symbol" w:hAnsi="Symbol" w:eastAsia="Symbol" w:cs="Symbol"/>
        <w:color w:val="0f1115"/>
        <w:sz w:val="24"/>
      </w:rPr>
    </w:lvl>
    <w:lvl w:ilvl="3">
      <w:start w:val="1"/>
      <w:numFmt w:val="bullet"/>
      <w:isLgl w:val="false"/>
      <w:suff w:val="tab"/>
      <w:lvlText w:val="·"/>
      <w:lvlJc w:val="left"/>
      <w:pPr>
        <w:ind w:left="2869" w:hanging="360"/>
      </w:pPr>
      <w:rPr>
        <w:rFonts w:hint="default" w:ascii="Symbol" w:hAnsi="Symbol" w:eastAsia="Symbol" w:cs="Symbol"/>
        <w:color w:val="0f1115"/>
        <w:sz w:val="24"/>
      </w:rPr>
    </w:lvl>
    <w:lvl w:ilvl="4">
      <w:start w:val="1"/>
      <w:numFmt w:val="bullet"/>
      <w:isLgl w:val="false"/>
      <w:suff w:val="tab"/>
      <w:lvlText w:val="·"/>
      <w:lvlJc w:val="left"/>
      <w:pPr>
        <w:ind w:left="3589" w:hanging="360"/>
      </w:pPr>
      <w:rPr>
        <w:rFonts w:hint="default" w:ascii="Symbol" w:hAnsi="Symbol" w:eastAsia="Symbol" w:cs="Symbol"/>
        <w:color w:val="0f1115"/>
        <w:sz w:val="24"/>
      </w:rPr>
    </w:lvl>
    <w:lvl w:ilvl="5">
      <w:start w:val="1"/>
      <w:numFmt w:val="bullet"/>
      <w:isLgl w:val="false"/>
      <w:suff w:val="tab"/>
      <w:lvlText w:val="·"/>
      <w:lvlJc w:val="left"/>
      <w:pPr>
        <w:ind w:left="4309" w:hanging="360"/>
      </w:pPr>
      <w:rPr>
        <w:rFonts w:hint="default" w:ascii="Symbol" w:hAnsi="Symbol" w:eastAsia="Symbol" w:cs="Symbol"/>
        <w:color w:val="0f1115"/>
        <w:sz w:val="24"/>
      </w:rPr>
    </w:lvl>
    <w:lvl w:ilvl="6">
      <w:start w:val="1"/>
      <w:numFmt w:val="bullet"/>
      <w:isLgl w:val="false"/>
      <w:suff w:val="tab"/>
      <w:lvlText w:val="·"/>
      <w:lvlJc w:val="left"/>
      <w:pPr>
        <w:ind w:left="5029" w:hanging="360"/>
      </w:pPr>
      <w:rPr>
        <w:rFonts w:hint="default" w:ascii="Symbol" w:hAnsi="Symbol" w:eastAsia="Symbol" w:cs="Symbol"/>
        <w:color w:val="0f1115"/>
        <w:sz w:val="24"/>
      </w:rPr>
    </w:lvl>
    <w:lvl w:ilvl="7">
      <w:start w:val="1"/>
      <w:numFmt w:val="bullet"/>
      <w:isLgl w:val="false"/>
      <w:suff w:val="tab"/>
      <w:lvlText w:val="·"/>
      <w:lvlJc w:val="left"/>
      <w:pPr>
        <w:ind w:left="5749" w:hanging="360"/>
      </w:pPr>
      <w:rPr>
        <w:rFonts w:hint="default" w:ascii="Symbol" w:hAnsi="Symbol" w:eastAsia="Symbol" w:cs="Symbol"/>
        <w:color w:val="0f1115"/>
        <w:sz w:val="24"/>
      </w:rPr>
    </w:lvl>
    <w:lvl w:ilvl="8">
      <w:start w:val="1"/>
      <w:numFmt w:val="bullet"/>
      <w:isLgl w:val="false"/>
      <w:suff w:val="tab"/>
      <w:lvlText w:val="·"/>
      <w:lvlJc w:val="left"/>
      <w:pPr>
        <w:ind w:left="6469" w:hanging="360"/>
      </w:pPr>
      <w:rPr>
        <w:rFonts w:hint="default" w:ascii="Symbol" w:hAnsi="Symbol" w:eastAsia="Symbol" w:cs="Symbol"/>
        <w:color w:val="0f1115"/>
        <w:sz w:val="24"/>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32" w:default="1">
    <w:name w:val="Normal"/>
    <w:qFormat/>
    <w:pPr>
      <w:ind w:firstLine="720"/>
      <w:jc w:val="both"/>
      <w:spacing w:before="20" w:after="0" w:line="240" w:lineRule="auto"/>
      <w:widowControl w:val="off"/>
    </w:pPr>
    <w:rPr>
      <w:rFonts w:ascii="Times New Roman" w:hAnsi="Times New Roman" w:eastAsia="Times New Roman" w:cs="Times New Roman"/>
      <w:color w:val="auto"/>
      <w:sz w:val="24"/>
      <w:szCs w:val="20"/>
      <w:lang w:val="ru-RU" w:eastAsia="ar-SA" w:bidi="ar-SA"/>
    </w:rPr>
  </w:style>
  <w:style w:type="paragraph" w:styleId="833">
    <w:name w:val="Heading 1"/>
    <w:basedOn w:val="832"/>
    <w:next w:val="832"/>
    <w:link w:val="842"/>
    <w:uiPriority w:val="9"/>
    <w:qFormat/>
    <w:pPr>
      <w:keepLines/>
      <w:keepNext/>
      <w:spacing w:before="480" w:after="200"/>
      <w:outlineLvl w:val="0"/>
    </w:pPr>
    <w:rPr>
      <w:rFonts w:ascii="Arial" w:hAnsi="Arial" w:eastAsia="Arial" w:cs="Arial"/>
      <w:sz w:val="40"/>
      <w:szCs w:val="40"/>
    </w:rPr>
  </w:style>
  <w:style w:type="paragraph" w:styleId="834">
    <w:name w:val="Heading 2"/>
    <w:basedOn w:val="832"/>
    <w:next w:val="832"/>
    <w:link w:val="843"/>
    <w:uiPriority w:val="9"/>
    <w:unhideWhenUsed/>
    <w:qFormat/>
    <w:pPr>
      <w:keepLines/>
      <w:keepNext/>
      <w:spacing w:before="360" w:after="200"/>
      <w:outlineLvl w:val="1"/>
    </w:pPr>
    <w:rPr>
      <w:rFonts w:ascii="Arial" w:hAnsi="Arial" w:eastAsia="Arial" w:cs="Arial"/>
      <w:sz w:val="34"/>
    </w:rPr>
  </w:style>
  <w:style w:type="paragraph" w:styleId="835">
    <w:name w:val="Heading 3"/>
    <w:basedOn w:val="832"/>
    <w:next w:val="832"/>
    <w:link w:val="844"/>
    <w:uiPriority w:val="9"/>
    <w:unhideWhenUsed/>
    <w:qFormat/>
    <w:pPr>
      <w:keepLines/>
      <w:keepNext/>
      <w:spacing w:before="320" w:after="200"/>
      <w:outlineLvl w:val="2"/>
    </w:pPr>
    <w:rPr>
      <w:rFonts w:ascii="Arial" w:hAnsi="Arial" w:eastAsia="Arial" w:cs="Arial"/>
      <w:sz w:val="30"/>
      <w:szCs w:val="30"/>
    </w:rPr>
  </w:style>
  <w:style w:type="paragraph" w:styleId="836">
    <w:name w:val="Heading 4"/>
    <w:basedOn w:val="832"/>
    <w:next w:val="832"/>
    <w:link w:val="845"/>
    <w:uiPriority w:val="9"/>
    <w:unhideWhenUsed/>
    <w:qFormat/>
    <w:pPr>
      <w:keepLines/>
      <w:keepNext/>
      <w:spacing w:before="320" w:after="200"/>
      <w:outlineLvl w:val="3"/>
    </w:pPr>
    <w:rPr>
      <w:rFonts w:ascii="Arial" w:hAnsi="Arial" w:eastAsia="Arial" w:cs="Arial"/>
      <w:b/>
      <w:bCs/>
      <w:sz w:val="26"/>
      <w:szCs w:val="26"/>
    </w:rPr>
  </w:style>
  <w:style w:type="paragraph" w:styleId="837">
    <w:name w:val="Heading 5"/>
    <w:basedOn w:val="832"/>
    <w:next w:val="832"/>
    <w:link w:val="846"/>
    <w:uiPriority w:val="9"/>
    <w:unhideWhenUsed/>
    <w:qFormat/>
    <w:pPr>
      <w:keepLines/>
      <w:keepNext/>
      <w:spacing w:before="320" w:after="200"/>
      <w:outlineLvl w:val="4"/>
    </w:pPr>
    <w:rPr>
      <w:rFonts w:ascii="Arial" w:hAnsi="Arial" w:eastAsia="Arial" w:cs="Arial"/>
      <w:b/>
      <w:bCs/>
      <w:sz w:val="24"/>
      <w:szCs w:val="24"/>
    </w:rPr>
  </w:style>
  <w:style w:type="paragraph" w:styleId="838">
    <w:name w:val="Heading 6"/>
    <w:basedOn w:val="832"/>
    <w:next w:val="832"/>
    <w:link w:val="847"/>
    <w:uiPriority w:val="9"/>
    <w:unhideWhenUsed/>
    <w:qFormat/>
    <w:pPr>
      <w:keepLines/>
      <w:keepNext/>
      <w:spacing w:before="320" w:after="200"/>
      <w:outlineLvl w:val="5"/>
    </w:pPr>
    <w:rPr>
      <w:rFonts w:ascii="Arial" w:hAnsi="Arial" w:eastAsia="Arial" w:cs="Arial"/>
      <w:b/>
      <w:bCs/>
      <w:sz w:val="22"/>
      <w:szCs w:val="22"/>
    </w:rPr>
  </w:style>
  <w:style w:type="paragraph" w:styleId="839">
    <w:name w:val="Heading 7"/>
    <w:basedOn w:val="832"/>
    <w:next w:val="832"/>
    <w:link w:val="848"/>
    <w:uiPriority w:val="9"/>
    <w:unhideWhenUsed/>
    <w:qFormat/>
    <w:pPr>
      <w:keepLines/>
      <w:keepNext/>
      <w:spacing w:before="320" w:after="200"/>
      <w:outlineLvl w:val="6"/>
    </w:pPr>
    <w:rPr>
      <w:rFonts w:ascii="Arial" w:hAnsi="Arial" w:eastAsia="Arial" w:cs="Arial"/>
      <w:b/>
      <w:bCs/>
      <w:i/>
      <w:iCs/>
      <w:sz w:val="22"/>
      <w:szCs w:val="22"/>
    </w:rPr>
  </w:style>
  <w:style w:type="paragraph" w:styleId="840">
    <w:name w:val="Heading 8"/>
    <w:basedOn w:val="832"/>
    <w:next w:val="832"/>
    <w:link w:val="849"/>
    <w:uiPriority w:val="9"/>
    <w:unhideWhenUsed/>
    <w:qFormat/>
    <w:pPr>
      <w:keepLines/>
      <w:keepNext/>
      <w:spacing w:before="320" w:after="200"/>
      <w:outlineLvl w:val="7"/>
    </w:pPr>
    <w:rPr>
      <w:rFonts w:ascii="Arial" w:hAnsi="Arial" w:eastAsia="Arial" w:cs="Arial"/>
      <w:i/>
      <w:iCs/>
      <w:sz w:val="22"/>
      <w:szCs w:val="22"/>
    </w:rPr>
  </w:style>
  <w:style w:type="paragraph" w:styleId="841">
    <w:name w:val="Heading 9"/>
    <w:basedOn w:val="832"/>
    <w:next w:val="832"/>
    <w:link w:val="850"/>
    <w:uiPriority w:val="9"/>
    <w:unhideWhenUsed/>
    <w:qFormat/>
    <w:pPr>
      <w:keepLines/>
      <w:keepNext/>
      <w:spacing w:before="320" w:after="200"/>
      <w:outlineLvl w:val="8"/>
    </w:pPr>
    <w:rPr>
      <w:rFonts w:ascii="Arial" w:hAnsi="Arial" w:eastAsia="Arial" w:cs="Arial"/>
      <w:i/>
      <w:iCs/>
      <w:sz w:val="21"/>
      <w:szCs w:val="21"/>
    </w:rPr>
  </w:style>
  <w:style w:type="character" w:styleId="842">
    <w:name w:val="Heading 1 Char"/>
    <w:basedOn w:val="860"/>
    <w:uiPriority w:val="9"/>
    <w:rPr>
      <w:rFonts w:ascii="Arial" w:hAnsi="Arial" w:eastAsia="Arial" w:cs="Arial"/>
      <w:sz w:val="40"/>
      <w:szCs w:val="40"/>
    </w:rPr>
  </w:style>
  <w:style w:type="character" w:styleId="843">
    <w:name w:val="Heading 2 Char"/>
    <w:basedOn w:val="860"/>
    <w:uiPriority w:val="9"/>
    <w:rPr>
      <w:rFonts w:ascii="Arial" w:hAnsi="Arial" w:eastAsia="Arial" w:cs="Arial"/>
      <w:sz w:val="34"/>
    </w:rPr>
  </w:style>
  <w:style w:type="character" w:styleId="844">
    <w:name w:val="Heading 3 Char"/>
    <w:basedOn w:val="860"/>
    <w:uiPriority w:val="9"/>
    <w:rPr>
      <w:rFonts w:ascii="Arial" w:hAnsi="Arial" w:eastAsia="Arial" w:cs="Arial"/>
      <w:sz w:val="30"/>
      <w:szCs w:val="30"/>
    </w:rPr>
  </w:style>
  <w:style w:type="character" w:styleId="845">
    <w:name w:val="Heading 4 Char"/>
    <w:basedOn w:val="860"/>
    <w:uiPriority w:val="9"/>
    <w:rPr>
      <w:rFonts w:ascii="Arial" w:hAnsi="Arial" w:eastAsia="Arial" w:cs="Arial"/>
      <w:b/>
      <w:bCs/>
      <w:sz w:val="26"/>
      <w:szCs w:val="26"/>
    </w:rPr>
  </w:style>
  <w:style w:type="character" w:styleId="846">
    <w:name w:val="Heading 5 Char"/>
    <w:basedOn w:val="860"/>
    <w:uiPriority w:val="9"/>
    <w:rPr>
      <w:rFonts w:ascii="Arial" w:hAnsi="Arial" w:eastAsia="Arial" w:cs="Arial"/>
      <w:b/>
      <w:bCs/>
      <w:sz w:val="24"/>
      <w:szCs w:val="24"/>
    </w:rPr>
  </w:style>
  <w:style w:type="character" w:styleId="847">
    <w:name w:val="Heading 6 Char"/>
    <w:basedOn w:val="860"/>
    <w:uiPriority w:val="9"/>
    <w:rPr>
      <w:rFonts w:ascii="Arial" w:hAnsi="Arial" w:eastAsia="Arial" w:cs="Arial"/>
      <w:b/>
      <w:bCs/>
      <w:sz w:val="22"/>
      <w:szCs w:val="22"/>
    </w:rPr>
  </w:style>
  <w:style w:type="character" w:styleId="848">
    <w:name w:val="Heading 7 Char"/>
    <w:basedOn w:val="860"/>
    <w:uiPriority w:val="9"/>
    <w:rPr>
      <w:rFonts w:ascii="Arial" w:hAnsi="Arial" w:eastAsia="Arial" w:cs="Arial"/>
      <w:b/>
      <w:bCs/>
      <w:i/>
      <w:iCs/>
      <w:sz w:val="22"/>
      <w:szCs w:val="22"/>
    </w:rPr>
  </w:style>
  <w:style w:type="character" w:styleId="849">
    <w:name w:val="Heading 8 Char"/>
    <w:basedOn w:val="860"/>
    <w:uiPriority w:val="9"/>
    <w:rPr>
      <w:rFonts w:ascii="Arial" w:hAnsi="Arial" w:eastAsia="Arial" w:cs="Arial"/>
      <w:i/>
      <w:iCs/>
      <w:sz w:val="22"/>
      <w:szCs w:val="22"/>
    </w:rPr>
  </w:style>
  <w:style w:type="character" w:styleId="850">
    <w:name w:val="Heading 9 Char"/>
    <w:basedOn w:val="860"/>
    <w:uiPriority w:val="9"/>
    <w:rPr>
      <w:rFonts w:ascii="Arial" w:hAnsi="Arial" w:eastAsia="Arial" w:cs="Arial"/>
      <w:i/>
      <w:iCs/>
      <w:sz w:val="21"/>
      <w:szCs w:val="21"/>
    </w:rPr>
  </w:style>
  <w:style w:type="character" w:styleId="851">
    <w:name w:val="Title Char"/>
    <w:basedOn w:val="860"/>
    <w:uiPriority w:val="10"/>
    <w:rPr>
      <w:sz w:val="48"/>
      <w:szCs w:val="48"/>
    </w:rPr>
  </w:style>
  <w:style w:type="character" w:styleId="852">
    <w:name w:val="Subtitle Char"/>
    <w:basedOn w:val="860"/>
    <w:uiPriority w:val="11"/>
    <w:rPr>
      <w:sz w:val="24"/>
      <w:szCs w:val="24"/>
    </w:rPr>
  </w:style>
  <w:style w:type="character" w:styleId="853">
    <w:name w:val="Quote Char"/>
    <w:link w:val="887"/>
    <w:uiPriority w:val="29"/>
    <w:rPr>
      <w:i/>
    </w:rPr>
  </w:style>
  <w:style w:type="character" w:styleId="854">
    <w:name w:val="Intense Quote Char"/>
    <w:link w:val="888"/>
    <w:uiPriority w:val="30"/>
    <w:rPr>
      <w:i/>
    </w:rPr>
  </w:style>
  <w:style w:type="character" w:styleId="855">
    <w:name w:val="Header Char"/>
    <w:basedOn w:val="860"/>
    <w:uiPriority w:val="99"/>
  </w:style>
  <w:style w:type="character" w:styleId="856">
    <w:name w:val="Footer Char"/>
    <w:basedOn w:val="860"/>
    <w:uiPriority w:val="99"/>
  </w:style>
  <w:style w:type="character" w:styleId="857">
    <w:name w:val="Caption Char"/>
    <w:basedOn w:val="860"/>
    <w:uiPriority w:val="35"/>
    <w:rPr>
      <w:b/>
      <w:bCs/>
      <w:color w:val="4f81bd" w:themeColor="accent1"/>
      <w:sz w:val="18"/>
      <w:szCs w:val="18"/>
    </w:rPr>
  </w:style>
  <w:style w:type="character" w:styleId="858">
    <w:name w:val="Footnote Text Char"/>
    <w:uiPriority w:val="99"/>
    <w:rPr>
      <w:sz w:val="18"/>
    </w:rPr>
  </w:style>
  <w:style w:type="character" w:styleId="859">
    <w:name w:val="Endnote Text Char"/>
    <w:uiPriority w:val="99"/>
    <w:rPr>
      <w:sz w:val="20"/>
    </w:rPr>
  </w:style>
  <w:style w:type="character" w:styleId="860" w:default="1">
    <w:name w:val="Default Paragraph Font"/>
    <w:uiPriority w:val="1"/>
    <w:semiHidden/>
    <w:unhideWhenUsed/>
  </w:style>
  <w:style w:type="character" w:styleId="861" w:customStyle="1">
    <w:name w:val="Название Знак1"/>
    <w:rPr>
      <w:bCs/>
      <w:color w:val="000000"/>
      <w:spacing w:val="13"/>
      <w:sz w:val="24"/>
      <w:szCs w:val="22"/>
      <w:lang w:val="ru-RU" w:eastAsia="ru-RU" w:bidi="ar-SA"/>
    </w:rPr>
  </w:style>
  <w:style w:type="character" w:styleId="862" w:customStyle="1">
    <w:name w:val="Основной текст Знак"/>
    <w:basedOn w:val="860"/>
    <w:uiPriority w:val="99"/>
    <w:semiHidden/>
    <w:rPr>
      <w:rFonts w:ascii="Times New Roman" w:hAnsi="Times New Roman" w:eastAsia="Times New Roman" w:cs="Times New Roman"/>
      <w:sz w:val="24"/>
      <w:szCs w:val="20"/>
      <w:lang w:eastAsia="ar-SA"/>
    </w:rPr>
  </w:style>
  <w:style w:type="character" w:styleId="863" w:customStyle="1">
    <w:name w:val="Основной текст Знак2"/>
    <w:uiPriority w:val="99"/>
    <w:rPr>
      <w:rFonts w:ascii="Times New Roman" w:hAnsi="Times New Roman" w:eastAsia="Times New Roman" w:cs="Times New Roman"/>
      <w:sz w:val="20"/>
      <w:szCs w:val="20"/>
      <w:lang w:eastAsia="ru-RU"/>
    </w:rPr>
  </w:style>
  <w:style w:type="character" w:styleId="864" w:customStyle="1">
    <w:name w:val="Основной текст с отступом Знак"/>
    <w:basedOn w:val="860"/>
    <w:uiPriority w:val="99"/>
    <w:semiHidden/>
    <w:rPr>
      <w:rFonts w:ascii="Times New Roman" w:hAnsi="Times New Roman" w:eastAsia="Times New Roman" w:cs="Times New Roman"/>
      <w:sz w:val="24"/>
      <w:szCs w:val="20"/>
      <w:lang w:eastAsia="ar-SA"/>
    </w:rPr>
  </w:style>
  <w:style w:type="character" w:styleId="865" w:customStyle="1">
    <w:name w:val="Основной текст с отступом Знак1"/>
    <w:rPr>
      <w:rFonts w:ascii="Times New Roman" w:hAnsi="Times New Roman" w:eastAsia="Times New Roman" w:cs="Times New Roman"/>
      <w:sz w:val="20"/>
      <w:szCs w:val="20"/>
      <w:lang w:eastAsia="ru-RU"/>
    </w:rPr>
  </w:style>
  <w:style w:type="character" w:styleId="866" w:customStyle="1">
    <w:name w:val="Текст Знак"/>
    <w:basedOn w:val="860"/>
    <w:uiPriority w:val="99"/>
    <w:semiHidden/>
    <w:rPr>
      <w:rFonts w:ascii="Consolas" w:hAnsi="Consolas" w:eastAsia="Times New Roman" w:cs="Times New Roman"/>
      <w:sz w:val="21"/>
      <w:szCs w:val="21"/>
      <w:lang w:eastAsia="ar-SA"/>
    </w:rPr>
  </w:style>
  <w:style w:type="character" w:styleId="867" w:customStyle="1">
    <w:name w:val="Текст Знак1"/>
    <w:link w:val="906"/>
    <w:uiPriority w:val="99"/>
    <w:rPr>
      <w:rFonts w:ascii="Courier New" w:hAnsi="Courier New" w:eastAsia="Times New Roman" w:cs="Times New Roman"/>
      <w:sz w:val="20"/>
      <w:szCs w:val="20"/>
      <w:lang w:eastAsia="ru-RU"/>
    </w:rPr>
  </w:style>
  <w:style w:type="character" w:styleId="868">
    <w:name w:val="Символ сноски"/>
    <w:rPr>
      <w:rFonts w:cs="Times New Roman"/>
      <w:vertAlign w:val="superscript"/>
    </w:rPr>
  </w:style>
  <w:style w:type="character" w:styleId="869">
    <w:name w:val="footnote reference"/>
    <w:uiPriority w:val="99"/>
    <w:rPr>
      <w:rFonts w:cs="Times New Roman"/>
      <w:vertAlign w:val="superscript"/>
    </w:rPr>
  </w:style>
  <w:style w:type="character" w:styleId="870" w:customStyle="1">
    <w:name w:val="Текст сноски Знак"/>
    <w:basedOn w:val="860"/>
    <w:uiPriority w:val="99"/>
    <w:rPr>
      <w:rFonts w:ascii="Times New Roman" w:hAnsi="Times New Roman" w:eastAsia="Times New Roman" w:cs="Times New Roman"/>
      <w:sz w:val="20"/>
      <w:szCs w:val="20"/>
      <w:lang w:eastAsia="ru-RU"/>
    </w:rPr>
  </w:style>
  <w:style w:type="character" w:styleId="871" w:customStyle="1">
    <w:name w:val="Заголовок Знак"/>
    <w:basedOn w:val="860"/>
    <w:uiPriority w:val="10"/>
    <w:rPr>
      <w:rFonts w:ascii="Calibri Light" w:hAnsi="Calibri Light" w:eastAsia="Arial" w:cs="Arial" w:asciiTheme="majorHAnsi" w:hAnsiTheme="majorHAnsi" w:eastAsiaTheme="majorEastAsia" w:cstheme="majorBidi"/>
      <w:spacing w:val="-10"/>
      <w:sz w:val="56"/>
      <w:szCs w:val="56"/>
      <w:lang w:eastAsia="ar-SA"/>
    </w:rPr>
  </w:style>
  <w:style w:type="character" w:styleId="872" w:customStyle="1">
    <w:name w:val="ConsPlusNormal Знак"/>
    <w:link w:val="912"/>
    <w:rPr>
      <w:rFonts w:ascii="Arial" w:hAnsi="Arial" w:eastAsia="Times New Roman" w:cs="Arial"/>
      <w:sz w:val="20"/>
      <w:szCs w:val="20"/>
      <w:lang w:eastAsia="ru-RU"/>
    </w:rPr>
  </w:style>
  <w:style w:type="character" w:styleId="873" w:customStyle="1">
    <w:name w:val="Без интервала Знак"/>
    <w:link w:val="910"/>
    <w:rPr>
      <w:rFonts w:ascii="Calibri" w:hAnsi="Calibri" w:eastAsia="Times New Roman" w:cs="Times New Roman"/>
    </w:rPr>
  </w:style>
  <w:style w:type="character" w:styleId="874">
    <w:name w:val="Hyperlink"/>
    <w:uiPriority w:val="99"/>
    <w:rPr>
      <w:rFonts w:cs="Times New Roman"/>
      <w:color w:val="0000ff"/>
      <w:u w:val="single"/>
    </w:rPr>
  </w:style>
  <w:style w:type="character" w:styleId="875">
    <w:name w:val="Символ концевой сноски"/>
    <w:rPr>
      <w:vertAlign w:val="superscript"/>
    </w:rPr>
  </w:style>
  <w:style w:type="character" w:styleId="876">
    <w:name w:val="endnote reference"/>
    <w:uiPriority w:val="99"/>
    <w:rPr>
      <w:vertAlign w:val="superscript"/>
    </w:rPr>
  </w:style>
  <w:style w:type="character" w:styleId="877">
    <w:name w:val="Нижний колонтитул Знак"/>
    <w:rPr>
      <w:rFonts w:ascii="Times New Roman" w:hAnsi="Times New Roman" w:eastAsia="Times New Roman" w:cs="Times New Roman"/>
      <w:color w:val="000000"/>
      <w:sz w:val="20"/>
      <w:szCs w:val="20"/>
    </w:rPr>
  </w:style>
  <w:style w:type="character" w:styleId="878">
    <w:name w:val="Верхний колонтитул Знак"/>
    <w:rPr>
      <w:rFonts w:ascii="Times New Roman" w:hAnsi="Times New Roman" w:eastAsia="Times New Roman" w:cs="Times New Roman"/>
      <w:color w:val="000000"/>
      <w:sz w:val="20"/>
      <w:szCs w:val="20"/>
    </w:rPr>
  </w:style>
  <w:style w:type="character" w:styleId="879">
    <w:name w:val="Текст выноски Знак"/>
    <w:rPr>
      <w:rFonts w:ascii="Segoe UI" w:hAnsi="Segoe UI" w:eastAsia="Times New Roman" w:cs="Segoe UI"/>
      <w:color w:val="000000"/>
      <w:sz w:val="18"/>
      <w:szCs w:val="18"/>
    </w:rPr>
  </w:style>
  <w:style w:type="character" w:styleId="880">
    <w:name w:val="Font Style69"/>
    <w:rPr>
      <w:rFonts w:ascii="Times New Roman" w:hAnsi="Times New Roman" w:cs="Times New Roman"/>
      <w:sz w:val="22"/>
    </w:rPr>
  </w:style>
  <w:style w:type="paragraph" w:styleId="881">
    <w:name w:val="Заголовок"/>
    <w:basedOn w:val="832"/>
    <w:next w:val="882"/>
    <w:qFormat/>
    <w:pPr>
      <w:keepNext/>
      <w:spacing w:before="240" w:after="120"/>
    </w:pPr>
    <w:rPr>
      <w:rFonts w:ascii="PT Astra Serif" w:hAnsi="PT Astra Serif" w:eastAsia="Tahoma" w:cs="Noto Sans Devanagari"/>
      <w:sz w:val="28"/>
      <w:szCs w:val="28"/>
    </w:rPr>
  </w:style>
  <w:style w:type="paragraph" w:styleId="882">
    <w:name w:val="Body Text"/>
    <w:basedOn w:val="832"/>
    <w:link w:val="863"/>
    <w:uiPriority w:val="99"/>
    <w:pPr>
      <w:ind w:firstLine="0"/>
      <w:jc w:val="left"/>
      <w:spacing w:before="0" w:after="120"/>
      <w:widowControl/>
    </w:pPr>
    <w:rPr>
      <w:sz w:val="20"/>
      <w:lang w:eastAsia="ru-RU"/>
    </w:rPr>
  </w:style>
  <w:style w:type="paragraph" w:styleId="883">
    <w:name w:val="List"/>
    <w:basedOn w:val="882"/>
    <w:rPr>
      <w:rFonts w:ascii="PT Astra Serif" w:hAnsi="PT Astra Serif" w:cs="Noto Sans Devanagari"/>
    </w:rPr>
  </w:style>
  <w:style w:type="paragraph" w:styleId="884">
    <w:name w:val="Caption"/>
    <w:basedOn w:val="832"/>
    <w:link w:val="857"/>
    <w:uiPriority w:val="35"/>
    <w:qFormat/>
    <w:pPr>
      <w:spacing w:before="120" w:after="120"/>
      <w:suppressLineNumbers/>
    </w:pPr>
    <w:rPr>
      <w:rFonts w:ascii="PT Astra Serif" w:hAnsi="PT Astra Serif" w:cs="Noto Sans Devanagari"/>
      <w:i/>
      <w:iCs/>
      <w:sz w:val="24"/>
      <w:szCs w:val="24"/>
    </w:rPr>
  </w:style>
  <w:style w:type="paragraph" w:styleId="885">
    <w:name w:val="Указатель"/>
    <w:basedOn w:val="832"/>
    <w:qFormat/>
    <w:pPr>
      <w:suppressLineNumbers/>
    </w:pPr>
    <w:rPr>
      <w:rFonts w:ascii="PT Astra Serif" w:hAnsi="PT Astra Serif" w:cs="Noto Sans Devanagari"/>
    </w:rPr>
  </w:style>
  <w:style w:type="paragraph" w:styleId="886">
    <w:name w:val="Subtitle"/>
    <w:basedOn w:val="832"/>
    <w:next w:val="832"/>
    <w:link w:val="852"/>
    <w:uiPriority w:val="11"/>
    <w:qFormat/>
    <w:pPr>
      <w:spacing w:before="200" w:after="200"/>
    </w:pPr>
    <w:rPr>
      <w:sz w:val="24"/>
      <w:szCs w:val="24"/>
    </w:rPr>
  </w:style>
  <w:style w:type="paragraph" w:styleId="887">
    <w:name w:val="Quote"/>
    <w:basedOn w:val="832"/>
    <w:next w:val="832"/>
    <w:link w:val="853"/>
    <w:uiPriority w:val="29"/>
    <w:qFormat/>
    <w:pPr>
      <w:ind w:left="720" w:right="720" w:firstLine="0"/>
    </w:pPr>
    <w:rPr>
      <w:i/>
    </w:rPr>
  </w:style>
  <w:style w:type="paragraph" w:styleId="888">
    <w:name w:val="Intense Quote"/>
    <w:basedOn w:val="832"/>
    <w:next w:val="832"/>
    <w:link w:val="854"/>
    <w:uiPriority w:val="30"/>
    <w:qFormat/>
    <w:pPr>
      <w:ind w:left="720" w:right="720" w:firstLine="0"/>
      <w:spacing w:before="0" w:after="0"/>
      <w:shd w:val="clear" w:color="auto" w:fill="f2f2f2"/>
      <w:pBdr>
        <w:top w:val="single" w:color="FFFFFF" w:sz="4" w:space="5"/>
        <w:left w:val="single" w:color="FFFFFF" w:sz="4" w:space="10"/>
        <w:bottom w:val="single" w:color="FFFFFF" w:sz="4" w:space="5"/>
        <w:right w:val="single" w:color="FFFFFF" w:sz="4" w:space="10"/>
      </w:pBdr>
    </w:pPr>
    <w:rPr>
      <w:i/>
    </w:rPr>
  </w:style>
  <w:style w:type="paragraph" w:styleId="889">
    <w:name w:val="Колонтитул"/>
    <w:basedOn w:val="832"/>
    <w:qFormat/>
  </w:style>
  <w:style w:type="paragraph" w:styleId="890">
    <w:name w:val="Header"/>
    <w:basedOn w:val="832"/>
    <w:link w:val="855"/>
    <w:uiPriority w:val="99"/>
    <w:unhideWhenUsed/>
    <w:pPr>
      <w:spacing w:before="0" w:after="0" w:line="240" w:lineRule="auto"/>
      <w:tabs>
        <w:tab w:val="clear" w:pos="708" w:leader="none"/>
        <w:tab w:val="center" w:pos="7143" w:leader="none"/>
        <w:tab w:val="right" w:pos="14287" w:leader="none"/>
      </w:tabs>
    </w:pPr>
  </w:style>
  <w:style w:type="paragraph" w:styleId="891">
    <w:name w:val="Footer"/>
    <w:basedOn w:val="832"/>
    <w:link w:val="856"/>
    <w:uiPriority w:val="99"/>
    <w:unhideWhenUsed/>
    <w:pPr>
      <w:spacing w:before="0" w:after="0" w:line="240" w:lineRule="auto"/>
      <w:tabs>
        <w:tab w:val="clear" w:pos="708" w:leader="none"/>
        <w:tab w:val="center" w:pos="7143" w:leader="none"/>
        <w:tab w:val="right" w:pos="14287" w:leader="none"/>
      </w:tabs>
    </w:pPr>
  </w:style>
  <w:style w:type="paragraph" w:styleId="892">
    <w:name w:val="endnote text"/>
    <w:basedOn w:val="832"/>
    <w:link w:val="859"/>
    <w:uiPriority w:val="99"/>
    <w:semiHidden/>
    <w:unhideWhenUsed/>
    <w:pPr>
      <w:spacing w:before="0" w:after="0" w:line="240" w:lineRule="auto"/>
    </w:pPr>
    <w:rPr>
      <w:sz w:val="20"/>
    </w:rPr>
  </w:style>
  <w:style w:type="paragraph" w:styleId="893">
    <w:name w:val="toc 1"/>
    <w:basedOn w:val="832"/>
    <w:next w:val="832"/>
    <w:uiPriority w:val="39"/>
    <w:unhideWhenUsed/>
    <w:pPr>
      <w:ind w:left="0" w:right="0" w:firstLine="0"/>
      <w:spacing w:before="0" w:after="57"/>
    </w:pPr>
  </w:style>
  <w:style w:type="paragraph" w:styleId="894">
    <w:name w:val="toc 2"/>
    <w:basedOn w:val="832"/>
    <w:next w:val="832"/>
    <w:uiPriority w:val="39"/>
    <w:unhideWhenUsed/>
    <w:pPr>
      <w:ind w:left="283" w:right="0" w:firstLine="0"/>
      <w:spacing w:before="0" w:after="57"/>
    </w:pPr>
  </w:style>
  <w:style w:type="paragraph" w:styleId="895">
    <w:name w:val="toc 3"/>
    <w:basedOn w:val="832"/>
    <w:next w:val="832"/>
    <w:uiPriority w:val="39"/>
    <w:unhideWhenUsed/>
    <w:pPr>
      <w:ind w:left="567" w:right="0" w:firstLine="0"/>
      <w:spacing w:before="0" w:after="57"/>
    </w:pPr>
  </w:style>
  <w:style w:type="paragraph" w:styleId="896">
    <w:name w:val="toc 4"/>
    <w:basedOn w:val="832"/>
    <w:next w:val="832"/>
    <w:uiPriority w:val="39"/>
    <w:unhideWhenUsed/>
    <w:pPr>
      <w:ind w:left="850" w:right="0" w:firstLine="0"/>
      <w:spacing w:before="0" w:after="57"/>
    </w:pPr>
  </w:style>
  <w:style w:type="paragraph" w:styleId="897">
    <w:name w:val="toc 5"/>
    <w:basedOn w:val="832"/>
    <w:next w:val="832"/>
    <w:uiPriority w:val="39"/>
    <w:unhideWhenUsed/>
    <w:pPr>
      <w:ind w:left="1134" w:right="0" w:firstLine="0"/>
      <w:spacing w:before="0" w:after="57"/>
    </w:pPr>
  </w:style>
  <w:style w:type="paragraph" w:styleId="898">
    <w:name w:val="toc 6"/>
    <w:basedOn w:val="832"/>
    <w:next w:val="832"/>
    <w:uiPriority w:val="39"/>
    <w:unhideWhenUsed/>
    <w:pPr>
      <w:ind w:left="1417" w:right="0" w:firstLine="0"/>
      <w:spacing w:before="0" w:after="57"/>
    </w:pPr>
  </w:style>
  <w:style w:type="paragraph" w:styleId="899">
    <w:name w:val="toc 7"/>
    <w:basedOn w:val="832"/>
    <w:next w:val="832"/>
    <w:uiPriority w:val="39"/>
    <w:unhideWhenUsed/>
    <w:pPr>
      <w:ind w:left="1701" w:right="0" w:firstLine="0"/>
      <w:spacing w:before="0" w:after="57"/>
    </w:pPr>
  </w:style>
  <w:style w:type="paragraph" w:styleId="900">
    <w:name w:val="toc 8"/>
    <w:basedOn w:val="832"/>
    <w:next w:val="832"/>
    <w:uiPriority w:val="39"/>
    <w:unhideWhenUsed/>
    <w:pPr>
      <w:ind w:left="1984" w:right="0" w:firstLine="0"/>
      <w:spacing w:before="0" w:after="57"/>
    </w:pPr>
  </w:style>
  <w:style w:type="paragraph" w:styleId="901">
    <w:name w:val="toc 9"/>
    <w:basedOn w:val="832"/>
    <w:next w:val="832"/>
    <w:uiPriority w:val="39"/>
    <w:unhideWhenUsed/>
    <w:pPr>
      <w:ind w:left="2268" w:right="0" w:firstLine="0"/>
      <w:spacing w:before="0" w:after="57"/>
    </w:pPr>
  </w:style>
  <w:style w:type="paragraph" w:styleId="902">
    <w:name w:val="Index Heading"/>
    <w:basedOn w:val="881"/>
  </w:style>
  <w:style w:type="paragraph" w:styleId="903">
    <w:name w:val="TOC Heading"/>
    <w:uiPriority w:val="39"/>
    <w:unhideWhenUsed/>
    <w:pPr>
      <w:jc w:val="left"/>
      <w:spacing w:before="0" w:after="0"/>
      <w:widowControl/>
    </w:pPr>
    <w:rPr>
      <w:rFonts w:ascii="Calibri" w:hAnsi="Calibri" w:eastAsia="Calibri" w:cs="Arial" w:asciiTheme="minorHAnsi" w:hAnsiTheme="minorHAnsi" w:eastAsiaTheme="minorHAnsi" w:cstheme="minorBidi"/>
      <w:color w:val="auto"/>
      <w:sz w:val="22"/>
      <w:szCs w:val="22"/>
      <w:lang w:val="ru-RU" w:eastAsia="en-US" w:bidi="ar-SA"/>
    </w:rPr>
  </w:style>
  <w:style w:type="paragraph" w:styleId="904">
    <w:name w:val="table of figures"/>
    <w:basedOn w:val="832"/>
    <w:next w:val="832"/>
    <w:uiPriority w:val="99"/>
    <w:unhideWhenUsed/>
    <w:pPr>
      <w:spacing w:before="0" w:after="0" w:afterAutospacing="0"/>
    </w:pPr>
  </w:style>
  <w:style w:type="paragraph" w:styleId="905">
    <w:name w:val="Body Text Indent"/>
    <w:basedOn w:val="832"/>
    <w:link w:val="865"/>
    <w:pPr>
      <w:ind w:left="283" w:firstLine="0"/>
      <w:jc w:val="left"/>
      <w:spacing w:before="0" w:after="120"/>
      <w:widowControl/>
    </w:pPr>
    <w:rPr>
      <w:sz w:val="20"/>
      <w:lang w:eastAsia="ru-RU"/>
    </w:rPr>
  </w:style>
  <w:style w:type="paragraph" w:styleId="906">
    <w:name w:val="Plain Text"/>
    <w:basedOn w:val="832"/>
    <w:link w:val="867"/>
    <w:uiPriority w:val="99"/>
    <w:qFormat/>
    <w:pPr>
      <w:ind w:firstLine="0"/>
      <w:jc w:val="left"/>
      <w:spacing w:before="0" w:after="0"/>
      <w:widowControl/>
    </w:pPr>
    <w:rPr>
      <w:rFonts w:ascii="Courier New" w:hAnsi="Courier New"/>
      <w:sz w:val="20"/>
      <w:lang w:eastAsia="ru-RU"/>
    </w:rPr>
  </w:style>
  <w:style w:type="paragraph" w:styleId="907">
    <w:name w:val="footnote text"/>
    <w:basedOn w:val="832"/>
    <w:link w:val="870"/>
    <w:uiPriority w:val="99"/>
    <w:pPr>
      <w:ind w:firstLine="0"/>
      <w:jc w:val="left"/>
      <w:spacing w:before="0" w:after="0"/>
      <w:widowControl/>
    </w:pPr>
    <w:rPr>
      <w:sz w:val="20"/>
      <w:lang w:eastAsia="ru-RU"/>
    </w:rPr>
  </w:style>
  <w:style w:type="paragraph" w:styleId="908">
    <w:name w:val="List Paragraph"/>
    <w:basedOn w:val="832"/>
    <w:uiPriority w:val="34"/>
    <w:qFormat/>
    <w:pPr>
      <w:ind w:left="708" w:firstLine="0"/>
      <w:jc w:val="left"/>
      <w:spacing w:before="0" w:after="0"/>
      <w:widowControl/>
    </w:pPr>
    <w:rPr>
      <w:szCs w:val="24"/>
      <w:lang w:eastAsia="ru-RU"/>
    </w:rPr>
  </w:style>
  <w:style w:type="paragraph" w:styleId="909" w:customStyle="1">
    <w:name w:val="Содержимое таблицы"/>
    <w:basedOn w:val="832"/>
    <w:qFormat/>
    <w:pPr>
      <w:ind w:firstLine="0"/>
      <w:jc w:val="left"/>
      <w:spacing w:before="0" w:after="0"/>
      <w:suppressLineNumbers/>
    </w:pPr>
    <w:rPr>
      <w:rFonts w:eastAsia="Andale Sans UI"/>
      <w:szCs w:val="24"/>
      <w:lang w:eastAsia="ru-RU"/>
    </w:rPr>
  </w:style>
  <w:style w:type="paragraph" w:styleId="910">
    <w:name w:val="No Spacing"/>
    <w:link w:val="873"/>
    <w:uiPriority w:val="1"/>
    <w:qFormat/>
    <w:pPr>
      <w:jc w:val="left"/>
      <w:spacing w:before="0" w:after="0" w:line="240" w:lineRule="auto"/>
      <w:widowControl/>
    </w:pPr>
    <w:rPr>
      <w:rFonts w:ascii="Calibri" w:hAnsi="Calibri" w:eastAsia="Times New Roman" w:cs="Times New Roman" w:asciiTheme="minorHAnsi" w:hAnsiTheme="minorHAnsi"/>
      <w:color w:val="auto"/>
      <w:sz w:val="22"/>
      <w:szCs w:val="22"/>
      <w:lang w:val="ru-RU" w:eastAsia="en-US" w:bidi="ar-SA"/>
    </w:rPr>
  </w:style>
  <w:style w:type="paragraph" w:styleId="911">
    <w:name w:val="Title"/>
    <w:basedOn w:val="832"/>
    <w:next w:val="832"/>
    <w:link w:val="871"/>
    <w:uiPriority w:val="10"/>
    <w:qFormat/>
    <w:pPr>
      <w:contextualSpacing/>
      <w:spacing w:before="0" w:after="0"/>
    </w:pPr>
    <w:rPr>
      <w:rFonts w:ascii="Calibri Light" w:hAnsi="Calibri Light" w:eastAsia="Arial" w:cs="Arial" w:asciiTheme="majorHAnsi" w:hAnsiTheme="majorHAnsi" w:eastAsiaTheme="majorEastAsia" w:cstheme="majorBidi"/>
      <w:spacing w:val="-10"/>
      <w:sz w:val="56"/>
      <w:szCs w:val="56"/>
    </w:rPr>
  </w:style>
  <w:style w:type="paragraph" w:styleId="912" w:customStyle="1">
    <w:name w:val="ConsPlusNormal"/>
    <w:link w:val="872"/>
    <w:qFormat/>
    <w:pPr>
      <w:ind w:firstLine="720"/>
      <w:jc w:val="left"/>
      <w:spacing w:before="0" w:after="0" w:line="240" w:lineRule="auto"/>
      <w:widowControl w:val="off"/>
    </w:pPr>
    <w:rPr>
      <w:rFonts w:ascii="Arial" w:hAnsi="Arial" w:eastAsia="Times New Roman" w:cs="Arial"/>
      <w:color w:val="auto"/>
      <w:sz w:val="20"/>
      <w:szCs w:val="20"/>
      <w:lang w:val="ru-RU" w:eastAsia="ru-RU" w:bidi="ar-SA"/>
    </w:rPr>
  </w:style>
  <w:style w:type="paragraph" w:styleId="913" w:customStyle="1">
    <w:name w:val="Контракт-пункт"/>
    <w:basedOn w:val="832"/>
    <w:qFormat/>
    <w:pPr>
      <w:ind w:left="643" w:firstLine="567"/>
      <w:spacing w:before="0" w:after="60"/>
      <w:widowControl/>
      <w:tabs>
        <w:tab w:val="left" w:pos="643" w:leader="none"/>
        <w:tab w:val="left" w:pos="680" w:leader="none"/>
        <w:tab w:val="clear" w:pos="708" w:leader="none"/>
      </w:tabs>
    </w:pPr>
    <w:rPr>
      <w:szCs w:val="24"/>
      <w:lang w:eastAsia="ru-RU"/>
    </w:rPr>
  </w:style>
  <w:style w:type="paragraph" w:styleId="914">
    <w:name w:val="Balloon Text"/>
    <w:basedOn w:val="832"/>
    <w:qFormat/>
    <w:rPr>
      <w:rFonts w:ascii="Segoe UI" w:hAnsi="Segoe UI" w:cs="Segoe UI"/>
      <w:sz w:val="18"/>
      <w:szCs w:val="18"/>
    </w:rPr>
  </w:style>
  <w:style w:type="paragraph" w:styleId="915">
    <w:name w:val="Текст сноски,Знак21,Знак211,Знак2111,Знак21111,Знак211111,Знак15,Знак5,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832"/>
    <w:qFormat/>
    <w:pPr>
      <w:ind w:firstLine="0"/>
      <w:jc w:val="left"/>
      <w:spacing w:before="0" w:after="0"/>
      <w:widowControl/>
    </w:pPr>
    <w:rPr>
      <w:sz w:val="20"/>
      <w:lang w:eastAsia="ru-RU"/>
    </w:rPr>
  </w:style>
  <w:style w:type="numbering" w:styleId="916" w:default="1">
    <w:name w:val="No List"/>
    <w:uiPriority w:val="99"/>
    <w:semiHidden/>
    <w:unhideWhenUsed/>
  </w:style>
  <w:style w:type="table" w:styleId="917">
    <w:name w:val="Table Grid"/>
    <w:basedOn w:val="1043"/>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18">
    <w:name w:val="Table Grid Light"/>
    <w:basedOn w:val="104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19">
    <w:name w:val="Plain Table 1"/>
    <w:basedOn w:val="1043"/>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fill="f2f2f2" w:themeFill="text1" w:themeFillTint="00"/>
      </w:tcPr>
    </w:tblStylePr>
    <w:tblStylePr w:type="band1Vert">
      <w:tcPr>
        <w:shd w:val="clear" w:color="ffffff" w:fill="f2f2f2" w:themeFill="text1" w:themeFillTint="00"/>
      </w:tcPr>
    </w:tblStylePr>
    <w:tblStylePr w:type="firstCol">
      <w:rPr>
        <w:b/>
        <w:sz w:val="22"/>
      </w:rPr>
    </w:tblStylePr>
    <w:tblStylePr w:type="firstRow">
      <w:rPr>
        <w:b/>
        <w:sz w:val="22"/>
      </w:rPr>
    </w:tblStylePr>
    <w:tblStylePr w:type="lastCol">
      <w:rPr>
        <w:b/>
        <w:sz w:val="22"/>
      </w:rPr>
    </w:tblStylePr>
    <w:tblStylePr w:type="lastRow">
      <w:rPr>
        <w:b/>
        <w:sz w:val="22"/>
      </w:rPr>
    </w:tblStylePr>
  </w:style>
  <w:style w:type="table" w:styleId="920">
    <w:name w:val="Plain Table 2"/>
    <w:basedOn w:val="1043"/>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b/>
        <w:sz w:val="22"/>
      </w:rPr>
    </w:tblStylePr>
    <w:tblStylePr w:type="firstRow">
      <w:rPr>
        <w:b/>
        <w:sz w:val="22"/>
      </w:rPr>
      <w:tcPr>
        <w:tcBorders>
          <w:top w:val="single" w:color="000000" w:themeColor="text1" w:sz="4" w:space="0"/>
          <w:bottom w:val="single" w:color="000000" w:themeColor="text1" w:sz="4" w:space="0"/>
        </w:tcBorders>
      </w:tcPr>
    </w:tblStylePr>
    <w:tblStylePr w:type="lastCol">
      <w:rPr>
        <w:b/>
        <w:sz w:val="22"/>
      </w:rPr>
    </w:tblStylePr>
    <w:tblStylePr w:type="lastRow">
      <w:rPr>
        <w:b/>
        <w:sz w:val="22"/>
      </w:rPr>
    </w:tblStylePr>
  </w:style>
  <w:style w:type="table" w:styleId="921">
    <w:name w:val="Plain Table 3"/>
    <w:basedOn w:val="1043"/>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caps/>
      </w:rPr>
      <w:tcPr>
        <w:tcBorders>
          <w:top w:val="none" w:color="000000" w:sz="4" w:space="0"/>
          <w:left w:val="none" w:color="000000" w:sz="4" w:space="0"/>
          <w:bottom w:val="none" w:color="000000" w:sz="4" w:space="0"/>
          <w:right w:val="single" w:color="404040" w:sz="4" w:space="0"/>
        </w:tcBorders>
      </w:tcPr>
    </w:tblStylePr>
    <w:tblStylePr w:type="firstRow">
      <w:rPr>
        <w:b/>
        <w:caps/>
      </w:rPr>
      <w:tcPr>
        <w:tcBorders>
          <w:top w:val="none" w:color="000000" w:sz="4" w:space="0"/>
          <w:left w:val="none" w:color="000000" w:sz="4" w:space="0"/>
          <w:bottom w:val="single" w:color="404040" w:sz="4" w:space="0"/>
          <w:right w:val="none" w:color="000000" w:sz="4" w:space="0"/>
        </w:tcBorders>
      </w:tcPr>
    </w:tblStylePr>
    <w:tblStylePr w:type="lastCol">
      <w:rPr>
        <w:b/>
        <w:caps/>
      </w:rPr>
    </w:tblStylePr>
    <w:tblStylePr w:type="lastRow">
      <w:rPr>
        <w:b/>
        <w:caps/>
      </w:rPr>
    </w:tblStylePr>
  </w:style>
  <w:style w:type="table" w:styleId="922">
    <w:name w:val="Plain Table 4"/>
    <w:basedOn w:val="1043"/>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b/>
      </w:rPr>
    </w:tblStylePr>
    <w:tblStylePr w:type="firstRow">
      <w:rPr>
        <w:b/>
      </w:rPr>
    </w:tblStylePr>
    <w:tblStylePr w:type="lastCol">
      <w:rPr>
        <w:b/>
      </w:rPr>
    </w:tblStylePr>
    <w:tblStylePr w:type="lastRow">
      <w:rPr>
        <w:b/>
      </w:rPr>
    </w:tblStylePr>
  </w:style>
  <w:style w:type="table" w:styleId="923">
    <w:name w:val="Plain Table 5"/>
    <w:basedOn w:val="1043"/>
    <w:uiPriority w:val="99"/>
    <w:pPr>
      <w:spacing w:after="0" w:line="240" w:lineRule="auto"/>
    </w:pPr>
    <w:tblPr>
      <w:tblStyleRowBandSize w:val="1"/>
      <w:tblStyleColBandSize w:val="1"/>
    </w:tblPr>
    <w:tblStylePr w:type="band1Horz">
      <w:rPr>
        <w:sz w:val="22"/>
      </w:rPr>
      <w:tcPr>
        <w:shd w:val="clear" w:color="ffffff" w:fill="f2f2f2" w:themeFill="text1" w:themeFillTint="00"/>
      </w:tcPr>
    </w:tblStylePr>
    <w:tblStylePr w:type="band1Vert">
      <w:rPr>
        <w:sz w:val="22"/>
      </w:rPr>
      <w:tcPr>
        <w:shd w:val="clear" w:color="ffffff" w:fill="f2f2f2" w:themeFill="text1" w:themeFillTint="00"/>
      </w:tcPr>
    </w:tblStylePr>
    <w:tblStylePr w:type="firstCol">
      <w:rPr>
        <w:i/>
      </w:rPr>
      <w:pPr>
        <w:jc w:val="right"/>
      </w:pPr>
      <w:tcPr>
        <w:shd w:val="clear" w:color="ffffff"/>
        <w:tcBorders>
          <w:right w:val="single" w:color="404040" w:sz="4" w:space="0"/>
        </w:tcBorders>
      </w:tcPr>
    </w:tblStylePr>
    <w:tblStylePr w:type="firstRow">
      <w:rPr>
        <w:i/>
      </w:rPr>
      <w:tcPr>
        <w:shd w:val="clear" w:color="ffffff"/>
        <w:tcBorders>
          <w:left w:val="none" w:color="000000" w:sz="4" w:space="0"/>
          <w:bottom w:val="single" w:color="404040" w:sz="4" w:space="0"/>
          <w:right w:val="none" w:color="000000" w:sz="4" w:space="0"/>
        </w:tcBorders>
      </w:tcPr>
    </w:tblStylePr>
    <w:tblStylePr w:type="lastCol">
      <w:rPr>
        <w:i/>
      </w:rPr>
      <w:tcPr>
        <w:shd w:val="clear" w:color="ffffff"/>
        <w:tcBorders>
          <w:left w:val="single" w:color="404040" w:sz="4" w:space="0"/>
        </w:tcBorders>
      </w:tcPr>
    </w:tblStylePr>
    <w:tblStylePr w:type="lastRow">
      <w:rPr>
        <w:i/>
      </w:rPr>
      <w:tcPr>
        <w:shd w:val="clear" w:color="ffffff"/>
        <w:tcBorders>
          <w:top w:val="single" w:color="404040" w:sz="4" w:space="0"/>
          <w:left w:val="none" w:color="000000" w:sz="4" w:space="0"/>
          <w:right w:val="none" w:color="000000" w:sz="4" w:space="0"/>
        </w:tcBorders>
      </w:tcPr>
    </w:tblStylePr>
  </w:style>
  <w:style w:type="table" w:styleId="924">
    <w:name w:val="Grid Table 1 Light"/>
    <w:basedOn w:val="1043"/>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rPr>
    </w:tblStylePr>
    <w:tblStylePr w:type="firstRow">
      <w:rPr>
        <w:b/>
      </w:rPr>
      <w:tcPr>
        <w:tcBorders>
          <w:bottom w:val="single" w:color="000000" w:themeColor="text1" w:sz="12" w:space="0"/>
        </w:tcBorders>
      </w:tcPr>
    </w:tblStylePr>
    <w:tblStylePr w:type="lastCol">
      <w:rPr>
        <w:b/>
      </w:rPr>
    </w:tblStylePr>
    <w:tblStylePr w:type="lastRow">
      <w:rPr>
        <w:b/>
      </w:rPr>
    </w:tblStylePr>
  </w:style>
  <w:style w:type="table" w:styleId="925">
    <w:name w:val="Grid Table 1 Light - Accent 1"/>
    <w:basedOn w:val="104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b/>
      </w:rPr>
    </w:tblStylePr>
    <w:tblStylePr w:type="firstRow">
      <w:rPr>
        <w:b/>
      </w:rPr>
      <w:tcPr>
        <w:tcBorders>
          <w:bottom w:val="single" w:color="000000" w:themeColor="accent1" w:sz="12" w:space="0"/>
        </w:tcBorders>
      </w:tcPr>
    </w:tblStylePr>
    <w:tblStylePr w:type="lastCol">
      <w:rPr>
        <w:b/>
      </w:rPr>
    </w:tblStylePr>
    <w:tblStylePr w:type="lastRow">
      <w:rPr>
        <w:b/>
      </w:rPr>
    </w:tblStylePr>
  </w:style>
  <w:style w:type="table" w:styleId="926">
    <w:name w:val="Grid Table 1 Light - Accent 2"/>
    <w:basedOn w:val="104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b/>
      </w:rPr>
    </w:tblStylePr>
    <w:tblStylePr w:type="firstRow">
      <w:rPr>
        <w:b/>
      </w:rPr>
      <w:tcPr>
        <w:tcBorders>
          <w:bottom w:val="single" w:color="000000" w:themeColor="accent2" w:sz="12" w:space="0"/>
        </w:tcBorders>
      </w:tcPr>
    </w:tblStylePr>
    <w:tblStylePr w:type="lastCol">
      <w:rPr>
        <w:b/>
      </w:rPr>
    </w:tblStylePr>
    <w:tblStylePr w:type="lastRow">
      <w:rPr>
        <w:b/>
      </w:rPr>
    </w:tblStylePr>
  </w:style>
  <w:style w:type="table" w:styleId="927">
    <w:name w:val="Grid Table 1 Light - Accent 3"/>
    <w:basedOn w:val="104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b/>
      </w:rPr>
    </w:tblStylePr>
    <w:tblStylePr w:type="firstRow">
      <w:rPr>
        <w:b/>
      </w:rPr>
      <w:tcPr>
        <w:tcBorders>
          <w:bottom w:val="single" w:color="000000" w:themeColor="accent3" w:sz="12" w:space="0"/>
        </w:tcBorders>
      </w:tcPr>
    </w:tblStylePr>
    <w:tblStylePr w:type="lastCol">
      <w:rPr>
        <w:b/>
      </w:rPr>
    </w:tblStylePr>
    <w:tblStylePr w:type="lastRow">
      <w:rPr>
        <w:b/>
      </w:rPr>
    </w:tblStylePr>
  </w:style>
  <w:style w:type="table" w:styleId="928">
    <w:name w:val="Grid Table 1 Light - Accent 4"/>
    <w:basedOn w:val="104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b/>
      </w:rPr>
    </w:tblStylePr>
    <w:tblStylePr w:type="firstRow">
      <w:rPr>
        <w:b/>
      </w:rPr>
      <w:tcPr>
        <w:tcBorders>
          <w:bottom w:val="single" w:color="000000" w:themeColor="accent4" w:sz="12" w:space="0"/>
        </w:tcBorders>
      </w:tcPr>
    </w:tblStylePr>
    <w:tblStylePr w:type="lastCol">
      <w:rPr>
        <w:b/>
      </w:rPr>
    </w:tblStylePr>
    <w:tblStylePr w:type="lastRow">
      <w:rPr>
        <w:b/>
      </w:rPr>
    </w:tblStylePr>
  </w:style>
  <w:style w:type="table" w:styleId="929">
    <w:name w:val="Grid Table 1 Light - Accent 5"/>
    <w:basedOn w:val="104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b/>
      </w:rPr>
    </w:tblStylePr>
    <w:tblStylePr w:type="firstRow">
      <w:rPr>
        <w:b/>
      </w:rPr>
      <w:tcPr>
        <w:tcBorders>
          <w:bottom w:val="single" w:color="000000" w:themeColor="accent5" w:sz="12" w:space="0"/>
        </w:tcBorders>
      </w:tcPr>
    </w:tblStylePr>
    <w:tblStylePr w:type="lastCol">
      <w:rPr>
        <w:b/>
      </w:rPr>
    </w:tblStylePr>
    <w:tblStylePr w:type="lastRow">
      <w:rPr>
        <w:b/>
      </w:rPr>
    </w:tblStylePr>
  </w:style>
  <w:style w:type="table" w:styleId="930">
    <w:name w:val="Grid Table 1 Light - Accent 6"/>
    <w:basedOn w:val="104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b/>
      </w:rPr>
    </w:tblStylePr>
    <w:tblStylePr w:type="firstRow">
      <w:rPr>
        <w:b/>
      </w:rPr>
      <w:tcPr>
        <w:tcBorders>
          <w:bottom w:val="single" w:color="000000" w:themeColor="accent6" w:sz="12" w:space="0"/>
        </w:tcBorders>
      </w:tcPr>
    </w:tblStylePr>
    <w:tblStylePr w:type="lastCol">
      <w:rPr>
        <w:b/>
      </w:rPr>
    </w:tblStylePr>
    <w:tblStylePr w:type="lastRow">
      <w:rPr>
        <w:b/>
      </w:rPr>
    </w:tblStylePr>
  </w:style>
  <w:style w:type="table" w:styleId="931">
    <w:name w:val="Grid Table 2"/>
    <w:basedOn w:val="104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text1" w:sz="12" w:space="0"/>
          <w:right w:val="none" w:color="000000" w:sz="4" w:space="0"/>
        </w:tcBorders>
      </w:tcPr>
    </w:tblStylePr>
    <w:tblStylePr w:type="lastCol">
      <w:rPr>
        <w:b/>
      </w:rPr>
    </w:tblStylePr>
    <w:tblStylePr w:type="lastRow">
      <w:rPr>
        <w:b/>
      </w:rPr>
      <w:tcPr>
        <w:shd w:val="clear" w:color="ffffff"/>
        <w:tcBorders>
          <w:top w:val="single" w:color="000000" w:themeColor="text1" w:sz="4" w:space="0"/>
          <w:left w:val="none" w:color="000000" w:sz="4" w:space="0"/>
          <w:bottom w:val="none" w:color="000000" w:sz="4" w:space="0"/>
          <w:right w:val="none" w:color="000000" w:sz="4" w:space="0"/>
        </w:tcBorders>
      </w:tcPr>
    </w:tblStylePr>
  </w:style>
  <w:style w:type="table" w:styleId="932">
    <w:name w:val="Grid Table 2 - Accent 1"/>
    <w:basedOn w:val="104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debf6" w:themeFill="accent1" w:themeFillTint="34"/>
      </w:tcPr>
    </w:tblStylePr>
    <w:tblStylePr w:type="band1Vert">
      <w:rPr>
        <w:sz w:val="22"/>
      </w:rPr>
      <w:tcPr>
        <w:shd w:val="clear" w:color="ffffff" w:fill="ddebf6" w:themeFill="accent1"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1" w:sz="12" w:space="0"/>
          <w:right w:val="none" w:color="000000" w:sz="4" w:space="0"/>
        </w:tcBorders>
      </w:tcPr>
    </w:tblStylePr>
    <w:tblStylePr w:type="lastCol">
      <w:rPr>
        <w:b/>
      </w:rPr>
    </w:tblStylePr>
    <w:tblStylePr w:type="lastRow">
      <w:rPr>
        <w:b/>
      </w:rPr>
      <w:tcPr>
        <w:shd w:val="clear" w:color="ffffff"/>
        <w:tcBorders>
          <w:top w:val="single" w:color="000000" w:themeColor="accent1" w:sz="4" w:space="0"/>
          <w:left w:val="none" w:color="000000" w:sz="4" w:space="0"/>
          <w:bottom w:val="none" w:color="000000" w:sz="4" w:space="0"/>
          <w:right w:val="none" w:color="000000" w:sz="4" w:space="0"/>
        </w:tcBorders>
      </w:tcPr>
    </w:tblStylePr>
  </w:style>
  <w:style w:type="table" w:styleId="933">
    <w:name w:val="Grid Table 2 - Accent 2"/>
    <w:basedOn w:val="104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2" w:sz="12" w:space="0"/>
          <w:right w:val="none" w:color="000000" w:sz="4" w:space="0"/>
        </w:tcBorders>
      </w:tcPr>
    </w:tblStylePr>
    <w:tblStylePr w:type="lastCol">
      <w:rPr>
        <w:b/>
      </w:rPr>
    </w:tblStylePr>
    <w:tblStylePr w:type="lastRow">
      <w:rPr>
        <w:b/>
      </w:rPr>
      <w:tcPr>
        <w:shd w:val="clear" w:color="ffffff"/>
        <w:tcBorders>
          <w:top w:val="single" w:color="000000" w:themeColor="accent2" w:sz="4" w:space="0"/>
          <w:left w:val="none" w:color="000000" w:sz="4" w:space="0"/>
          <w:bottom w:val="none" w:color="000000" w:sz="4" w:space="0"/>
          <w:right w:val="none" w:color="000000" w:sz="4" w:space="0"/>
        </w:tcBorders>
      </w:tcPr>
    </w:tblStylePr>
  </w:style>
  <w:style w:type="table" w:styleId="934">
    <w:name w:val="Grid Table 2 - Accent 3"/>
    <w:basedOn w:val="104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3" w:sz="12" w:space="0"/>
          <w:right w:val="none" w:color="000000" w:sz="4" w:space="0"/>
        </w:tcBorders>
      </w:tcPr>
    </w:tblStylePr>
    <w:tblStylePr w:type="lastCol">
      <w:rPr>
        <w:b/>
      </w:rPr>
    </w:tblStylePr>
    <w:tblStylePr w:type="lastRow">
      <w:rPr>
        <w:b/>
      </w:rPr>
      <w:tcPr>
        <w:shd w:val="clear" w:color="ffffff"/>
        <w:tcBorders>
          <w:top w:val="single" w:color="000000" w:themeColor="accent3" w:sz="4" w:space="0"/>
          <w:left w:val="none" w:color="000000" w:sz="4" w:space="0"/>
          <w:bottom w:val="none" w:color="000000" w:sz="4" w:space="0"/>
          <w:right w:val="none" w:color="000000" w:sz="4" w:space="0"/>
        </w:tcBorders>
      </w:tcPr>
    </w:tblStylePr>
  </w:style>
  <w:style w:type="table" w:styleId="935">
    <w:name w:val="Grid Table 2 - Accent 4"/>
    <w:basedOn w:val="104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4" w:sz="12" w:space="0"/>
          <w:right w:val="none" w:color="000000" w:sz="4" w:space="0"/>
        </w:tcBorders>
      </w:tcPr>
    </w:tblStylePr>
    <w:tblStylePr w:type="lastCol">
      <w:rPr>
        <w:b/>
      </w:rPr>
    </w:tblStylePr>
    <w:tblStylePr w:type="lastRow">
      <w:rPr>
        <w:b/>
      </w:rPr>
      <w:tcPr>
        <w:shd w:val="clear" w:color="ffffff"/>
        <w:tcBorders>
          <w:top w:val="single" w:color="000000" w:themeColor="accent4" w:sz="4" w:space="0"/>
          <w:left w:val="none" w:color="000000" w:sz="4" w:space="0"/>
          <w:bottom w:val="none" w:color="000000" w:sz="4" w:space="0"/>
          <w:right w:val="none" w:color="000000" w:sz="4" w:space="0"/>
        </w:tcBorders>
      </w:tcPr>
    </w:tblStylePr>
  </w:style>
  <w:style w:type="table" w:styleId="936">
    <w:name w:val="Grid Table 2 - Accent 5"/>
    <w:basedOn w:val="104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9e2f2" w:themeFill="accent5" w:themeFillTint="34"/>
      </w:tcPr>
    </w:tblStylePr>
    <w:tblStylePr w:type="band1Vert">
      <w:rPr>
        <w:sz w:val="22"/>
      </w:rPr>
      <w:tcPr>
        <w:shd w:val="clear" w:color="ffffff" w:fill="d9e2f2" w:themeFill="accent5"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rPr>
    </w:tblStylePr>
    <w:tblStylePr w:type="lastRow">
      <w:rPr>
        <w:b/>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37">
    <w:name w:val="Grid Table 2 - Accent 6"/>
    <w:basedOn w:val="104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b/>
      </w:rPr>
    </w:tblStylePr>
    <w:tblStylePr w:type="firstRow">
      <w:rPr>
        <w:b/>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rPr>
    </w:tblStylePr>
    <w:tblStylePr w:type="lastRow">
      <w:rPr>
        <w:b/>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38">
    <w:name w:val="Grid Table 3"/>
    <w:basedOn w:val="1043"/>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39">
    <w:name w:val="Grid Table 3 - Accent 1"/>
    <w:basedOn w:val="1043"/>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sz w:val="22"/>
      </w:rPr>
      <w:tcPr>
        <w:shd w:val="clear" w:color="ffffff" w:fill="ddebf6" w:themeFill="accent1" w:themeFillTint="34"/>
      </w:tcPr>
    </w:tblStylePr>
    <w:tblStylePr w:type="band1Vert">
      <w:rPr>
        <w:sz w:val="22"/>
      </w:rPr>
      <w:tcPr>
        <w:shd w:val="clear" w:color="ffffff" w:fill="ddebf6" w:themeFill="accent1"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0">
    <w:name w:val="Grid Table 3 - Accent 2"/>
    <w:basedOn w:val="1043"/>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1">
    <w:name w:val="Grid Table 3 - Accent 3"/>
    <w:basedOn w:val="1043"/>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2">
    <w:name w:val="Grid Table 3 - Accent 4"/>
    <w:basedOn w:val="1043"/>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3">
    <w:name w:val="Grid Table 3 - Accent 5"/>
    <w:basedOn w:val="1043"/>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blStylePr w:type="band1Horz">
      <w:rPr>
        <w:sz w:val="22"/>
      </w:rPr>
      <w:tcPr>
        <w:shd w:val="clear" w:color="ffffff" w:fill="d9e2f2" w:themeFill="accent5" w:themeFillTint="34"/>
      </w:tcPr>
    </w:tblStylePr>
    <w:tblStylePr w:type="band1Vert">
      <w:rPr>
        <w:sz w:val="22"/>
      </w:rPr>
      <w:tcPr>
        <w:shd w:val="clear" w:color="ffffff" w:fill="d9e2f2" w:themeFill="accent5"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4">
    <w:name w:val="Grid Table 3 - Accent 6"/>
    <w:basedOn w:val="1043"/>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i/>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45">
    <w:name w:val="Grid Table 4"/>
    <w:basedOn w:val="1043"/>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sz w:val="22"/>
      </w:rPr>
      <w:tcPr>
        <w:shd w:val="clear" w:color="ffffff" w:fill="cbcbcb" w:themeFill="text1" w:themeFillTint="34"/>
      </w:tcPr>
    </w:tblStylePr>
    <w:tblStylePr w:type="band1Vert">
      <w:rPr>
        <w:sz w:val="22"/>
      </w:rPr>
      <w:tcPr>
        <w:shd w:val="clear" w:color="ffffff" w:fill="cbcbcb" w:themeFill="text1" w:themeFillTint="34"/>
      </w:tcPr>
    </w:tblStylePr>
    <w:tblStylePr w:type="firstCol">
      <w:rPr>
        <w:b/>
      </w:rPr>
    </w:tblStylePr>
    <w:tblStylePr w:type="firstRow">
      <w:rPr>
        <w:b/>
        <w:sz w:val="22"/>
      </w:rPr>
      <w:tcPr>
        <w:shd w:val="clear" w:color="ffffff"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rPr>
    </w:tblStylePr>
    <w:tblStylePr w:type="lastRow">
      <w:rPr>
        <w:b/>
      </w:rPr>
      <w:tcPr>
        <w:tcBorders>
          <w:top w:val="single" w:color="000000" w:themeColor="text1" w:sz="4" w:space="0"/>
        </w:tcBorders>
      </w:tcPr>
    </w:tblStylePr>
  </w:style>
  <w:style w:type="table" w:styleId="946">
    <w:name w:val="Grid Table 4 - Accent 1"/>
    <w:basedOn w:val="1043"/>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sz w:val="22"/>
      </w:rPr>
      <w:tcPr>
        <w:shd w:val="clear" w:color="ffffff" w:fill="dfebf6" w:themeFill="accent1" w:themeFillTint="32"/>
      </w:tcPr>
    </w:tblStylePr>
    <w:tblStylePr w:type="band1Vert">
      <w:rPr>
        <w:sz w:val="22"/>
      </w:rPr>
      <w:tcPr>
        <w:shd w:val="clear" w:color="ffffff" w:fill="dfebf6" w:themeFill="accent1" w:themeFillTint="32"/>
      </w:tcPr>
    </w:tblStylePr>
    <w:tblStylePr w:type="firstCol">
      <w:rPr>
        <w:b/>
      </w:rPr>
    </w:tblStylePr>
    <w:tblStylePr w:type="firstRow">
      <w:rPr>
        <w:b/>
        <w:sz w:val="22"/>
      </w:rPr>
      <w:tcPr>
        <w:shd w:val="clear" w:color="ffffff" w:fill="67a4d8" w:themeFill="accent1" w:themeFillTint="EA"/>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lastCol">
      <w:rPr>
        <w:b/>
      </w:rPr>
    </w:tblStylePr>
    <w:tblStylePr w:type="lastRow">
      <w:rPr>
        <w:b/>
      </w:rPr>
      <w:tcPr>
        <w:tcBorders>
          <w:top w:val="single" w:color="000000" w:themeColor="accent1" w:sz="4" w:space="0"/>
        </w:tcBorders>
      </w:tcPr>
    </w:tblStylePr>
  </w:style>
  <w:style w:type="table" w:styleId="947">
    <w:name w:val="Grid Table 4 - Accent 2"/>
    <w:basedOn w:val="1043"/>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sz w:val="22"/>
      </w:rPr>
      <w:tcPr>
        <w:shd w:val="clear" w:color="ffffff" w:fill="fbe5d6" w:themeFill="accent2" w:themeFillTint="32"/>
      </w:tcPr>
    </w:tblStylePr>
    <w:tblStylePr w:type="band1Vert">
      <w:rPr>
        <w:sz w:val="22"/>
      </w:rPr>
      <w:tcPr>
        <w:shd w:val="clear" w:color="ffffff" w:fill="fbe5d6" w:themeFill="accent2" w:themeFillTint="32"/>
      </w:tcPr>
    </w:tblStylePr>
    <w:tblStylePr w:type="firstCol">
      <w:rPr>
        <w:b/>
      </w:rPr>
    </w:tblStylePr>
    <w:tblStylePr w:type="firstRow">
      <w:rPr>
        <w:b/>
        <w:sz w:val="22"/>
      </w:rPr>
      <w:tcPr>
        <w:shd w:val="clear" w:color="ffffff" w:fill="f4b185" w:themeFill="accent2" w:themeFillTint="97"/>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lastCol">
      <w:rPr>
        <w:b/>
      </w:rPr>
    </w:tblStylePr>
    <w:tblStylePr w:type="lastRow">
      <w:rPr>
        <w:b/>
      </w:rPr>
      <w:tcPr>
        <w:tcBorders>
          <w:top w:val="single" w:color="000000" w:themeColor="accent2" w:sz="4" w:space="0"/>
        </w:tcBorders>
      </w:tcPr>
    </w:tblStylePr>
  </w:style>
  <w:style w:type="table" w:styleId="948">
    <w:name w:val="Grid Table 4 - Accent 3"/>
    <w:basedOn w:val="1043"/>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sz w:val="22"/>
      </w:rPr>
      <w:tcPr>
        <w:shd w:val="clear" w:color="ffffff" w:fill="ededed" w:themeFill="accent3" w:themeFillTint="34"/>
      </w:tcPr>
    </w:tblStylePr>
    <w:tblStylePr w:type="band1Vert">
      <w:rPr>
        <w:sz w:val="22"/>
      </w:rPr>
      <w:tcPr>
        <w:shd w:val="clear" w:color="ffffff" w:fill="ededed" w:themeFill="accent3" w:themeFillTint="34"/>
      </w:tcPr>
    </w:tblStylePr>
    <w:tblStylePr w:type="firstCol">
      <w:rPr>
        <w:b/>
      </w:rPr>
    </w:tblStylePr>
    <w:tblStylePr w:type="firstRow">
      <w:rPr>
        <w:b/>
        <w:sz w:val="22"/>
      </w:rPr>
      <w:tcPr>
        <w:shd w:val="clear" w:color="ffffff" w:fill="a5a5a5" w:themeFill="accent3" w:themeFillTint="FE"/>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lastCol">
      <w:rPr>
        <w:b/>
      </w:rPr>
    </w:tblStylePr>
    <w:tblStylePr w:type="lastRow">
      <w:rPr>
        <w:b/>
      </w:rPr>
      <w:tcPr>
        <w:tcBorders>
          <w:top w:val="single" w:color="000000" w:themeColor="accent3" w:sz="4" w:space="0"/>
        </w:tcBorders>
      </w:tcPr>
    </w:tblStylePr>
  </w:style>
  <w:style w:type="table" w:styleId="949">
    <w:name w:val="Grid Table 4 - Accent 4"/>
    <w:basedOn w:val="1043"/>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sz w:val="22"/>
      </w:rPr>
      <w:tcPr>
        <w:shd w:val="clear" w:color="ffffff" w:fill="fef2cb" w:themeFill="accent4" w:themeFillTint="34"/>
      </w:tcPr>
    </w:tblStylePr>
    <w:tblStylePr w:type="band1Vert">
      <w:rPr>
        <w:sz w:val="22"/>
      </w:rPr>
      <w:tcPr>
        <w:shd w:val="clear" w:color="ffffff" w:fill="fef2cb" w:themeFill="accent4" w:themeFillTint="34"/>
      </w:tcPr>
    </w:tblStylePr>
    <w:tblStylePr w:type="firstCol">
      <w:rPr>
        <w:b/>
      </w:rPr>
    </w:tblStylePr>
    <w:tblStylePr w:type="firstRow">
      <w:rPr>
        <w:b/>
        <w:sz w:val="22"/>
      </w:rPr>
      <w:tcPr>
        <w:shd w:val="clear" w:color="ffffff" w:fill="ffd864" w:themeFill="accent4" w:themeFillTint="9A"/>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lastCol">
      <w:rPr>
        <w:b/>
      </w:rPr>
    </w:tblStylePr>
    <w:tblStylePr w:type="lastRow">
      <w:rPr>
        <w:b/>
      </w:rPr>
      <w:tcPr>
        <w:tcBorders>
          <w:top w:val="single" w:color="000000" w:themeColor="accent4" w:sz="4" w:space="0"/>
        </w:tcBorders>
      </w:tcPr>
    </w:tblStylePr>
  </w:style>
  <w:style w:type="table" w:styleId="950">
    <w:name w:val="Grid Table 4 - Accent 5"/>
    <w:basedOn w:val="1043"/>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sz w:val="22"/>
      </w:rPr>
      <w:tcPr>
        <w:shd w:val="clear" w:color="ffffff" w:fill="d9e2f2" w:themeFill="accent5" w:themeFillTint="34"/>
      </w:tcPr>
    </w:tblStylePr>
    <w:tblStylePr w:type="band1Vert">
      <w:rPr>
        <w:sz w:val="22"/>
      </w:rPr>
      <w:tcPr>
        <w:shd w:val="clear" w:color="ffffff" w:fill="d9e2f2" w:themeFill="accent5" w:themeFillTint="34"/>
      </w:tcPr>
    </w:tblStylePr>
    <w:tblStylePr w:type="firstCol">
      <w:rPr>
        <w:b/>
      </w:rPr>
    </w:tblStylePr>
    <w:tblStylePr w:type="firstRow">
      <w:rPr>
        <w:b/>
        <w:sz w:val="22"/>
      </w:rPr>
      <w:tcPr>
        <w:shd w:val="clear" w:color="ffffff"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rPr>
    </w:tblStylePr>
    <w:tblStylePr w:type="lastRow">
      <w:rPr>
        <w:b/>
      </w:rPr>
      <w:tcPr>
        <w:tcBorders>
          <w:top w:val="single" w:color="000000" w:themeColor="accent5" w:sz="4" w:space="0"/>
        </w:tcBorders>
      </w:tcPr>
    </w:tblStylePr>
  </w:style>
  <w:style w:type="table" w:styleId="951">
    <w:name w:val="Grid Table 4 - Accent 6"/>
    <w:basedOn w:val="1043"/>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sz w:val="22"/>
      </w:rPr>
      <w:tcPr>
        <w:shd w:val="clear" w:color="ffffff" w:fill="e2efd8" w:themeFill="accent6" w:themeFillTint="34"/>
      </w:tcPr>
    </w:tblStylePr>
    <w:tblStylePr w:type="band1Vert">
      <w:rPr>
        <w:sz w:val="22"/>
      </w:rPr>
      <w:tcPr>
        <w:shd w:val="clear" w:color="ffffff" w:fill="e2efd8" w:themeFill="accent6" w:themeFillTint="34"/>
      </w:tcPr>
    </w:tblStylePr>
    <w:tblStylePr w:type="firstCol">
      <w:rPr>
        <w:b/>
      </w:rPr>
    </w:tblStylePr>
    <w:tblStylePr w:type="firstRow">
      <w:rPr>
        <w:b/>
        <w:sz w:val="22"/>
      </w:rPr>
      <w:tcPr>
        <w:shd w:val="clear" w:color="ffffff"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rPr>
    </w:tblStylePr>
    <w:tblStylePr w:type="lastRow">
      <w:rPr>
        <w:b/>
      </w:rPr>
      <w:tcPr>
        <w:tcBorders>
          <w:top w:val="single" w:color="000000" w:themeColor="accent6" w:sz="4" w:space="0"/>
        </w:tcBorders>
      </w:tcPr>
    </w:tblStylePr>
  </w:style>
  <w:style w:type="table" w:styleId="952">
    <w:name w:val="Grid Table 5 Dark"/>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8a8a8a" w:themeFill="text1" w:themeFillTint="75"/>
      </w:tcPr>
    </w:tblStylePr>
    <w:tblStylePr w:type="band1Vert">
      <w:tcPr>
        <w:shd w:val="clear" w:color="ffffff" w:fill="8a8a8a" w:themeFill="text1" w:themeFillTint="75"/>
      </w:tcPr>
    </w:tblStylePr>
    <w:tblStylePr w:type="firstCol">
      <w:rPr>
        <w:b/>
        <w:sz w:val="22"/>
      </w:rPr>
      <w:tcPr>
        <w:shd w:val="clear" w:color="ffffff" w:fill="000000" w:themeFill="text1"/>
      </w:tcPr>
    </w:tblStylePr>
    <w:tblStylePr w:type="firstRow">
      <w:rPr>
        <w:b/>
        <w:sz w:val="22"/>
      </w:rPr>
      <w:tcPr>
        <w:shd w:val="clear" w:color="ffffff" w:fill="000000" w:themeFill="text1"/>
      </w:tcPr>
    </w:tblStylePr>
    <w:tblStylePr w:type="lastCol">
      <w:rPr>
        <w:b/>
        <w:sz w:val="22"/>
      </w:rPr>
      <w:tcPr>
        <w:shd w:val="clear" w:color="ffffff" w:fill="000000" w:themeFill="text1"/>
      </w:tcPr>
    </w:tblStylePr>
    <w:tblStylePr w:type="lastRow">
      <w:rPr>
        <w:b/>
        <w:sz w:val="22"/>
      </w:rPr>
      <w:tcPr>
        <w:shd w:val="clear" w:color="ffffff" w:fill="000000" w:themeFill="text1"/>
        <w:tcBorders>
          <w:top w:val="single" w:color="000000" w:themeColor="light1" w:sz="4" w:space="0"/>
        </w:tcBorders>
      </w:tcPr>
    </w:tblStylePr>
  </w:style>
  <w:style w:type="table" w:styleId="953">
    <w:name w:val="Grid Table 5 Dark- Accent 1"/>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b4d2eb" w:themeFill="accent1" w:themeFillTint="75"/>
      </w:tcPr>
    </w:tblStylePr>
    <w:tblStylePr w:type="band1Vert">
      <w:tcPr>
        <w:shd w:val="clear" w:color="ffffff" w:fill="b4d2eb" w:themeFill="accent1" w:themeFillTint="75"/>
      </w:tcPr>
    </w:tblStylePr>
    <w:tblStylePr w:type="firstCol">
      <w:rPr>
        <w:b/>
        <w:sz w:val="22"/>
      </w:rPr>
      <w:tcPr>
        <w:shd w:val="clear" w:color="ffffff" w:fill="5b9bd5" w:themeFill="accent1"/>
      </w:tcPr>
    </w:tblStylePr>
    <w:tblStylePr w:type="firstRow">
      <w:rPr>
        <w:b/>
        <w:sz w:val="22"/>
      </w:rPr>
      <w:tcPr>
        <w:shd w:val="clear" w:color="ffffff" w:fill="5b9bd5" w:themeFill="accent1"/>
      </w:tcPr>
    </w:tblStylePr>
    <w:tblStylePr w:type="lastCol">
      <w:rPr>
        <w:b/>
        <w:sz w:val="22"/>
      </w:rPr>
      <w:tcPr>
        <w:shd w:val="clear" w:color="ffffff" w:fill="5b9bd5" w:themeFill="accent1"/>
      </w:tcPr>
    </w:tblStylePr>
    <w:tblStylePr w:type="lastRow">
      <w:rPr>
        <w:b/>
        <w:sz w:val="22"/>
      </w:rPr>
      <w:tcPr>
        <w:shd w:val="clear" w:color="ffffff" w:fill="5b9bd5" w:themeFill="accent1"/>
        <w:tcBorders>
          <w:top w:val="single" w:color="000000" w:themeColor="light1" w:sz="4" w:space="0"/>
        </w:tcBorders>
      </w:tcPr>
    </w:tblStylePr>
  </w:style>
  <w:style w:type="table" w:styleId="954">
    <w:name w:val="Grid Table 5 Dark - Accent 2"/>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6c3a1" w:themeFill="accent2" w:themeFillTint="75"/>
      </w:tcPr>
    </w:tblStylePr>
    <w:tblStylePr w:type="band1Vert">
      <w:tcPr>
        <w:shd w:val="clear" w:color="ffffff" w:fill="f6c3a1" w:themeFill="accent2" w:themeFillTint="75"/>
      </w:tcPr>
    </w:tblStylePr>
    <w:tblStylePr w:type="firstCol">
      <w:rPr>
        <w:b/>
        <w:sz w:val="22"/>
      </w:rPr>
      <w:tcPr>
        <w:shd w:val="clear" w:color="ffffff" w:fill="ed7d31" w:themeFill="accent2"/>
      </w:tcPr>
    </w:tblStylePr>
    <w:tblStylePr w:type="firstRow">
      <w:rPr>
        <w:b/>
        <w:sz w:val="22"/>
      </w:rPr>
      <w:tcPr>
        <w:shd w:val="clear" w:color="ffffff" w:fill="ed7d31" w:themeFill="accent2"/>
      </w:tcPr>
    </w:tblStylePr>
    <w:tblStylePr w:type="lastCol">
      <w:rPr>
        <w:b/>
        <w:sz w:val="22"/>
      </w:rPr>
      <w:tcPr>
        <w:shd w:val="clear" w:color="ffffff" w:fill="ed7d31" w:themeFill="accent2"/>
      </w:tcPr>
    </w:tblStylePr>
    <w:tblStylePr w:type="lastRow">
      <w:rPr>
        <w:b/>
        <w:sz w:val="22"/>
      </w:rPr>
      <w:tcPr>
        <w:shd w:val="clear" w:color="ffffff" w:fill="ed7d31" w:themeFill="accent2"/>
        <w:tcBorders>
          <w:top w:val="single" w:color="000000" w:themeColor="light1" w:sz="4" w:space="0"/>
        </w:tcBorders>
      </w:tcPr>
    </w:tblStylePr>
  </w:style>
  <w:style w:type="table" w:styleId="955">
    <w:name w:val="Grid Table 5 Dark - Accent 3"/>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d6d6d6" w:themeFill="accent3" w:themeFillTint="75"/>
      </w:tcPr>
    </w:tblStylePr>
    <w:tblStylePr w:type="band1Vert">
      <w:tcPr>
        <w:shd w:val="clear" w:color="ffffff" w:fill="d6d6d6" w:themeFill="accent3" w:themeFillTint="75"/>
      </w:tcPr>
    </w:tblStylePr>
    <w:tblStylePr w:type="firstCol">
      <w:rPr>
        <w:b/>
        <w:sz w:val="22"/>
      </w:rPr>
      <w:tcPr>
        <w:shd w:val="clear" w:color="ffffff" w:fill="a5a5a5" w:themeFill="accent3"/>
      </w:tcPr>
    </w:tblStylePr>
    <w:tblStylePr w:type="firstRow">
      <w:rPr>
        <w:b/>
        <w:sz w:val="22"/>
      </w:rPr>
      <w:tcPr>
        <w:shd w:val="clear" w:color="ffffff" w:fill="a5a5a5" w:themeFill="accent3"/>
      </w:tcPr>
    </w:tblStylePr>
    <w:tblStylePr w:type="lastCol">
      <w:rPr>
        <w:b/>
        <w:sz w:val="22"/>
      </w:rPr>
      <w:tcPr>
        <w:shd w:val="clear" w:color="ffffff" w:fill="a5a5a5" w:themeFill="accent3"/>
      </w:tcPr>
    </w:tblStylePr>
    <w:tblStylePr w:type="lastRow">
      <w:rPr>
        <w:b/>
        <w:sz w:val="22"/>
      </w:rPr>
      <w:tcPr>
        <w:shd w:val="clear" w:color="ffffff" w:fill="a5a5a5" w:themeFill="accent3"/>
        <w:tcBorders>
          <w:top w:val="single" w:color="000000" w:themeColor="light1" w:sz="4" w:space="0"/>
        </w:tcBorders>
      </w:tcPr>
    </w:tblStylePr>
  </w:style>
  <w:style w:type="table" w:styleId="956">
    <w:name w:val="Grid Table 5 Dark- Accent 4"/>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fee189" w:themeFill="accent4" w:themeFillTint="75"/>
      </w:tcPr>
    </w:tblStylePr>
    <w:tblStylePr w:type="band1Vert">
      <w:tcPr>
        <w:shd w:val="clear" w:color="ffffff" w:fill="fee189" w:themeFill="accent4" w:themeFillTint="75"/>
      </w:tcPr>
    </w:tblStylePr>
    <w:tblStylePr w:type="firstCol">
      <w:rPr>
        <w:b/>
        <w:sz w:val="22"/>
      </w:rPr>
      <w:tcPr>
        <w:shd w:val="clear" w:color="ffffff" w:fill="ffc000" w:themeFill="accent4"/>
      </w:tcPr>
    </w:tblStylePr>
    <w:tblStylePr w:type="firstRow">
      <w:rPr>
        <w:b/>
        <w:sz w:val="22"/>
      </w:rPr>
      <w:tcPr>
        <w:shd w:val="clear" w:color="ffffff" w:fill="ffc000" w:themeFill="accent4"/>
      </w:tcPr>
    </w:tblStylePr>
    <w:tblStylePr w:type="lastCol">
      <w:rPr>
        <w:b/>
        <w:sz w:val="22"/>
      </w:rPr>
      <w:tcPr>
        <w:shd w:val="clear" w:color="ffffff" w:fill="ffc000" w:themeFill="accent4"/>
      </w:tcPr>
    </w:tblStylePr>
    <w:tblStylePr w:type="lastRow">
      <w:rPr>
        <w:b/>
        <w:sz w:val="22"/>
      </w:rPr>
      <w:tcPr>
        <w:shd w:val="clear" w:color="ffffff" w:fill="ffc000" w:themeFill="accent4"/>
        <w:tcBorders>
          <w:top w:val="single" w:color="000000" w:themeColor="light1" w:sz="4" w:space="0"/>
        </w:tcBorders>
      </w:tcPr>
    </w:tblStylePr>
  </w:style>
  <w:style w:type="table" w:styleId="957">
    <w:name w:val="Grid Table 5 Dark - Accent 5"/>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aabfe3" w:themeFill="accent5" w:themeFillTint="75"/>
      </w:tcPr>
    </w:tblStylePr>
    <w:tblStylePr w:type="band1Vert">
      <w:tcPr>
        <w:shd w:val="clear" w:color="ffffff" w:fill="aabfe3" w:themeFill="accent5" w:themeFillTint="75"/>
      </w:tcPr>
    </w:tblStylePr>
    <w:tblStylePr w:type="firstCol">
      <w:rPr>
        <w:b/>
        <w:sz w:val="22"/>
      </w:rPr>
      <w:tcPr>
        <w:shd w:val="clear" w:color="ffffff" w:fill="4472c4" w:themeFill="accent5"/>
      </w:tcPr>
    </w:tblStylePr>
    <w:tblStylePr w:type="firstRow">
      <w:rPr>
        <w:b/>
        <w:sz w:val="22"/>
      </w:rPr>
      <w:tcPr>
        <w:shd w:val="clear" w:color="ffffff" w:fill="4472c4" w:themeFill="accent5"/>
      </w:tcPr>
    </w:tblStylePr>
    <w:tblStylePr w:type="lastCol">
      <w:rPr>
        <w:b/>
        <w:sz w:val="22"/>
      </w:rPr>
      <w:tcPr>
        <w:shd w:val="clear" w:color="ffffff" w:fill="4472c4" w:themeFill="accent5"/>
      </w:tcPr>
    </w:tblStylePr>
    <w:tblStylePr w:type="lastRow">
      <w:rPr>
        <w:b/>
        <w:sz w:val="22"/>
      </w:rPr>
      <w:tcPr>
        <w:shd w:val="clear" w:color="ffffff" w:fill="4472c4" w:themeFill="accent5"/>
        <w:tcBorders>
          <w:top w:val="single" w:color="000000" w:themeColor="light1" w:sz="4" w:space="0"/>
        </w:tcBorders>
      </w:tcPr>
    </w:tblStylePr>
  </w:style>
  <w:style w:type="table" w:styleId="958">
    <w:name w:val="Grid Table 5 Dark - Accent 6"/>
    <w:basedOn w:val="1043"/>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blStylePr w:type="band1Horz">
      <w:tcPr>
        <w:shd w:val="clear" w:color="ffffff" w:fill="bedba8" w:themeFill="accent6" w:themeFillTint="75"/>
      </w:tcPr>
    </w:tblStylePr>
    <w:tblStylePr w:type="band1Vert">
      <w:tcPr>
        <w:shd w:val="clear" w:color="ffffff" w:fill="bedba8" w:themeFill="accent6" w:themeFillTint="75"/>
      </w:tcPr>
    </w:tblStylePr>
    <w:tblStylePr w:type="firstCol">
      <w:rPr>
        <w:b/>
        <w:sz w:val="22"/>
      </w:rPr>
      <w:tcPr>
        <w:shd w:val="clear" w:color="ffffff" w:fill="70ad47" w:themeFill="accent6"/>
      </w:tcPr>
    </w:tblStylePr>
    <w:tblStylePr w:type="firstRow">
      <w:rPr>
        <w:b/>
        <w:sz w:val="22"/>
      </w:rPr>
      <w:tcPr>
        <w:shd w:val="clear" w:color="ffffff" w:fill="70ad47" w:themeFill="accent6"/>
      </w:tcPr>
    </w:tblStylePr>
    <w:tblStylePr w:type="lastCol">
      <w:rPr>
        <w:b/>
        <w:sz w:val="22"/>
      </w:rPr>
      <w:tcPr>
        <w:shd w:val="clear" w:color="ffffff" w:fill="70ad47" w:themeFill="accent6"/>
      </w:tcPr>
    </w:tblStylePr>
    <w:tblStylePr w:type="lastRow">
      <w:rPr>
        <w:b/>
        <w:sz w:val="22"/>
      </w:rPr>
      <w:tcPr>
        <w:shd w:val="clear" w:color="ffffff" w:fill="70ad47" w:themeFill="accent6"/>
        <w:tcBorders>
          <w:top w:val="single" w:color="000000" w:themeColor="light1" w:sz="4" w:space="0"/>
        </w:tcBorders>
      </w:tcPr>
    </w:tblStylePr>
  </w:style>
  <w:style w:type="table" w:styleId="959">
    <w:name w:val="Grid Table 6 Colorful"/>
    <w:basedOn w:val="1043"/>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cbcbcb" w:themeFill="text1" w:themeFillTint="34"/>
      </w:tcPr>
    </w:tblStylePr>
    <w:tblStylePr w:type="band1Vert">
      <w:tcPr>
        <w:shd w:val="clear" w:color="ffffff" w:fill="cbcbcb" w:themeFill="text1" w:themeFillTint="34"/>
      </w:tcPr>
    </w:tblStylePr>
    <w:tblStylePr w:type="band2Horz">
      <w:rPr>
        <w:color w:val="4a4a4a"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color w:val="4a4a4a" w:themeColor="text1" w:themeTint="80" w:themeShade="95"/>
        <w:sz w:val="22"/>
      </w:rPr>
    </w:tblStylePr>
  </w:style>
  <w:style w:type="table" w:styleId="960">
    <w:name w:val="Grid Table 6 Colorful - Accent 1"/>
    <w:basedOn w:val="1043"/>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cPr>
        <w:shd w:val="clear" w:color="ffffff" w:fill="ddebf6" w:themeFill="accent1" w:themeFillTint="34"/>
      </w:tcPr>
    </w:tblStylePr>
    <w:tblStylePr w:type="band1Vert">
      <w:tcPr>
        <w:shd w:val="clear" w:color="ffffff" w:fill="ddebf6" w:themeFill="accent1" w:themeFillTint="34"/>
      </w:tcPr>
    </w:tblStylePr>
    <w:tblStylePr w:type="band2Horz">
      <w:rPr>
        <w:color w:val="317bba"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color w:val="317bba" w:themeColor="accent1" w:themeTint="80" w:themeShade="95"/>
        <w:sz w:val="22"/>
      </w:rPr>
    </w:tblStylePr>
  </w:style>
  <w:style w:type="table" w:styleId="961">
    <w:name w:val="Grid Table 6 Colorful - Accent 2"/>
    <w:basedOn w:val="104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c95712"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color w:val="c95712" w:themeColor="accent2" w:themeTint="97" w:themeShade="95"/>
        <w:sz w:val="22"/>
      </w:rPr>
    </w:tblStylePr>
  </w:style>
  <w:style w:type="table" w:styleId="962">
    <w:name w:val="Grid Table 6 Colorful - Accent 3"/>
    <w:basedOn w:val="1043"/>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cPr>
        <w:shd w:val="clear" w:color="ffffff" w:fill="ededed" w:themeFill="accent3" w:themeFillTint="34"/>
      </w:tcPr>
    </w:tblStylePr>
    <w:tblStylePr w:type="band1Vert">
      <w:tcPr>
        <w:shd w:val="clear" w:color="ffffff" w:fill="ededed" w:themeFill="accent3" w:themeFillTint="34"/>
      </w:tcPr>
    </w:tblStylePr>
    <w:tblStylePr w:type="band2Horz">
      <w:rPr>
        <w:color w:val="60606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color w:val="606060" w:themeColor="accent3" w:themeTint="FE" w:themeShade="95"/>
        <w:sz w:val="22"/>
      </w:rPr>
    </w:tblStylePr>
  </w:style>
  <w:style w:type="table" w:styleId="963">
    <w:name w:val="Grid Table 6 Colorful - Accent 4"/>
    <w:basedOn w:val="104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cPr>
        <w:shd w:val="clear" w:color="ffffff" w:fill="fef2cb" w:themeFill="accent4" w:themeFillTint="34"/>
      </w:tcPr>
    </w:tblStylePr>
    <w:tblStylePr w:type="band1Vert">
      <w:tcPr>
        <w:shd w:val="clear" w:color="ffffff" w:fill="fef2cb" w:themeFill="accent4" w:themeFillTint="34"/>
      </w:tcPr>
    </w:tblStylePr>
    <w:tblStylePr w:type="band2Horz">
      <w:rPr>
        <w:color w:val="cd960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color w:val="cd9600" w:themeColor="accent4" w:themeTint="9A" w:themeShade="95"/>
        <w:sz w:val="22"/>
      </w:rPr>
    </w:tblStylePr>
  </w:style>
  <w:style w:type="table" w:styleId="964">
    <w:name w:val="Grid Table 6 Colorful - Accent 5"/>
    <w:basedOn w:val="104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color w:val="254374" w:themeColor="accent5" w:themeShade="95"/>
        <w:sz w:val="22"/>
      </w:rPr>
      <w:tcPr>
        <w:shd w:val="clear" w:color="ffffff" w:fill="d9e2f2" w:themeFill="accent5" w:themeFillTint="34"/>
      </w:tcPr>
    </w:tblStylePr>
    <w:tblStylePr w:type="band1Vert">
      <w:tcPr>
        <w:shd w:val="clear" w:color="ffffff" w:fill="d9e2f2" w:themeFill="accent5" w:themeFillTint="34"/>
      </w:tcPr>
    </w:tblStylePr>
    <w:tblStylePr w:type="band2Horz">
      <w:rPr>
        <w:color w:val="254374"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color w:val="254374" w:themeColor="accent5" w:themeShade="95"/>
        <w:sz w:val="22"/>
      </w:rPr>
    </w:tblStylePr>
  </w:style>
  <w:style w:type="table" w:styleId="965">
    <w:name w:val="Grid Table 6 Colorful - Accent 6"/>
    <w:basedOn w:val="104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color w:val="254374" w:themeColor="accent5" w:themeShade="95"/>
        <w:sz w:val="22"/>
      </w:rPr>
      <w:tcPr>
        <w:shd w:val="clear" w:color="ffffff" w:fill="e2efd8" w:themeFill="accent6" w:themeFillTint="34"/>
      </w:tcPr>
    </w:tblStylePr>
    <w:tblStylePr w:type="band1Vert">
      <w:tcPr>
        <w:shd w:val="clear" w:color="ffffff" w:fill="e2efd8" w:themeFill="accent6" w:themeFillTint="34"/>
      </w:tcPr>
    </w:tblStylePr>
    <w:tblStylePr w:type="band2Horz">
      <w:rPr>
        <w:color w:val="254374"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color w:val="254374" w:themeColor="accent5" w:themeShade="95"/>
        <w:sz w:val="22"/>
      </w:rPr>
    </w:tblStylePr>
  </w:style>
  <w:style w:type="table" w:styleId="966">
    <w:name w:val="Grid Table 7 Colorful"/>
    <w:basedOn w:val="1043"/>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color w:val="4a4a4a" w:themeColor="text1" w:themeTint="80" w:themeShade="95"/>
        <w:sz w:val="22"/>
      </w:rPr>
      <w:tcPr>
        <w:shd w:val="clear" w:color="ffffff" w:fill="f2f2f2" w:themeFill="text1" w:themeFillTint="00"/>
      </w:tcPr>
    </w:tblStylePr>
    <w:tblStylePr w:type="band1Vert">
      <w:tcPr>
        <w:shd w:val="clear" w:color="ffffff" w:fill="f2f2f2" w:themeFill="text1" w:themeFillTint="0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b/>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b/>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style>
  <w:style w:type="table" w:styleId="967">
    <w:name w:val="Grid Table 7 Colorful - Accent 1"/>
    <w:basedOn w:val="1043"/>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color w:val="317bba" w:themeColor="accent1" w:themeTint="80" w:themeShade="95"/>
        <w:sz w:val="22"/>
      </w:rPr>
      <w:tcPr>
        <w:shd w:val="clear" w:color="ffffff" w:fill="ddebf6" w:themeFill="accent1" w:themeFillTint="34"/>
      </w:tcPr>
    </w:tblStylePr>
    <w:tblStylePr w:type="band1Vert">
      <w:tcPr>
        <w:shd w:val="clear" w:color="ffffff" w:fill="ddebf6" w:themeFill="accent1" w:themeFillTint="34"/>
      </w:tcPr>
    </w:tblStylePr>
    <w:tblStylePr w:type="band2Horz">
      <w:rPr>
        <w:color w:val="317bba" w:themeColor="accent1" w:themeTint="80" w:themeShade="95"/>
        <w:sz w:val="22"/>
      </w:rPr>
    </w:tblStylePr>
    <w:tblStylePr w:type="firstCol">
      <w:rPr>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b/>
        <w:color w:val="317bba" w:themeColor="accent1" w:themeTint="80"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317bba" w:themeColor="accent1" w:themeTint="80"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b/>
        <w:color w:val="317bba" w:themeColor="accent1" w:themeTint="80"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style>
  <w:style w:type="table" w:styleId="968">
    <w:name w:val="Grid Table 7 Colorful - Accent 2"/>
    <w:basedOn w:val="1043"/>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color w:val="c95712" w:themeColor="accent2" w:themeTint="97" w:themeShade="95"/>
        <w:sz w:val="22"/>
      </w:rPr>
      <w:tcPr>
        <w:shd w:val="clear" w:color="ffffff" w:fill="fbe5d6" w:themeFill="accent2" w:themeFillTint="32"/>
      </w:tcPr>
    </w:tblStylePr>
    <w:tblStylePr w:type="band1Vert">
      <w:tcPr>
        <w:shd w:val="clear" w:color="ffffff" w:fill="fbe5d6" w:themeFill="accent2" w:themeFillTint="32"/>
      </w:tcPr>
    </w:tblStylePr>
    <w:tblStylePr w:type="band2Horz">
      <w:rPr>
        <w:color w:val="c95712" w:themeColor="accent2" w:themeTint="97" w:themeShade="95"/>
        <w:sz w:val="22"/>
      </w:rPr>
    </w:tblStylePr>
    <w:tblStylePr w:type="firstCol">
      <w:rPr>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b/>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95712"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b/>
        <w:color w:val="c95712"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style>
  <w:style w:type="table" w:styleId="969">
    <w:name w:val="Grid Table 7 Colorful - Accent 3"/>
    <w:basedOn w:val="1043"/>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color w:val="606060" w:themeColor="accent3" w:themeTint="FE" w:themeShade="95"/>
        <w:sz w:val="22"/>
      </w:rPr>
      <w:tcPr>
        <w:shd w:val="clear" w:color="ffffff" w:fill="ededed" w:themeFill="accent3" w:themeFillTint="34"/>
      </w:tcPr>
    </w:tblStylePr>
    <w:tblStylePr w:type="band1Vert">
      <w:tcPr>
        <w:shd w:val="clear" w:color="ffffff" w:fill="ededed" w:themeFill="accent3" w:themeFillTint="34"/>
      </w:tcPr>
    </w:tblStylePr>
    <w:tblStylePr w:type="band2Horz">
      <w:rPr>
        <w:color w:val="606060" w:themeColor="accent3" w:themeTint="FE" w:themeShade="95"/>
        <w:sz w:val="22"/>
      </w:rPr>
    </w:tblStylePr>
    <w:tblStylePr w:type="firstCol">
      <w:rPr>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b/>
        <w:color w:val="606060" w:themeColor="accent3" w:themeTint="FE"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606060" w:themeColor="accent3" w:themeTint="FE"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b/>
        <w:color w:val="606060" w:themeColor="accent3" w:themeTint="FE"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style>
  <w:style w:type="table" w:styleId="970">
    <w:name w:val="Grid Table 7 Colorful - Accent 4"/>
    <w:basedOn w:val="1043"/>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color w:val="cd9600" w:themeColor="accent4" w:themeTint="9A" w:themeShade="95"/>
        <w:sz w:val="22"/>
      </w:rPr>
      <w:tcPr>
        <w:shd w:val="clear" w:color="ffffff" w:fill="fef2cb" w:themeFill="accent4" w:themeFillTint="34"/>
      </w:tcPr>
    </w:tblStylePr>
    <w:tblStylePr w:type="band1Vert">
      <w:tcPr>
        <w:shd w:val="clear" w:color="ffffff" w:fill="fef2cb" w:themeFill="accent4" w:themeFillTint="34"/>
      </w:tcPr>
    </w:tblStylePr>
    <w:tblStylePr w:type="band2Horz">
      <w:rPr>
        <w:color w:val="cd9600" w:themeColor="accent4" w:themeTint="9A" w:themeShade="95"/>
        <w:sz w:val="22"/>
      </w:rPr>
    </w:tblStylePr>
    <w:tblStylePr w:type="firstCol">
      <w:rPr>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b/>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cd9600"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b/>
        <w:color w:val="cd9600"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style>
  <w:style w:type="table" w:styleId="971">
    <w:name w:val="Grid Table 7 Colorful - Accent 5"/>
    <w:basedOn w:val="1043"/>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color w:val="254374" w:themeColor="accent5" w:themeShade="95"/>
        <w:sz w:val="22"/>
      </w:rPr>
      <w:tcPr>
        <w:shd w:val="clear" w:color="ffffff" w:fill="d9e2f2" w:themeFill="accent5" w:themeFillTint="34"/>
      </w:tcPr>
    </w:tblStylePr>
    <w:tblStylePr w:type="band1Vert">
      <w:tcPr>
        <w:shd w:val="clear" w:color="ffffff" w:fill="d9e2f2" w:themeFill="accent5" w:themeFillTint="34"/>
      </w:tcPr>
    </w:tblStylePr>
    <w:tblStylePr w:type="band2Horz">
      <w:rPr>
        <w:color w:val="254374" w:themeColor="accent5" w:themeShade="95"/>
        <w:sz w:val="22"/>
      </w:rPr>
    </w:tblStylePr>
    <w:tblStylePr w:type="firstCol">
      <w:rPr>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b/>
        <w:color w:val="254374" w:themeColor="accent5"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254374" w:themeColor="accent5"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b/>
        <w:color w:val="254374" w:themeColor="accent5"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style>
  <w:style w:type="table" w:styleId="972">
    <w:name w:val="Grid Table 7 Colorful - Accent 6"/>
    <w:basedOn w:val="1043"/>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color w:val="426429" w:themeColor="accent6" w:themeShade="95"/>
        <w:sz w:val="22"/>
      </w:rPr>
      <w:tcPr>
        <w:shd w:val="clear" w:color="ffffff" w:fill="e2efd8" w:themeFill="accent6" w:themeFillTint="34"/>
      </w:tcPr>
    </w:tblStylePr>
    <w:tblStylePr w:type="band1Vert">
      <w:tcPr>
        <w:shd w:val="clear" w:color="ffffff" w:fill="e2efd8" w:themeFill="accent6" w:themeFillTint="34"/>
      </w:tcPr>
    </w:tblStylePr>
    <w:tblStylePr w:type="band2Horz">
      <w:rPr>
        <w:color w:val="426429" w:themeColor="accent6" w:themeShade="95"/>
        <w:sz w:val="22"/>
      </w:rPr>
    </w:tblStylePr>
    <w:tblStylePr w:type="firstCol">
      <w:rPr>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b/>
        <w:color w:val="426429" w:themeColor="accent6"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426429" w:themeColor="accent6"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b/>
        <w:color w:val="426429" w:themeColor="accent6"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style>
  <w:style w:type="table" w:styleId="973">
    <w:name w:val="List Table 1 Light"/>
    <w:basedOn w:val="1043"/>
    <w:uiPriority w:val="99"/>
    <w:pPr>
      <w:spacing w:after="0" w:line="240" w:lineRule="auto"/>
    </w:pPr>
    <w:tblPr>
      <w:tblStyleRowBandSize w:val="1"/>
      <w:tblStyleColBandSize w:val="1"/>
    </w:tblPr>
    <w:tblStylePr w:type="band1Horz">
      <w:tcPr>
        <w:shd w:val="clear" w:color="ffffff" w:fill="bfbfbf" w:themeFill="text1" w:themeFillTint="40"/>
      </w:tcPr>
    </w:tblStylePr>
    <w:tblStylePr w:type="band1Vert">
      <w:tcPr>
        <w:shd w:val="clear" w:color="ffffff" w:fill="bfbfbf" w:themeFill="text1" w:themeFillTint="40"/>
      </w:tcPr>
    </w:tblStylePr>
    <w:tblStylePr w:type="firstCol">
      <w:rPr>
        <w:b/>
      </w:rPr>
    </w:tblStylePr>
    <w:tblStylePr w:type="firstRow">
      <w:rPr>
        <w:b/>
      </w:rPr>
      <w:tcPr>
        <w:tcBorders>
          <w:top w:val="none" w:color="000000" w:sz="4" w:space="0"/>
          <w:left w:val="none" w:color="000000" w:sz="4" w:space="0"/>
          <w:bottom w:val="single" w:color="000000" w:themeColor="text1" w:sz="4" w:space="0"/>
          <w:right w:val="none" w:color="000000" w:sz="4" w:space="0"/>
        </w:tcBorders>
      </w:tcPr>
    </w:tblStylePr>
    <w:tblStylePr w:type="lastCol">
      <w:rPr>
        <w:b/>
      </w:rPr>
    </w:tblStylePr>
    <w:tblStylePr w:type="lastRow">
      <w:rPr>
        <w:b/>
      </w:rPr>
      <w:tcPr>
        <w:tcBorders>
          <w:top w:val="single" w:color="000000" w:themeColor="text1" w:sz="4" w:space="0"/>
          <w:left w:val="none" w:color="000000" w:sz="4" w:space="0"/>
          <w:bottom w:val="none" w:color="000000" w:sz="4" w:space="0"/>
          <w:right w:val="none" w:color="000000" w:sz="4" w:space="0"/>
        </w:tcBorders>
      </w:tcPr>
    </w:tblStylePr>
  </w:style>
  <w:style w:type="table" w:styleId="974">
    <w:name w:val="List Table 1 Light - Accent 1"/>
    <w:basedOn w:val="1043"/>
    <w:uiPriority w:val="99"/>
    <w:pPr>
      <w:spacing w:after="0" w:line="240" w:lineRule="auto"/>
    </w:pPr>
    <w:tblPr>
      <w:tblStyleRowBandSize w:val="1"/>
      <w:tblStyleColBandSize w:val="1"/>
    </w:tblPr>
    <w:tblStylePr w:type="band1Horz">
      <w:tcPr>
        <w:shd w:val="clear" w:color="ffffff" w:fill="d5e6f4" w:themeFill="accent1" w:themeFillTint="40"/>
      </w:tcPr>
    </w:tblStylePr>
    <w:tblStylePr w:type="band1Vert">
      <w:tcPr>
        <w:shd w:val="clear" w:color="ffffff" w:fill="d5e6f4" w:themeFill="accent1" w:themeFillTint="40"/>
      </w:tcPr>
    </w:tblStylePr>
    <w:tblStylePr w:type="firstCol">
      <w:rPr>
        <w:b/>
      </w:rPr>
    </w:tblStylePr>
    <w:tblStylePr w:type="firstRow">
      <w:rPr>
        <w:b/>
      </w:rPr>
      <w:tcPr>
        <w:tcBorders>
          <w:top w:val="none" w:color="000000" w:sz="4" w:space="0"/>
          <w:left w:val="none" w:color="000000" w:sz="4" w:space="0"/>
          <w:bottom w:val="single" w:color="000000" w:themeColor="accent1" w:sz="4" w:space="0"/>
          <w:right w:val="none" w:color="000000" w:sz="4" w:space="0"/>
        </w:tcBorders>
      </w:tcPr>
    </w:tblStylePr>
    <w:tblStylePr w:type="lastCol">
      <w:rPr>
        <w:b/>
      </w:rPr>
    </w:tblStylePr>
    <w:tblStylePr w:type="lastRow">
      <w:rPr>
        <w:b/>
      </w:rPr>
      <w:tcPr>
        <w:tcBorders>
          <w:top w:val="single" w:color="000000" w:themeColor="accent1" w:sz="4" w:space="0"/>
          <w:left w:val="none" w:color="000000" w:sz="4" w:space="0"/>
          <w:bottom w:val="none" w:color="000000" w:sz="4" w:space="0"/>
          <w:right w:val="none" w:color="000000" w:sz="4" w:space="0"/>
        </w:tcBorders>
      </w:tcPr>
    </w:tblStylePr>
  </w:style>
  <w:style w:type="table" w:styleId="975">
    <w:name w:val="List Table 1 Light - Accent 2"/>
    <w:basedOn w:val="1043"/>
    <w:uiPriority w:val="99"/>
    <w:pPr>
      <w:spacing w:after="0" w:line="240" w:lineRule="auto"/>
    </w:pPr>
    <w:tblPr>
      <w:tblStyleRowBandSize w:val="1"/>
      <w:tblStyleColBandSize w:val="1"/>
    </w:tblPr>
    <w:tblStylePr w:type="band1Horz">
      <w:tcPr>
        <w:shd w:val="clear" w:color="ffffff" w:fill="fadecb" w:themeFill="accent2" w:themeFillTint="40"/>
      </w:tcPr>
    </w:tblStylePr>
    <w:tblStylePr w:type="band1Vert">
      <w:tcPr>
        <w:shd w:val="clear" w:color="ffffff" w:fill="fadecb" w:themeFill="accent2" w:themeFillTint="40"/>
      </w:tcPr>
    </w:tblStylePr>
    <w:tblStylePr w:type="firstCol">
      <w:rPr>
        <w:b/>
      </w:rPr>
    </w:tblStylePr>
    <w:tblStylePr w:type="firstRow">
      <w:rPr>
        <w:b/>
      </w:rPr>
      <w:tcPr>
        <w:tcBorders>
          <w:top w:val="none" w:color="000000" w:sz="4" w:space="0"/>
          <w:left w:val="none" w:color="000000" w:sz="4" w:space="0"/>
          <w:bottom w:val="single" w:color="000000" w:themeColor="accent2" w:sz="4" w:space="0"/>
          <w:right w:val="none" w:color="000000" w:sz="4" w:space="0"/>
        </w:tcBorders>
      </w:tcPr>
    </w:tblStylePr>
    <w:tblStylePr w:type="lastCol">
      <w:rPr>
        <w:b/>
      </w:rPr>
    </w:tblStylePr>
    <w:tblStylePr w:type="lastRow">
      <w:rPr>
        <w:b/>
      </w:rPr>
      <w:tcPr>
        <w:tcBorders>
          <w:top w:val="single" w:color="000000" w:themeColor="accent2" w:sz="4" w:space="0"/>
          <w:left w:val="none" w:color="000000" w:sz="4" w:space="0"/>
          <w:bottom w:val="none" w:color="000000" w:sz="4" w:space="0"/>
          <w:right w:val="none" w:color="000000" w:sz="4" w:space="0"/>
        </w:tcBorders>
      </w:tcPr>
    </w:tblStylePr>
  </w:style>
  <w:style w:type="table" w:styleId="976">
    <w:name w:val="List Table 1 Light - Accent 3"/>
    <w:basedOn w:val="1043"/>
    <w:uiPriority w:val="99"/>
    <w:pPr>
      <w:spacing w:after="0" w:line="240" w:lineRule="auto"/>
    </w:pPr>
    <w:tblPr>
      <w:tblStyleRowBandSize w:val="1"/>
      <w:tblStyleColBandSize w:val="1"/>
    </w:tblPr>
    <w:tblStylePr w:type="band1Horz">
      <w:tcPr>
        <w:shd w:val="clear" w:color="ffffff" w:fill="e8e8e8" w:themeFill="accent3" w:themeFillTint="40"/>
      </w:tcPr>
    </w:tblStylePr>
    <w:tblStylePr w:type="band1Vert">
      <w:tcPr>
        <w:shd w:val="clear" w:color="ffffff" w:fill="e8e8e8" w:themeFill="accent3" w:themeFillTint="40"/>
      </w:tcPr>
    </w:tblStylePr>
    <w:tblStylePr w:type="firstCol">
      <w:rPr>
        <w:b/>
      </w:rPr>
    </w:tblStylePr>
    <w:tblStylePr w:type="firstRow">
      <w:rPr>
        <w:b/>
      </w:rPr>
      <w:tcPr>
        <w:tcBorders>
          <w:top w:val="none" w:color="000000" w:sz="4" w:space="0"/>
          <w:left w:val="none" w:color="000000" w:sz="4" w:space="0"/>
          <w:bottom w:val="single" w:color="000000" w:themeColor="accent3" w:sz="4" w:space="0"/>
          <w:right w:val="none" w:color="000000" w:sz="4" w:space="0"/>
        </w:tcBorders>
      </w:tcPr>
    </w:tblStylePr>
    <w:tblStylePr w:type="lastCol">
      <w:rPr>
        <w:b/>
      </w:rPr>
    </w:tblStylePr>
    <w:tblStylePr w:type="lastRow">
      <w:rPr>
        <w:b/>
      </w:rPr>
      <w:tcPr>
        <w:tcBorders>
          <w:top w:val="single" w:color="000000" w:themeColor="accent3" w:sz="4" w:space="0"/>
          <w:left w:val="none" w:color="000000" w:sz="4" w:space="0"/>
          <w:bottom w:val="none" w:color="000000" w:sz="4" w:space="0"/>
          <w:right w:val="none" w:color="000000" w:sz="4" w:space="0"/>
        </w:tcBorders>
      </w:tcPr>
    </w:tblStylePr>
  </w:style>
  <w:style w:type="table" w:styleId="977">
    <w:name w:val="List Table 1 Light - Accent 4"/>
    <w:basedOn w:val="1043"/>
    <w:uiPriority w:val="99"/>
    <w:pPr>
      <w:spacing w:after="0" w:line="240" w:lineRule="auto"/>
    </w:pPr>
    <w:tblPr>
      <w:tblStyleRowBandSize w:val="1"/>
      <w:tblStyleColBandSize w:val="1"/>
    </w:tblPr>
    <w:tblStylePr w:type="band1Horz">
      <w:tcPr>
        <w:shd w:val="clear" w:color="ffffff" w:fill="ffefbf" w:themeFill="accent4" w:themeFillTint="40"/>
      </w:tcPr>
    </w:tblStylePr>
    <w:tblStylePr w:type="band1Vert">
      <w:tcPr>
        <w:shd w:val="clear" w:color="ffffff" w:fill="ffefbf" w:themeFill="accent4" w:themeFillTint="40"/>
      </w:tcPr>
    </w:tblStylePr>
    <w:tblStylePr w:type="firstCol">
      <w:rPr>
        <w:b/>
      </w:rPr>
    </w:tblStylePr>
    <w:tblStylePr w:type="firstRow">
      <w:rPr>
        <w:b/>
      </w:rPr>
      <w:tcPr>
        <w:tcBorders>
          <w:top w:val="none" w:color="000000" w:sz="4" w:space="0"/>
          <w:left w:val="none" w:color="000000" w:sz="4" w:space="0"/>
          <w:bottom w:val="single" w:color="000000" w:themeColor="accent4" w:sz="4" w:space="0"/>
          <w:right w:val="none" w:color="000000" w:sz="4" w:space="0"/>
        </w:tcBorders>
      </w:tcPr>
    </w:tblStylePr>
    <w:tblStylePr w:type="lastCol">
      <w:rPr>
        <w:b/>
      </w:rPr>
    </w:tblStylePr>
    <w:tblStylePr w:type="lastRow">
      <w:rPr>
        <w:b/>
      </w:rPr>
      <w:tcPr>
        <w:tcBorders>
          <w:top w:val="single" w:color="000000" w:themeColor="accent4" w:sz="4" w:space="0"/>
          <w:left w:val="none" w:color="000000" w:sz="4" w:space="0"/>
          <w:bottom w:val="none" w:color="000000" w:sz="4" w:space="0"/>
          <w:right w:val="none" w:color="000000" w:sz="4" w:space="0"/>
        </w:tcBorders>
      </w:tcPr>
    </w:tblStylePr>
  </w:style>
  <w:style w:type="table" w:styleId="978">
    <w:name w:val="List Table 1 Light - Accent 5"/>
    <w:basedOn w:val="1043"/>
    <w:uiPriority w:val="99"/>
    <w:pPr>
      <w:spacing w:after="0" w:line="240" w:lineRule="auto"/>
    </w:pPr>
    <w:tblPr>
      <w:tblStyleRowBandSize w:val="1"/>
      <w:tblStyleColBandSize w:val="1"/>
    </w:tblPr>
    <w:tblStylePr w:type="band1Horz">
      <w:tcPr>
        <w:shd w:val="clear" w:color="ffffff" w:fill="cfdcf0" w:themeFill="accent5" w:themeFillTint="40"/>
      </w:tcPr>
    </w:tblStylePr>
    <w:tblStylePr w:type="band1Vert">
      <w:tcPr>
        <w:shd w:val="clear" w:color="ffffff" w:fill="cfdcf0" w:themeFill="accent5" w:themeFillTint="40"/>
      </w:tcPr>
    </w:tblStylePr>
    <w:tblStylePr w:type="firstCol">
      <w:rPr>
        <w:b/>
      </w:rPr>
    </w:tblStylePr>
    <w:tblStylePr w:type="firstRow">
      <w:rPr>
        <w:b/>
      </w:rPr>
      <w:tcPr>
        <w:tcBorders>
          <w:top w:val="none" w:color="000000" w:sz="4" w:space="0"/>
          <w:left w:val="none" w:color="000000" w:sz="4" w:space="0"/>
          <w:bottom w:val="single" w:color="000000" w:themeColor="accent5" w:sz="4" w:space="0"/>
          <w:right w:val="none" w:color="000000" w:sz="4" w:space="0"/>
        </w:tcBorders>
      </w:tcPr>
    </w:tblStylePr>
    <w:tblStylePr w:type="lastCol">
      <w:rPr>
        <w:b/>
      </w:rPr>
    </w:tblStylePr>
    <w:tblStylePr w:type="lastRow">
      <w:rPr>
        <w:b/>
      </w:rPr>
      <w:tcPr>
        <w:tcBorders>
          <w:top w:val="single" w:color="000000" w:themeColor="accent5" w:sz="4" w:space="0"/>
          <w:left w:val="none" w:color="000000" w:sz="4" w:space="0"/>
          <w:bottom w:val="none" w:color="000000" w:sz="4" w:space="0"/>
          <w:right w:val="none" w:color="000000" w:sz="4" w:space="0"/>
        </w:tcBorders>
      </w:tcPr>
    </w:tblStylePr>
  </w:style>
  <w:style w:type="table" w:styleId="979">
    <w:name w:val="List Table 1 Light - Accent 6"/>
    <w:basedOn w:val="1043"/>
    <w:uiPriority w:val="99"/>
    <w:pPr>
      <w:spacing w:after="0" w:line="240" w:lineRule="auto"/>
    </w:pPr>
    <w:tblPr>
      <w:tblStyleRowBandSize w:val="1"/>
      <w:tblStyleColBandSize w:val="1"/>
    </w:tblPr>
    <w:tblStylePr w:type="band1Horz">
      <w:tcPr>
        <w:shd w:val="clear" w:color="ffffff" w:fill="dbebd0" w:themeFill="accent6" w:themeFillTint="40"/>
      </w:tcPr>
    </w:tblStylePr>
    <w:tblStylePr w:type="band1Vert">
      <w:tcPr>
        <w:shd w:val="clear" w:color="ffffff" w:fill="dbebd0" w:themeFill="accent6" w:themeFillTint="40"/>
      </w:tcPr>
    </w:tblStylePr>
    <w:tblStylePr w:type="firstCol">
      <w:rPr>
        <w:b/>
      </w:rPr>
    </w:tblStylePr>
    <w:tblStylePr w:type="firstRow">
      <w:rPr>
        <w:b/>
      </w:rPr>
      <w:tcPr>
        <w:tcBorders>
          <w:top w:val="none" w:color="000000" w:sz="4" w:space="0"/>
          <w:left w:val="none" w:color="000000" w:sz="4" w:space="0"/>
          <w:bottom w:val="single" w:color="000000" w:themeColor="accent6" w:sz="4" w:space="0"/>
          <w:right w:val="none" w:color="000000" w:sz="4" w:space="0"/>
        </w:tcBorders>
      </w:tcPr>
    </w:tblStylePr>
    <w:tblStylePr w:type="lastCol">
      <w:rPr>
        <w:b/>
      </w:rPr>
    </w:tblStylePr>
    <w:tblStylePr w:type="lastRow">
      <w:rPr>
        <w:b/>
      </w:rPr>
      <w:tcPr>
        <w:tcBorders>
          <w:top w:val="single" w:color="000000" w:themeColor="accent6" w:sz="4" w:space="0"/>
          <w:left w:val="none" w:color="000000" w:sz="4" w:space="0"/>
          <w:bottom w:val="none" w:color="000000" w:sz="4" w:space="0"/>
          <w:right w:val="none" w:color="000000" w:sz="4" w:space="0"/>
        </w:tcBorders>
      </w:tcPr>
    </w:tblStylePr>
  </w:style>
  <w:style w:type="table" w:styleId="980">
    <w:name w:val="List Table 2"/>
    <w:basedOn w:val="1043"/>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sz w:val="22"/>
      </w:rPr>
    </w:tblStylePr>
    <w:tblStylePr w:type="fir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sz w:val="22"/>
      </w:rPr>
    </w:tblStylePr>
    <w:tblStylePr w:type="lastRow">
      <w:rPr>
        <w:b/>
        <w:sz w:val="22"/>
      </w:rPr>
      <w:tcPr>
        <w:tcBorders>
          <w:top w:val="single" w:color="000000" w:themeColor="text1" w:sz="4" w:space="0"/>
          <w:left w:val="none" w:color="000000" w:sz="4" w:space="0"/>
          <w:bottom w:val="single" w:color="000000" w:themeColor="text1" w:sz="4" w:space="0"/>
          <w:right w:val="none" w:color="000000" w:sz="4" w:space="0"/>
        </w:tcBorders>
      </w:tcPr>
    </w:tblStylePr>
  </w:style>
  <w:style w:type="table" w:styleId="981">
    <w:name w:val="List Table 2 - Accent 1"/>
    <w:basedOn w:val="1043"/>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sz w:val="22"/>
      </w:rPr>
      <w:tcPr>
        <w:shd w:val="clear" w:color="ffffff" w:fill="d5e6f4" w:themeFill="accent1" w:themeFillTint="40"/>
      </w:tcPr>
    </w:tblStylePr>
    <w:tblStylePr w:type="band1Vert">
      <w:rPr>
        <w:sz w:val="22"/>
      </w:rPr>
      <w:tcPr>
        <w:shd w:val="clear" w:color="ffffff" w:fill="d5e6f4" w:themeFill="accent1" w:themeFillTint="40"/>
      </w:tcPr>
    </w:tblStylePr>
    <w:tblStylePr w:type="firstCol">
      <w:rPr>
        <w:b/>
        <w:sz w:val="22"/>
      </w:rPr>
    </w:tblStylePr>
    <w:tblStylePr w:type="fir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rPr>
        <w:b/>
        <w:sz w:val="22"/>
      </w:rPr>
    </w:tblStylePr>
    <w:tblStylePr w:type="lastRow">
      <w:rPr>
        <w:b/>
        <w:sz w:val="22"/>
      </w:rPr>
      <w:tcPr>
        <w:tcBorders>
          <w:top w:val="single" w:color="000000" w:themeColor="accent1" w:sz="4" w:space="0"/>
          <w:left w:val="none" w:color="000000" w:sz="4" w:space="0"/>
          <w:bottom w:val="single" w:color="000000" w:themeColor="accent1" w:sz="4" w:space="0"/>
          <w:right w:val="none" w:color="000000" w:sz="4" w:space="0"/>
        </w:tcBorders>
      </w:tcPr>
    </w:tblStylePr>
  </w:style>
  <w:style w:type="table" w:styleId="982">
    <w:name w:val="List Table 2 - Accent 2"/>
    <w:basedOn w:val="1043"/>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sz w:val="22"/>
      </w:rPr>
      <w:tcPr>
        <w:shd w:val="clear" w:color="ffffff" w:fill="fadecb" w:themeFill="accent2" w:themeFillTint="40"/>
      </w:tcPr>
    </w:tblStylePr>
    <w:tblStylePr w:type="band1Vert">
      <w:rPr>
        <w:sz w:val="22"/>
      </w:rPr>
      <w:tcPr>
        <w:shd w:val="clear" w:color="ffffff" w:fill="fadecb" w:themeFill="accent2" w:themeFillTint="40"/>
      </w:tcPr>
    </w:tblStylePr>
    <w:tblStylePr w:type="firstCol">
      <w:rPr>
        <w:b/>
        <w:sz w:val="22"/>
      </w:rPr>
    </w:tblStylePr>
    <w:tblStylePr w:type="fir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rPr>
        <w:b/>
        <w:sz w:val="22"/>
      </w:rPr>
    </w:tblStylePr>
    <w:tblStylePr w:type="lastRow">
      <w:rPr>
        <w:b/>
        <w:sz w:val="22"/>
      </w:rPr>
      <w:tcPr>
        <w:tcBorders>
          <w:top w:val="single" w:color="000000" w:themeColor="accent2" w:sz="4" w:space="0"/>
          <w:left w:val="none" w:color="000000" w:sz="4" w:space="0"/>
          <w:bottom w:val="single" w:color="000000" w:themeColor="accent2" w:sz="4" w:space="0"/>
          <w:right w:val="none" w:color="000000" w:sz="4" w:space="0"/>
        </w:tcBorders>
      </w:tcPr>
    </w:tblStylePr>
  </w:style>
  <w:style w:type="table" w:styleId="983">
    <w:name w:val="List Table 2 - Accent 3"/>
    <w:basedOn w:val="1043"/>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sz w:val="22"/>
      </w:rPr>
      <w:tcPr>
        <w:shd w:val="clear" w:color="ffffff" w:fill="e8e8e8" w:themeFill="accent3" w:themeFillTint="40"/>
      </w:tcPr>
    </w:tblStylePr>
    <w:tblStylePr w:type="band1Vert">
      <w:rPr>
        <w:sz w:val="22"/>
      </w:rPr>
      <w:tcPr>
        <w:shd w:val="clear" w:color="ffffff" w:fill="e8e8e8" w:themeFill="accent3" w:themeFillTint="40"/>
      </w:tcPr>
    </w:tblStylePr>
    <w:tblStylePr w:type="firstCol">
      <w:rPr>
        <w:b/>
        <w:sz w:val="22"/>
      </w:rPr>
    </w:tblStylePr>
    <w:tblStylePr w:type="fir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rPr>
        <w:b/>
        <w:sz w:val="22"/>
      </w:rPr>
    </w:tblStylePr>
    <w:tblStylePr w:type="lastRow">
      <w:rPr>
        <w:b/>
        <w:sz w:val="22"/>
      </w:rPr>
      <w:tcPr>
        <w:tcBorders>
          <w:top w:val="single" w:color="000000" w:themeColor="accent3" w:sz="4" w:space="0"/>
          <w:left w:val="none" w:color="000000" w:sz="4" w:space="0"/>
          <w:bottom w:val="single" w:color="000000" w:themeColor="accent3" w:sz="4" w:space="0"/>
          <w:right w:val="none" w:color="000000" w:sz="4" w:space="0"/>
        </w:tcBorders>
      </w:tcPr>
    </w:tblStylePr>
  </w:style>
  <w:style w:type="table" w:styleId="984">
    <w:name w:val="List Table 2 - Accent 4"/>
    <w:basedOn w:val="1043"/>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sz w:val="22"/>
      </w:rPr>
      <w:tcPr>
        <w:shd w:val="clear" w:color="ffffff" w:fill="ffefbf" w:themeFill="accent4" w:themeFillTint="40"/>
      </w:tcPr>
    </w:tblStylePr>
    <w:tblStylePr w:type="band1Vert">
      <w:rPr>
        <w:sz w:val="22"/>
      </w:rPr>
      <w:tcPr>
        <w:shd w:val="clear" w:color="ffffff" w:fill="ffefbf" w:themeFill="accent4" w:themeFillTint="40"/>
      </w:tcPr>
    </w:tblStylePr>
    <w:tblStylePr w:type="firstCol">
      <w:rPr>
        <w:b/>
        <w:sz w:val="22"/>
      </w:rPr>
    </w:tblStylePr>
    <w:tblStylePr w:type="fir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rPr>
        <w:b/>
        <w:sz w:val="22"/>
      </w:rPr>
    </w:tblStylePr>
    <w:tblStylePr w:type="lastRow">
      <w:rPr>
        <w:b/>
        <w:sz w:val="22"/>
      </w:rPr>
      <w:tcPr>
        <w:tcBorders>
          <w:top w:val="single" w:color="000000" w:themeColor="accent4" w:sz="4" w:space="0"/>
          <w:left w:val="none" w:color="000000" w:sz="4" w:space="0"/>
          <w:bottom w:val="single" w:color="000000" w:themeColor="accent4" w:sz="4" w:space="0"/>
          <w:right w:val="none" w:color="000000" w:sz="4" w:space="0"/>
        </w:tcBorders>
      </w:tcPr>
    </w:tblStylePr>
  </w:style>
  <w:style w:type="table" w:styleId="985">
    <w:name w:val="List Table 2 - Accent 5"/>
    <w:basedOn w:val="1043"/>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sz w:val="22"/>
      </w:rPr>
      <w:tcPr>
        <w:shd w:val="clear" w:color="ffffff" w:fill="cfdcf0" w:themeFill="accent5" w:themeFillTint="40"/>
      </w:tcPr>
    </w:tblStylePr>
    <w:tblStylePr w:type="band1Vert">
      <w:rPr>
        <w:sz w:val="22"/>
      </w:rPr>
      <w:tcPr>
        <w:shd w:val="clear" w:color="ffffff" w:fill="cfdcf0" w:themeFill="accent5" w:themeFillTint="40"/>
      </w:tcPr>
    </w:tblStylePr>
    <w:tblStylePr w:type="firstCol">
      <w:rPr>
        <w:b/>
        <w:sz w:val="22"/>
      </w:rPr>
    </w:tblStylePr>
    <w:tblStylePr w:type="fir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rPr>
        <w:b/>
        <w:sz w:val="22"/>
      </w:rPr>
    </w:tblStylePr>
    <w:tblStylePr w:type="lastRow">
      <w:rPr>
        <w:b/>
        <w:sz w:val="22"/>
      </w:rPr>
      <w:tcPr>
        <w:tcBorders>
          <w:top w:val="single" w:color="000000" w:themeColor="accent5" w:sz="4" w:space="0"/>
          <w:left w:val="none" w:color="000000" w:sz="4" w:space="0"/>
          <w:bottom w:val="single" w:color="000000" w:themeColor="accent5" w:sz="4" w:space="0"/>
          <w:right w:val="none" w:color="000000" w:sz="4" w:space="0"/>
        </w:tcBorders>
      </w:tcPr>
    </w:tblStylePr>
  </w:style>
  <w:style w:type="table" w:styleId="986">
    <w:name w:val="List Table 2 - Accent 6"/>
    <w:basedOn w:val="1043"/>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sz w:val="22"/>
      </w:rPr>
      <w:tcPr>
        <w:shd w:val="clear" w:color="ffffff" w:fill="dbebd0" w:themeFill="accent6" w:themeFillTint="40"/>
      </w:tcPr>
    </w:tblStylePr>
    <w:tblStylePr w:type="band1Vert">
      <w:rPr>
        <w:sz w:val="22"/>
      </w:rPr>
      <w:tcPr>
        <w:shd w:val="clear" w:color="ffffff" w:fill="dbebd0" w:themeFill="accent6" w:themeFillTint="40"/>
      </w:tcPr>
    </w:tblStylePr>
    <w:tblStylePr w:type="firstCol">
      <w:rPr>
        <w:b/>
        <w:sz w:val="22"/>
      </w:rPr>
    </w:tblStylePr>
    <w:tblStylePr w:type="fir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rPr>
        <w:b/>
        <w:sz w:val="22"/>
      </w:rPr>
    </w:tblStylePr>
    <w:tblStylePr w:type="lastRow">
      <w:rPr>
        <w:b/>
        <w:sz w:val="22"/>
      </w:rPr>
      <w:tcPr>
        <w:tcBorders>
          <w:top w:val="single" w:color="000000" w:themeColor="accent6" w:sz="4" w:space="0"/>
          <w:left w:val="none" w:color="000000" w:sz="4" w:space="0"/>
          <w:bottom w:val="single" w:color="000000" w:themeColor="accent6" w:sz="4" w:space="0"/>
          <w:right w:val="none" w:color="000000" w:sz="4" w:space="0"/>
        </w:tcBorders>
      </w:tcPr>
    </w:tblStylePr>
  </w:style>
  <w:style w:type="table" w:styleId="987">
    <w:name w:val="List Table 3"/>
    <w:basedOn w:val="104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sz w:val="22"/>
      </w:rPr>
      <w:tcPr>
        <w:tcBorders>
          <w:top w:val="single" w:color="000000" w:themeColor="text1" w:sz="4" w:space="0"/>
          <w:bottom w:val="single" w:color="000000" w:themeColor="text1" w:sz="4" w:space="0"/>
        </w:tcBorders>
      </w:tcPr>
    </w:tblStylePr>
    <w:tblStylePr w:type="band1Vert">
      <w:rPr>
        <w:sz w:val="22"/>
      </w:rPr>
      <w:tcPr>
        <w:tcBorders>
          <w:left w:val="single" w:color="000000" w:themeColor="text1" w:sz="4" w:space="0"/>
          <w:right w:val="single" w:color="000000" w:themeColor="text1" w:sz="4" w:space="0"/>
        </w:tcBorders>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988">
    <w:name w:val="List Table 3 - Accent 1"/>
    <w:basedOn w:val="104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sz w:val="22"/>
      </w:rPr>
      <w:tcPr>
        <w:tcBorders>
          <w:top w:val="single" w:color="000000" w:themeColor="accent1" w:sz="4" w:space="0"/>
          <w:bottom w:val="single" w:color="000000" w:themeColor="accent1" w:sz="4" w:space="0"/>
        </w:tcBorders>
      </w:tcPr>
    </w:tblStylePr>
    <w:tblStylePr w:type="band1Vert">
      <w:rPr>
        <w:sz w:val="22"/>
      </w:rPr>
      <w:tcPr>
        <w:tcBorders>
          <w:left w:val="single" w:color="000000" w:themeColor="accent1" w:sz="4" w:space="0"/>
          <w:right w:val="single" w:color="000000" w:themeColor="accent1" w:sz="4" w:space="0"/>
        </w:tcBorders>
      </w:tcPr>
    </w:tblStylePr>
    <w:tblStylePr w:type="firstCol">
      <w:rPr>
        <w:b/>
      </w:rPr>
    </w:tblStylePr>
    <w:tblStylePr w:type="firstRow">
      <w:rPr>
        <w:b/>
        <w:sz w:val="22"/>
      </w:rPr>
      <w:tcPr>
        <w:shd w:val="clear" w:color="ffffff" w:fill="5b9bd5" w:themeFill="accent1"/>
      </w:tcPr>
    </w:tblStylePr>
    <w:tblStylePr w:type="lastCol">
      <w:rPr>
        <w:b/>
      </w:rPr>
    </w:tblStylePr>
    <w:tblStylePr w:type="lastRow">
      <w:rPr>
        <w:b/>
      </w:rPr>
    </w:tblStylePr>
  </w:style>
  <w:style w:type="table" w:styleId="989">
    <w:name w:val="List Table 3 - Accent 2"/>
    <w:basedOn w:val="1043"/>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sz w:val="22"/>
      </w:rPr>
      <w:tcPr>
        <w:tcBorders>
          <w:top w:val="single" w:color="000000" w:themeColor="accent2" w:sz="4" w:space="0"/>
          <w:bottom w:val="single" w:color="000000" w:themeColor="accent2" w:sz="4" w:space="0"/>
        </w:tcBorders>
      </w:tcPr>
    </w:tblStylePr>
    <w:tblStylePr w:type="band1Vert">
      <w:rPr>
        <w:sz w:val="22"/>
      </w:rPr>
      <w:tcPr>
        <w:tcBorders>
          <w:left w:val="single" w:color="000000" w:themeColor="accent2" w:sz="4" w:space="0"/>
          <w:right w:val="single" w:color="000000" w:themeColor="accent2" w:sz="4" w:space="0"/>
        </w:tcBorders>
      </w:tcPr>
    </w:tblStylePr>
    <w:tblStylePr w:type="firstCol">
      <w:rPr>
        <w:b/>
      </w:rPr>
    </w:tblStylePr>
    <w:tblStylePr w:type="firstRow">
      <w:rPr>
        <w:b/>
        <w:sz w:val="22"/>
      </w:rPr>
      <w:tcPr>
        <w:shd w:val="clear" w:color="ffffff" w:fill="f4b185" w:themeFill="accent2" w:themeFillTint="97"/>
      </w:tcPr>
    </w:tblStylePr>
    <w:tblStylePr w:type="lastCol">
      <w:rPr>
        <w:b/>
      </w:rPr>
    </w:tblStylePr>
    <w:tblStylePr w:type="lastRow">
      <w:rPr>
        <w:b/>
      </w:rPr>
    </w:tblStylePr>
  </w:style>
  <w:style w:type="table" w:styleId="990">
    <w:name w:val="List Table 3 - Accent 3"/>
    <w:basedOn w:val="1043"/>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sz w:val="22"/>
      </w:rPr>
      <w:tcPr>
        <w:tcBorders>
          <w:top w:val="single" w:color="000000" w:themeColor="accent3" w:sz="4" w:space="0"/>
          <w:bottom w:val="single" w:color="000000" w:themeColor="accent3" w:sz="4" w:space="0"/>
        </w:tcBorders>
      </w:tcPr>
    </w:tblStylePr>
    <w:tblStylePr w:type="band1Vert">
      <w:rPr>
        <w:sz w:val="22"/>
      </w:rPr>
      <w:tcPr>
        <w:tcBorders>
          <w:left w:val="single" w:color="000000" w:themeColor="accent3" w:sz="4" w:space="0"/>
          <w:right w:val="single" w:color="000000" w:themeColor="accent3" w:sz="4" w:space="0"/>
        </w:tcBorders>
      </w:tcPr>
    </w:tblStylePr>
    <w:tblStylePr w:type="firstCol">
      <w:rPr>
        <w:b/>
      </w:rPr>
    </w:tblStylePr>
    <w:tblStylePr w:type="firstRow">
      <w:rPr>
        <w:b/>
        <w:sz w:val="22"/>
      </w:rPr>
      <w:tcPr>
        <w:shd w:val="clear" w:color="ffffff" w:fill="c9c9c9" w:themeFill="accent3" w:themeFillTint="98"/>
      </w:tcPr>
    </w:tblStylePr>
    <w:tblStylePr w:type="lastCol">
      <w:rPr>
        <w:b/>
      </w:rPr>
    </w:tblStylePr>
    <w:tblStylePr w:type="lastRow">
      <w:rPr>
        <w:b/>
      </w:rPr>
    </w:tblStylePr>
  </w:style>
  <w:style w:type="table" w:styleId="991">
    <w:name w:val="List Table 3 - Accent 4"/>
    <w:basedOn w:val="1043"/>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sz w:val="22"/>
      </w:rPr>
      <w:tcPr>
        <w:tcBorders>
          <w:top w:val="single" w:color="000000" w:themeColor="accent4" w:sz="4" w:space="0"/>
          <w:bottom w:val="single" w:color="000000" w:themeColor="accent4" w:sz="4" w:space="0"/>
        </w:tcBorders>
      </w:tcPr>
    </w:tblStylePr>
    <w:tblStylePr w:type="band1Vert">
      <w:rPr>
        <w:sz w:val="22"/>
      </w:rPr>
      <w:tcPr>
        <w:tcBorders>
          <w:left w:val="single" w:color="000000" w:themeColor="accent4" w:sz="4" w:space="0"/>
          <w:right w:val="single" w:color="000000" w:themeColor="accent4" w:sz="4" w:space="0"/>
        </w:tcBorders>
      </w:tcPr>
    </w:tblStylePr>
    <w:tblStylePr w:type="firstCol">
      <w:rPr>
        <w:b/>
      </w:rPr>
    </w:tblStylePr>
    <w:tblStylePr w:type="firstRow">
      <w:rPr>
        <w:b/>
        <w:sz w:val="22"/>
      </w:rPr>
      <w:tcPr>
        <w:shd w:val="clear" w:color="ffffff" w:fill="ffd864" w:themeFill="accent4" w:themeFillTint="9A"/>
      </w:tcPr>
    </w:tblStylePr>
    <w:tblStylePr w:type="lastCol">
      <w:rPr>
        <w:b/>
      </w:rPr>
    </w:tblStylePr>
    <w:tblStylePr w:type="lastRow">
      <w:rPr>
        <w:b/>
      </w:rPr>
    </w:tblStylePr>
  </w:style>
  <w:style w:type="table" w:styleId="992">
    <w:name w:val="List Table 3 - Accent 5"/>
    <w:basedOn w:val="1043"/>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sz w:val="22"/>
      </w:rPr>
      <w:tcPr>
        <w:tcBorders>
          <w:top w:val="single" w:color="000000" w:themeColor="accent5" w:sz="4" w:space="0"/>
          <w:bottom w:val="single" w:color="000000" w:themeColor="accent5" w:sz="4" w:space="0"/>
        </w:tcBorders>
      </w:tcPr>
    </w:tblStylePr>
    <w:tblStylePr w:type="band1Vert">
      <w:rPr>
        <w:sz w:val="22"/>
      </w:rPr>
      <w:tcPr>
        <w:tcBorders>
          <w:left w:val="single" w:color="000000" w:themeColor="accent5" w:sz="4" w:space="0"/>
          <w:right w:val="single" w:color="000000" w:themeColor="accent5" w:sz="4" w:space="0"/>
        </w:tcBorders>
      </w:tcPr>
    </w:tblStylePr>
    <w:tblStylePr w:type="firstCol">
      <w:rPr>
        <w:b/>
      </w:rPr>
    </w:tblStylePr>
    <w:tblStylePr w:type="firstRow">
      <w:rPr>
        <w:b/>
        <w:sz w:val="22"/>
      </w:rPr>
      <w:tcPr>
        <w:shd w:val="clear" w:color="ffffff" w:fill="8eabdb" w:themeFill="accent5" w:themeFillTint="9A"/>
      </w:tcPr>
    </w:tblStylePr>
    <w:tblStylePr w:type="lastCol">
      <w:rPr>
        <w:b/>
      </w:rPr>
    </w:tblStylePr>
    <w:tblStylePr w:type="lastRow">
      <w:rPr>
        <w:b/>
      </w:rPr>
    </w:tblStylePr>
  </w:style>
  <w:style w:type="table" w:styleId="993">
    <w:name w:val="List Table 3 - Accent 6"/>
    <w:basedOn w:val="1043"/>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sz w:val="22"/>
      </w:rPr>
      <w:tcPr>
        <w:tcBorders>
          <w:top w:val="single" w:color="000000" w:themeColor="accent6" w:sz="4" w:space="0"/>
          <w:bottom w:val="single" w:color="000000" w:themeColor="accent6" w:sz="4" w:space="0"/>
        </w:tcBorders>
      </w:tcPr>
    </w:tblStylePr>
    <w:tblStylePr w:type="band1Vert">
      <w:rPr>
        <w:sz w:val="22"/>
      </w:rPr>
      <w:tcPr>
        <w:tcBorders>
          <w:left w:val="single" w:color="000000" w:themeColor="accent6" w:sz="4" w:space="0"/>
          <w:right w:val="single" w:color="000000" w:themeColor="accent6" w:sz="4" w:space="0"/>
        </w:tcBorders>
      </w:tcPr>
    </w:tblStylePr>
    <w:tblStylePr w:type="firstCol">
      <w:rPr>
        <w:b/>
      </w:rPr>
    </w:tblStylePr>
    <w:tblStylePr w:type="firstRow">
      <w:rPr>
        <w:b/>
        <w:sz w:val="22"/>
      </w:rPr>
      <w:tcPr>
        <w:shd w:val="clear" w:color="ffffff" w:fill="aad08f" w:themeFill="accent6" w:themeFillTint="98"/>
      </w:tcPr>
    </w:tblStylePr>
    <w:tblStylePr w:type="lastCol">
      <w:rPr>
        <w:b/>
      </w:rPr>
    </w:tblStylePr>
    <w:tblStylePr w:type="lastRow">
      <w:rPr>
        <w:b/>
      </w:rPr>
    </w:tblStylePr>
  </w:style>
  <w:style w:type="table" w:styleId="994">
    <w:name w:val="List Table 4"/>
    <w:basedOn w:val="1043"/>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sz w:val="22"/>
      </w:rPr>
      <w:tcPr>
        <w:shd w:val="clear" w:color="ffffff" w:fill="bfbfbf" w:themeFill="text1" w:themeFillTint="40"/>
      </w:tcPr>
    </w:tblStylePr>
    <w:tblStylePr w:type="band1Vert">
      <w:rPr>
        <w:sz w:val="22"/>
      </w:rPr>
      <w:tcPr>
        <w:shd w:val="clear" w:color="ffffff" w:fill="bfbfbf" w:themeFill="text1" w:themeFillTint="40"/>
      </w:tcPr>
    </w:tblStylePr>
    <w:tblStylePr w:type="firstCol">
      <w:rPr>
        <w:b/>
      </w:rPr>
    </w:tblStylePr>
    <w:tblStylePr w:type="firstRow">
      <w:rPr>
        <w:b/>
        <w:sz w:val="22"/>
      </w:rPr>
      <w:tcPr>
        <w:shd w:val="clear" w:color="ffffff" w:fill="000000" w:themeFill="text1"/>
      </w:tcPr>
    </w:tblStylePr>
    <w:tblStylePr w:type="lastCol">
      <w:rPr>
        <w:b/>
      </w:rPr>
    </w:tblStylePr>
    <w:tblStylePr w:type="lastRow">
      <w:rPr>
        <w:b/>
      </w:rPr>
    </w:tblStylePr>
  </w:style>
  <w:style w:type="table" w:styleId="995">
    <w:name w:val="List Table 4 - Accent 1"/>
    <w:basedOn w:val="1043"/>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sz w:val="22"/>
      </w:rPr>
      <w:tcPr>
        <w:shd w:val="clear" w:color="ffffff" w:fill="d5e6f4" w:themeFill="accent1" w:themeFillTint="40"/>
      </w:tcPr>
    </w:tblStylePr>
    <w:tblStylePr w:type="band1Vert">
      <w:rPr>
        <w:sz w:val="22"/>
      </w:rPr>
      <w:tcPr>
        <w:shd w:val="clear" w:color="ffffff" w:fill="d5e6f4" w:themeFill="accent1" w:themeFillTint="40"/>
      </w:tcPr>
    </w:tblStylePr>
    <w:tblStylePr w:type="firstCol">
      <w:rPr>
        <w:b/>
      </w:rPr>
    </w:tblStylePr>
    <w:tblStylePr w:type="firstRow">
      <w:rPr>
        <w:b/>
        <w:sz w:val="22"/>
      </w:rPr>
      <w:tcPr>
        <w:shd w:val="clear" w:color="ffffff" w:fill="5b9bd5" w:themeFill="accent1"/>
      </w:tcPr>
    </w:tblStylePr>
    <w:tblStylePr w:type="lastCol">
      <w:rPr>
        <w:b/>
      </w:rPr>
    </w:tblStylePr>
    <w:tblStylePr w:type="lastRow">
      <w:rPr>
        <w:b/>
      </w:rPr>
    </w:tblStylePr>
  </w:style>
  <w:style w:type="table" w:styleId="996">
    <w:name w:val="List Table 4 - Accent 2"/>
    <w:basedOn w:val="1043"/>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sz w:val="22"/>
      </w:rPr>
      <w:tcPr>
        <w:shd w:val="clear" w:color="ffffff" w:fill="fadecb" w:themeFill="accent2" w:themeFillTint="40"/>
      </w:tcPr>
    </w:tblStylePr>
    <w:tblStylePr w:type="band1Vert">
      <w:rPr>
        <w:sz w:val="22"/>
      </w:rPr>
      <w:tcPr>
        <w:shd w:val="clear" w:color="ffffff" w:fill="fadecb" w:themeFill="accent2" w:themeFillTint="40"/>
      </w:tcPr>
    </w:tblStylePr>
    <w:tblStylePr w:type="firstCol">
      <w:rPr>
        <w:b/>
      </w:rPr>
    </w:tblStylePr>
    <w:tblStylePr w:type="firstRow">
      <w:rPr>
        <w:b/>
        <w:sz w:val="22"/>
      </w:rPr>
      <w:tcPr>
        <w:shd w:val="clear" w:color="ffffff" w:fill="ed7d31" w:themeFill="accent2"/>
      </w:tcPr>
    </w:tblStylePr>
    <w:tblStylePr w:type="lastCol">
      <w:rPr>
        <w:b/>
      </w:rPr>
    </w:tblStylePr>
    <w:tblStylePr w:type="lastRow">
      <w:rPr>
        <w:b/>
      </w:rPr>
    </w:tblStylePr>
  </w:style>
  <w:style w:type="table" w:styleId="997">
    <w:name w:val="List Table 4 - Accent 3"/>
    <w:basedOn w:val="1043"/>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sz w:val="22"/>
      </w:rPr>
      <w:tcPr>
        <w:shd w:val="clear" w:color="ffffff" w:fill="e8e8e8" w:themeFill="accent3" w:themeFillTint="40"/>
      </w:tcPr>
    </w:tblStylePr>
    <w:tblStylePr w:type="band1Vert">
      <w:rPr>
        <w:sz w:val="22"/>
      </w:rPr>
      <w:tcPr>
        <w:shd w:val="clear" w:color="ffffff" w:fill="e8e8e8" w:themeFill="accent3" w:themeFillTint="40"/>
      </w:tcPr>
    </w:tblStylePr>
    <w:tblStylePr w:type="firstCol">
      <w:rPr>
        <w:b/>
      </w:rPr>
    </w:tblStylePr>
    <w:tblStylePr w:type="firstRow">
      <w:rPr>
        <w:b/>
        <w:sz w:val="22"/>
      </w:rPr>
      <w:tcPr>
        <w:shd w:val="clear" w:color="ffffff" w:fill="a5a5a5" w:themeFill="accent3"/>
      </w:tcPr>
    </w:tblStylePr>
    <w:tblStylePr w:type="lastCol">
      <w:rPr>
        <w:b/>
      </w:rPr>
    </w:tblStylePr>
    <w:tblStylePr w:type="lastRow">
      <w:rPr>
        <w:b/>
      </w:rPr>
    </w:tblStylePr>
  </w:style>
  <w:style w:type="table" w:styleId="998">
    <w:name w:val="List Table 4 - Accent 4"/>
    <w:basedOn w:val="1043"/>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sz w:val="22"/>
      </w:rPr>
      <w:tcPr>
        <w:shd w:val="clear" w:color="ffffff" w:fill="ffefbf" w:themeFill="accent4" w:themeFillTint="40"/>
      </w:tcPr>
    </w:tblStylePr>
    <w:tblStylePr w:type="band1Vert">
      <w:rPr>
        <w:sz w:val="22"/>
      </w:rPr>
      <w:tcPr>
        <w:shd w:val="clear" w:color="ffffff" w:fill="ffefbf" w:themeFill="accent4" w:themeFillTint="40"/>
      </w:tcPr>
    </w:tblStylePr>
    <w:tblStylePr w:type="firstCol">
      <w:rPr>
        <w:b/>
      </w:rPr>
    </w:tblStylePr>
    <w:tblStylePr w:type="firstRow">
      <w:rPr>
        <w:b/>
        <w:sz w:val="22"/>
      </w:rPr>
      <w:tcPr>
        <w:shd w:val="clear" w:color="ffffff" w:fill="ffc000" w:themeFill="accent4"/>
      </w:tcPr>
    </w:tblStylePr>
    <w:tblStylePr w:type="lastCol">
      <w:rPr>
        <w:b/>
      </w:rPr>
    </w:tblStylePr>
    <w:tblStylePr w:type="lastRow">
      <w:rPr>
        <w:b/>
      </w:rPr>
    </w:tblStylePr>
  </w:style>
  <w:style w:type="table" w:styleId="999">
    <w:name w:val="List Table 4 - Accent 5"/>
    <w:basedOn w:val="1043"/>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sz w:val="22"/>
      </w:rPr>
      <w:tcPr>
        <w:shd w:val="clear" w:color="ffffff" w:fill="cfdcf0" w:themeFill="accent5" w:themeFillTint="40"/>
      </w:tcPr>
    </w:tblStylePr>
    <w:tblStylePr w:type="band1Vert">
      <w:rPr>
        <w:sz w:val="22"/>
      </w:rPr>
      <w:tcPr>
        <w:shd w:val="clear" w:color="ffffff" w:fill="cfdcf0" w:themeFill="accent5" w:themeFillTint="40"/>
      </w:tcPr>
    </w:tblStylePr>
    <w:tblStylePr w:type="firstCol">
      <w:rPr>
        <w:b/>
      </w:rPr>
    </w:tblStylePr>
    <w:tblStylePr w:type="firstRow">
      <w:rPr>
        <w:b/>
        <w:sz w:val="22"/>
      </w:rPr>
      <w:tcPr>
        <w:shd w:val="clear" w:color="ffffff" w:fill="4472c4" w:themeFill="accent5"/>
      </w:tcPr>
    </w:tblStylePr>
    <w:tblStylePr w:type="lastCol">
      <w:rPr>
        <w:b/>
      </w:rPr>
    </w:tblStylePr>
    <w:tblStylePr w:type="lastRow">
      <w:rPr>
        <w:b/>
      </w:rPr>
    </w:tblStylePr>
  </w:style>
  <w:style w:type="table" w:styleId="1000">
    <w:name w:val="List Table 4 - Accent 6"/>
    <w:basedOn w:val="1043"/>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sz w:val="22"/>
      </w:rPr>
      <w:tcPr>
        <w:shd w:val="clear" w:color="ffffff" w:fill="dbebd0" w:themeFill="accent6" w:themeFillTint="40"/>
      </w:tcPr>
    </w:tblStylePr>
    <w:tblStylePr w:type="band1Vert">
      <w:rPr>
        <w:sz w:val="22"/>
      </w:rPr>
      <w:tcPr>
        <w:shd w:val="clear" w:color="ffffff" w:fill="dbebd0" w:themeFill="accent6" w:themeFillTint="40"/>
      </w:tcPr>
    </w:tblStylePr>
    <w:tblStylePr w:type="firstCol">
      <w:rPr>
        <w:b/>
      </w:rPr>
    </w:tblStylePr>
    <w:tblStylePr w:type="firstRow">
      <w:rPr>
        <w:b/>
        <w:sz w:val="22"/>
      </w:rPr>
      <w:tcPr>
        <w:shd w:val="clear" w:color="ffffff" w:fill="70ad47" w:themeFill="accent6"/>
      </w:tcPr>
    </w:tblStylePr>
    <w:tblStylePr w:type="lastCol">
      <w:rPr>
        <w:b/>
      </w:rPr>
    </w:tblStylePr>
    <w:tblStylePr w:type="lastRow">
      <w:rPr>
        <w:b/>
      </w:rPr>
    </w:tblStylePr>
  </w:style>
  <w:style w:type="table" w:styleId="1001">
    <w:name w:val="List Table 5 Dark"/>
    <w:basedOn w:val="1043"/>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blStylePr w:type="band1Horz">
      <w:tcPr>
        <w:shd w:val="clear" w:color="ffffff" w:fill="7f7f7f" w:themeFill="text1" w:themeFillTint="80"/>
        <w:tcBorders>
          <w:top w:val="single" w:color="000000" w:themeColor="light1" w:sz="4" w:space="0"/>
          <w:bottom w:val="single" w:color="000000" w:themeColor="light1" w:sz="4" w:space="0"/>
        </w:tcBorders>
      </w:tcPr>
    </w:tblStylePr>
    <w:tblStylePr w:type="band1Vert">
      <w:tcPr>
        <w:shd w:val="clear" w:color="ffffff" w:fill="7f7f7f" w:themeFill="text1" w:themeFillTint="80"/>
        <w:tcBorders>
          <w:left w:val="single" w:color="000000" w:themeColor="light1" w:sz="4" w:space="0"/>
          <w:right w:val="single" w:color="000000" w:themeColor="light1" w:sz="4" w:space="0"/>
        </w:tcBorders>
      </w:tcPr>
    </w:tblStylePr>
    <w:tblStylePr w:type="band2Horz">
      <w:tcPr>
        <w:shd w:val="clear" w:color="ffffff"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text1" w:sz="32" w:space="0"/>
          <w:right w:val="single" w:color="000000" w:themeColor="light1" w:sz="4" w:space="0"/>
        </w:tcBorders>
      </w:tcPr>
    </w:tblStylePr>
    <w:tblStylePr w:type="firstRow">
      <w:rPr>
        <w:b/>
        <w:color w:val="ffffff" w:themeColor="light1"/>
        <w:sz w:val="22"/>
      </w:rPr>
      <w:tcPr>
        <w:shd w:val="clear" w:color="ffffff" w:fill="7f7f7f" w:themeFill="text1" w:themeFillTint="80"/>
        <w:tcBorders>
          <w:top w:val="single" w:color="000000" w:themeColor="text1" w:sz="32" w:space="0"/>
          <w:bottom w:val="single" w:color="000000" w:themeColor="light1" w:sz="12" w:space="0"/>
        </w:tcBorders>
      </w:tcPr>
    </w:tblStylePr>
    <w:tblStylePr w:type="lastCol">
      <w:tcPr>
        <w:tcBorders>
          <w:left w:val="single" w:color="000000" w:themeColor="light1" w:sz="4" w:space="0"/>
          <w:right w:val="single" w:color="000000" w:themeColor="text1" w:sz="32" w:space="0"/>
        </w:tcBorders>
      </w:tcPr>
    </w:tblStylePr>
    <w:tblStylePr w:type="lastRow">
      <w:rPr>
        <w:b/>
        <w:color w:val="ffffff" w:themeColor="light1"/>
        <w:sz w:val="22"/>
      </w:rPr>
    </w:tblStylePr>
    <w:tblStylePr w:type="wholeTable">
      <w:rPr>
        <w:color w:val="ffffff" w:themeColor="light1"/>
        <w:sz w:val="22"/>
      </w:rPr>
    </w:tblStylePr>
  </w:style>
  <w:style w:type="table" w:styleId="1002">
    <w:name w:val="List Table 5 Dark - Accent 1"/>
    <w:basedOn w:val="1043"/>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blStylePr w:type="band1Horz">
      <w:tcPr>
        <w:shd w:val="clear" w:color="ffffff" w:fill="5b9bd5" w:themeFill="accent1"/>
        <w:tcBorders>
          <w:top w:val="single" w:color="000000" w:themeColor="light1" w:sz="4" w:space="0"/>
          <w:bottom w:val="single" w:color="000000" w:themeColor="light1" w:sz="4" w:space="0"/>
        </w:tcBorders>
      </w:tcPr>
    </w:tblStylePr>
    <w:tblStylePr w:type="band1Vert">
      <w:tcPr>
        <w:shd w:val="clear" w:color="ffffff" w:fill="5b9bd5" w:themeFill="accent1"/>
        <w:tcBorders>
          <w:left w:val="single" w:color="000000" w:themeColor="light1" w:sz="4" w:space="0"/>
          <w:right w:val="single" w:color="000000" w:themeColor="light1" w:sz="4" w:space="0"/>
        </w:tcBorders>
      </w:tcPr>
    </w:tblStylePr>
    <w:tblStylePr w:type="band2Horz">
      <w:tcPr>
        <w:shd w:val="clear" w:color="ffffff"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1" w:sz="32" w:space="0"/>
          <w:right w:val="single" w:color="000000" w:themeColor="light1" w:sz="4" w:space="0"/>
        </w:tcBorders>
      </w:tcPr>
    </w:tblStylePr>
    <w:tblStylePr w:type="firstRow">
      <w:rPr>
        <w:b/>
        <w:color w:val="ffffff" w:themeColor="light1"/>
        <w:sz w:val="22"/>
      </w:rPr>
      <w:tcPr>
        <w:shd w:val="clear" w:color="ffffff"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b/>
        <w:color w:val="ffffff" w:themeColor="light1"/>
        <w:sz w:val="22"/>
      </w:rPr>
    </w:tblStylePr>
    <w:tblStylePr w:type="wholeTable">
      <w:rPr>
        <w:color w:val="ffffff" w:themeColor="light1"/>
        <w:sz w:val="22"/>
      </w:rPr>
    </w:tblStylePr>
  </w:style>
  <w:style w:type="table" w:styleId="1003">
    <w:name w:val="List Table 5 Dark - Accent 2"/>
    <w:basedOn w:val="1043"/>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blStylePr w:type="band1Horz">
      <w:tcPr>
        <w:shd w:val="clear" w:color="ffffff" w:fill="f4b185" w:themeFill="accent2" w:themeFillTint="97"/>
        <w:tcBorders>
          <w:top w:val="single" w:color="000000" w:themeColor="light1" w:sz="4" w:space="0"/>
          <w:bottom w:val="single" w:color="000000" w:themeColor="light1" w:sz="4" w:space="0"/>
        </w:tcBorders>
      </w:tcPr>
    </w:tblStylePr>
    <w:tblStylePr w:type="band1Vert">
      <w:tcPr>
        <w:shd w:val="clear" w:color="ffffff" w:fill="f4b185" w:themeFill="accent2" w:themeFillTint="97"/>
        <w:tcBorders>
          <w:left w:val="single" w:color="000000" w:themeColor="light1" w:sz="4" w:space="0"/>
          <w:right w:val="single" w:color="000000" w:themeColor="light1" w:sz="4" w:space="0"/>
        </w:tcBorders>
      </w:tcPr>
    </w:tblStylePr>
    <w:tblStylePr w:type="band2Horz">
      <w:tcPr>
        <w:shd w:val="clear" w:color="ffffff"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2" w:sz="32" w:space="0"/>
          <w:right w:val="single" w:color="000000" w:themeColor="light1" w:sz="4" w:space="0"/>
        </w:tcBorders>
      </w:tcPr>
    </w:tblStylePr>
    <w:tblStylePr w:type="firstRow">
      <w:rPr>
        <w:b/>
        <w:color w:val="ffffff" w:themeColor="light1"/>
        <w:sz w:val="22"/>
      </w:rPr>
      <w:tcPr>
        <w:shd w:val="clear" w:color="ffffff" w:fill="f4b185" w:themeFill="accent2" w:themeFillTint="97"/>
        <w:tcBorders>
          <w:top w:val="single" w:color="000000" w:themeColor="accent2" w:sz="32" w:space="0"/>
          <w:bottom w:val="single" w:color="000000" w:themeColor="light1" w:sz="12" w:space="0"/>
        </w:tcBorders>
      </w:tcPr>
    </w:tblStylePr>
    <w:tblStylePr w:type="lastCol">
      <w:tcPr>
        <w:tcBorders>
          <w:left w:val="single" w:color="000000" w:themeColor="light1" w:sz="4" w:space="0"/>
          <w:right w:val="single" w:color="000000" w:themeColor="accent2" w:sz="32" w:space="0"/>
        </w:tcBorders>
      </w:tcPr>
    </w:tblStylePr>
    <w:tblStylePr w:type="lastRow">
      <w:rPr>
        <w:b/>
        <w:color w:val="ffffff" w:themeColor="light1"/>
        <w:sz w:val="22"/>
      </w:rPr>
    </w:tblStylePr>
    <w:tblStylePr w:type="wholeTable">
      <w:rPr>
        <w:color w:val="ffffff" w:themeColor="light1"/>
        <w:sz w:val="22"/>
      </w:rPr>
    </w:tblStylePr>
  </w:style>
  <w:style w:type="table" w:styleId="1004">
    <w:name w:val="List Table 5 Dark - Accent 3"/>
    <w:basedOn w:val="1043"/>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blStylePr w:type="band1Horz">
      <w:tcPr>
        <w:shd w:val="clear" w:color="ffffff" w:fill="c9c9c9" w:themeFill="accent3" w:themeFillTint="98"/>
        <w:tcBorders>
          <w:top w:val="single" w:color="000000" w:themeColor="light1" w:sz="4" w:space="0"/>
          <w:bottom w:val="single" w:color="000000" w:themeColor="light1" w:sz="4" w:space="0"/>
        </w:tcBorders>
      </w:tcPr>
    </w:tblStylePr>
    <w:tblStylePr w:type="band1Vert">
      <w:tcPr>
        <w:shd w:val="clear" w:color="ffffff" w:fill="c9c9c9" w:themeFill="accent3" w:themeFillTint="98"/>
        <w:tcBorders>
          <w:left w:val="single" w:color="000000" w:themeColor="light1" w:sz="4" w:space="0"/>
          <w:right w:val="single" w:color="000000" w:themeColor="light1" w:sz="4" w:space="0"/>
        </w:tcBorders>
      </w:tcPr>
    </w:tblStylePr>
    <w:tblStylePr w:type="band2Horz">
      <w:tcPr>
        <w:shd w:val="clear" w:color="ffffff"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3" w:sz="32" w:space="0"/>
          <w:right w:val="single" w:color="000000" w:themeColor="light1" w:sz="4" w:space="0"/>
        </w:tcBorders>
      </w:tcPr>
    </w:tblStylePr>
    <w:tblStylePr w:type="firstRow">
      <w:rPr>
        <w:b/>
        <w:color w:val="ffffff" w:themeColor="light1"/>
        <w:sz w:val="22"/>
      </w:rPr>
      <w:tcPr>
        <w:shd w:val="clear" w:color="ffffff" w:fill="c9c9c9" w:themeFill="accent3" w:themeFillTint="98"/>
        <w:tcBorders>
          <w:top w:val="single" w:color="000000" w:themeColor="accent3" w:sz="32" w:space="0"/>
          <w:bottom w:val="single" w:color="000000" w:themeColor="light1" w:sz="12" w:space="0"/>
        </w:tcBorders>
      </w:tcPr>
    </w:tblStylePr>
    <w:tblStylePr w:type="lastCol">
      <w:tcPr>
        <w:tcBorders>
          <w:left w:val="single" w:color="000000" w:themeColor="light1" w:sz="4" w:space="0"/>
          <w:right w:val="single" w:color="000000" w:themeColor="accent3" w:sz="32" w:space="0"/>
        </w:tcBorders>
      </w:tcPr>
    </w:tblStylePr>
    <w:tblStylePr w:type="lastRow">
      <w:rPr>
        <w:b/>
        <w:color w:val="ffffff" w:themeColor="light1"/>
        <w:sz w:val="22"/>
      </w:rPr>
    </w:tblStylePr>
    <w:tblStylePr w:type="wholeTable">
      <w:rPr>
        <w:color w:val="ffffff" w:themeColor="light1"/>
        <w:sz w:val="22"/>
      </w:rPr>
    </w:tblStylePr>
  </w:style>
  <w:style w:type="table" w:styleId="1005">
    <w:name w:val="List Table 5 Dark - Accent 4"/>
    <w:basedOn w:val="1043"/>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blStylePr w:type="band1Horz">
      <w:tcPr>
        <w:shd w:val="clear" w:color="ffffff" w:fill="ffd864" w:themeFill="accent4" w:themeFillTint="9A"/>
        <w:tcBorders>
          <w:top w:val="single" w:color="000000" w:themeColor="light1" w:sz="4" w:space="0"/>
          <w:bottom w:val="single" w:color="000000" w:themeColor="light1" w:sz="4" w:space="0"/>
        </w:tcBorders>
      </w:tcPr>
    </w:tblStylePr>
    <w:tblStylePr w:type="band1Vert">
      <w:tcPr>
        <w:shd w:val="clear" w:color="ffffff" w:fill="ffd864" w:themeFill="accent4" w:themeFillTint="9A"/>
        <w:tcBorders>
          <w:left w:val="single" w:color="000000" w:themeColor="light1" w:sz="4" w:space="0"/>
          <w:right w:val="single" w:color="000000" w:themeColor="light1" w:sz="4" w:space="0"/>
        </w:tcBorders>
      </w:tcPr>
    </w:tblStylePr>
    <w:tblStylePr w:type="band2Horz">
      <w:tcPr>
        <w:shd w:val="clear" w:color="ffffff"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4" w:sz="32" w:space="0"/>
          <w:right w:val="single" w:color="000000" w:themeColor="light1" w:sz="4" w:space="0"/>
        </w:tcBorders>
      </w:tcPr>
    </w:tblStylePr>
    <w:tblStylePr w:type="firstRow">
      <w:rPr>
        <w:b/>
        <w:color w:val="ffffff" w:themeColor="light1"/>
        <w:sz w:val="22"/>
      </w:rPr>
      <w:tcPr>
        <w:shd w:val="clear" w:color="ffffff" w:fill="ffd864" w:themeFill="accent4" w:themeFillTint="9A"/>
        <w:tcBorders>
          <w:top w:val="single" w:color="000000" w:themeColor="accent4" w:sz="32" w:space="0"/>
          <w:bottom w:val="single" w:color="000000" w:themeColor="light1" w:sz="12" w:space="0"/>
        </w:tcBorders>
      </w:tcPr>
    </w:tblStylePr>
    <w:tblStylePr w:type="lastCol">
      <w:tcPr>
        <w:tcBorders>
          <w:left w:val="single" w:color="000000" w:themeColor="light1" w:sz="4" w:space="0"/>
          <w:right w:val="single" w:color="000000" w:themeColor="accent4" w:sz="32" w:space="0"/>
        </w:tcBorders>
      </w:tcPr>
    </w:tblStylePr>
    <w:tblStylePr w:type="lastRow">
      <w:rPr>
        <w:b/>
        <w:color w:val="ffffff" w:themeColor="light1"/>
        <w:sz w:val="22"/>
      </w:rPr>
    </w:tblStylePr>
    <w:tblStylePr w:type="wholeTable">
      <w:rPr>
        <w:color w:val="ffffff" w:themeColor="light1"/>
        <w:sz w:val="22"/>
      </w:rPr>
    </w:tblStylePr>
  </w:style>
  <w:style w:type="table" w:styleId="1006">
    <w:name w:val="List Table 5 Dark - Accent 5"/>
    <w:basedOn w:val="1043"/>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blStylePr w:type="band1Horz">
      <w:tcPr>
        <w:shd w:val="clear" w:color="ffffff" w:fill="8eabdb" w:themeFill="accent5" w:themeFillTint="9A"/>
        <w:tcBorders>
          <w:top w:val="single" w:color="000000" w:themeColor="light1" w:sz="4" w:space="0"/>
          <w:bottom w:val="single" w:color="000000" w:themeColor="light1" w:sz="4" w:space="0"/>
        </w:tcBorders>
      </w:tcPr>
    </w:tblStylePr>
    <w:tblStylePr w:type="band1Vert">
      <w:tcPr>
        <w:shd w:val="clear" w:color="ffffff" w:fill="8eabdb" w:themeFill="accent5" w:themeFillTint="9A"/>
        <w:tcBorders>
          <w:left w:val="single" w:color="000000" w:themeColor="light1" w:sz="4" w:space="0"/>
          <w:right w:val="single" w:color="000000" w:themeColor="light1" w:sz="4" w:space="0"/>
        </w:tcBorders>
      </w:tcPr>
    </w:tblStylePr>
    <w:tblStylePr w:type="band2Horz">
      <w:tcPr>
        <w:shd w:val="clear" w:color="ffffff"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5" w:sz="32" w:space="0"/>
          <w:right w:val="single" w:color="000000" w:themeColor="light1" w:sz="4" w:space="0"/>
        </w:tcBorders>
      </w:tcPr>
    </w:tblStylePr>
    <w:tblStylePr w:type="firstRow">
      <w:rPr>
        <w:b/>
        <w:color w:val="ffffff" w:themeColor="light1"/>
        <w:sz w:val="22"/>
      </w:rPr>
      <w:tcPr>
        <w:shd w:val="clear" w:color="ffffff" w:fill="8eabdb" w:themeFill="accent5" w:themeFillTint="9A"/>
        <w:tcBorders>
          <w:top w:val="single" w:color="000000" w:themeColor="accent5" w:sz="32" w:space="0"/>
          <w:bottom w:val="single" w:color="000000" w:themeColor="light1" w:sz="12" w:space="0"/>
        </w:tcBorders>
      </w:tcPr>
    </w:tblStylePr>
    <w:tblStylePr w:type="lastCol">
      <w:tcPr>
        <w:tcBorders>
          <w:left w:val="single" w:color="000000" w:themeColor="light1" w:sz="4" w:space="0"/>
          <w:right w:val="single" w:color="000000" w:themeColor="accent5" w:sz="32" w:space="0"/>
        </w:tcBorders>
      </w:tcPr>
    </w:tblStylePr>
    <w:tblStylePr w:type="lastRow">
      <w:rPr>
        <w:b/>
        <w:color w:val="ffffff" w:themeColor="light1"/>
        <w:sz w:val="22"/>
      </w:rPr>
    </w:tblStylePr>
    <w:tblStylePr w:type="wholeTable">
      <w:rPr>
        <w:color w:val="ffffff" w:themeColor="light1"/>
        <w:sz w:val="22"/>
      </w:rPr>
    </w:tblStylePr>
  </w:style>
  <w:style w:type="table" w:styleId="1007">
    <w:name w:val="List Table 5 Dark - Accent 6"/>
    <w:basedOn w:val="1043"/>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blStylePr w:type="band1Horz">
      <w:tcPr>
        <w:shd w:val="clear" w:color="ffffff" w:fill="aad08f" w:themeFill="accent6" w:themeFillTint="98"/>
        <w:tcBorders>
          <w:top w:val="single" w:color="000000" w:themeColor="light1" w:sz="4" w:space="0"/>
          <w:bottom w:val="single" w:color="000000" w:themeColor="light1" w:sz="4" w:space="0"/>
        </w:tcBorders>
      </w:tcPr>
    </w:tblStylePr>
    <w:tblStylePr w:type="band1Vert">
      <w:tcPr>
        <w:shd w:val="clear" w:color="ffffff" w:fill="aad08f" w:themeFill="accent6" w:themeFillTint="98"/>
        <w:tcBorders>
          <w:left w:val="single" w:color="000000" w:themeColor="light1" w:sz="4" w:space="0"/>
          <w:right w:val="single" w:color="000000" w:themeColor="light1" w:sz="4" w:space="0"/>
        </w:tcBorders>
      </w:tcPr>
    </w:tblStylePr>
    <w:tblStylePr w:type="band2Horz">
      <w:tcPr>
        <w:shd w:val="clear" w:color="ffffff"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b/>
        <w:color w:val="ffffff" w:themeColor="light1"/>
        <w:sz w:val="22"/>
      </w:rPr>
      <w:tcPr>
        <w:tcBorders>
          <w:left w:val="single" w:color="000000" w:themeColor="accent6" w:sz="32" w:space="0"/>
          <w:right w:val="single" w:color="000000" w:themeColor="light1" w:sz="4" w:space="0"/>
        </w:tcBorders>
      </w:tcPr>
    </w:tblStylePr>
    <w:tblStylePr w:type="firstRow">
      <w:rPr>
        <w:b/>
        <w:color w:val="ffffff" w:themeColor="light1"/>
        <w:sz w:val="22"/>
      </w:rPr>
      <w:tcPr>
        <w:shd w:val="clear" w:color="ffffff" w:fill="aad08f" w:themeFill="accent6" w:themeFillTint="98"/>
        <w:tcBorders>
          <w:top w:val="single" w:color="000000" w:themeColor="accent6" w:sz="32" w:space="0"/>
          <w:bottom w:val="single" w:color="000000" w:themeColor="light1" w:sz="12" w:space="0"/>
        </w:tcBorders>
      </w:tcPr>
    </w:tblStylePr>
    <w:tblStylePr w:type="lastCol">
      <w:tcPr>
        <w:tcBorders>
          <w:left w:val="single" w:color="000000" w:themeColor="light1" w:sz="4" w:space="0"/>
          <w:right w:val="single" w:color="000000" w:themeColor="accent6" w:sz="32" w:space="0"/>
        </w:tcBorders>
      </w:tcPr>
    </w:tblStylePr>
    <w:tblStylePr w:type="lastRow">
      <w:rPr>
        <w:b/>
        <w:color w:val="ffffff" w:themeColor="light1"/>
        <w:sz w:val="22"/>
      </w:rPr>
    </w:tblStylePr>
    <w:tblStylePr w:type="wholeTable">
      <w:rPr>
        <w:color w:val="ffffff" w:themeColor="light1"/>
        <w:sz w:val="22"/>
      </w:rPr>
    </w:tblStylePr>
  </w:style>
  <w:style w:type="table" w:styleId="1008">
    <w:name w:val="List Table 6 Colorful"/>
    <w:basedOn w:val="1043"/>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blStylePr w:type="band1Horz">
      <w:rPr>
        <w:color w:val="000000" w:themeColor="text1"/>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000000" w:themeColor="text1"/>
        <w:sz w:val="22"/>
      </w:rPr>
    </w:tblStylePr>
    <w:tblStylePr w:type="firstCol">
      <w:rPr>
        <w:b/>
        <w:color w:val="000000" w:themeColor="text1"/>
      </w:rPr>
    </w:tblStylePr>
    <w:tblStylePr w:type="firstRow">
      <w:rPr>
        <w:b/>
        <w:color w:val="000000" w:themeColor="text1"/>
      </w:rPr>
      <w:tcPr>
        <w:tcBorders>
          <w:bottom w:val="single" w:color="000000" w:themeColor="text1" w:sz="4" w:space="0"/>
        </w:tcBorders>
      </w:tcPr>
    </w:tblStylePr>
    <w:tblStylePr w:type="lastCol">
      <w:rPr>
        <w:b/>
        <w:color w:val="000000" w:themeColor="text1"/>
      </w:rPr>
    </w:tblStylePr>
    <w:tblStylePr w:type="lastRow">
      <w:rPr>
        <w:b/>
        <w:color w:val="000000" w:themeColor="text1"/>
      </w:rPr>
      <w:tcPr>
        <w:tcBorders>
          <w:top w:val="single" w:color="000000" w:themeColor="text1" w:sz="4" w:space="0"/>
        </w:tcBorders>
      </w:tcPr>
    </w:tblStylePr>
  </w:style>
  <w:style w:type="table" w:styleId="1009">
    <w:name w:val="List Table 6 Colorful - Accent 1"/>
    <w:basedOn w:val="1043"/>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blStylePr w:type="band1Horz">
      <w:rPr>
        <w:color w:val="245d8d" w:themeColor="accent1" w:themeShade="95"/>
        <w:sz w:val="22"/>
      </w:rPr>
      <w:tcPr>
        <w:shd w:val="clear" w:color="ffffff" w:fill="d5e6f4" w:themeFill="accent1" w:themeFillTint="40"/>
      </w:tcPr>
    </w:tblStylePr>
    <w:tblStylePr w:type="band1Vert">
      <w:tcPr>
        <w:shd w:val="clear" w:color="ffffff" w:fill="d5e6f4" w:themeFill="accent1" w:themeFillTint="40"/>
      </w:tcPr>
    </w:tblStylePr>
    <w:tblStylePr w:type="band2Horz">
      <w:rPr>
        <w:color w:val="245d8d"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1010">
    <w:name w:val="List Table 6 Colorful - Accent 2"/>
    <w:basedOn w:val="1043"/>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blStylePr w:type="band1Horz">
      <w:rPr>
        <w:color w:val="c95712"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c95712"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sz="4" w:space="0"/>
        </w:tcBorders>
      </w:tcPr>
    </w:tblStylePr>
  </w:style>
  <w:style w:type="table" w:styleId="1011">
    <w:name w:val="List Table 6 Colorful - Accent 3"/>
    <w:basedOn w:val="1043"/>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blStylePr w:type="band1Horz">
      <w:rPr>
        <w:color w:val="757575"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757575"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sz="4" w:space="0"/>
        </w:tcBorders>
      </w:tcPr>
    </w:tblStylePr>
  </w:style>
  <w:style w:type="table" w:styleId="1012">
    <w:name w:val="List Table 6 Colorful - Accent 4"/>
    <w:basedOn w:val="1043"/>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blStylePr w:type="band1Horz">
      <w:rPr>
        <w:color w:val="cd9600"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cd960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sz="4" w:space="0"/>
        </w:tcBorders>
      </w:tcPr>
    </w:tblStylePr>
  </w:style>
  <w:style w:type="table" w:styleId="1013">
    <w:name w:val="List Table 6 Colorful - Accent 5"/>
    <w:basedOn w:val="1043"/>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blStylePr w:type="band1Horz">
      <w:rPr>
        <w:color w:val="335e9e" w:themeColor="accent5" w:themeTint="9A" w:themeShade="95"/>
        <w:sz w:val="22"/>
      </w:rPr>
      <w:tcPr>
        <w:shd w:val="clear" w:color="ffffff" w:fill="cfdcf0" w:themeFill="accent5" w:themeFillTint="40"/>
      </w:tcPr>
    </w:tblStylePr>
    <w:tblStylePr w:type="band1Vert">
      <w:tcPr>
        <w:shd w:val="clear" w:color="ffffff" w:fill="cfdcf0" w:themeFill="accent5" w:themeFillTint="40"/>
      </w:tcPr>
    </w:tblStylePr>
    <w:tblStylePr w:type="band2Horz">
      <w:rPr>
        <w:color w:val="335e9e"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sz="4" w:space="0"/>
        </w:tcBorders>
      </w:tcPr>
    </w:tblStylePr>
  </w:style>
  <w:style w:type="table" w:styleId="1014">
    <w:name w:val="List Table 6 Colorful - Accent 6"/>
    <w:basedOn w:val="1043"/>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blStylePr w:type="band1Horz">
      <w:rPr>
        <w:color w:val="5f8f3c" w:themeColor="accent6" w:themeTint="98" w:themeShade="95"/>
        <w:sz w:val="22"/>
      </w:rPr>
      <w:tcPr>
        <w:shd w:val="clear" w:color="ffffff" w:fill="dbebd0" w:themeFill="accent6" w:themeFillTint="40"/>
      </w:tcPr>
    </w:tblStylePr>
    <w:tblStylePr w:type="band1Vert">
      <w:tcPr>
        <w:shd w:val="clear" w:color="ffffff" w:fill="dbebd0" w:themeFill="accent6" w:themeFillTint="40"/>
      </w:tcPr>
    </w:tblStylePr>
    <w:tblStylePr w:type="band2Horz">
      <w:rPr>
        <w:color w:val="5f8f3c"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sz="4" w:space="0"/>
        </w:tcBorders>
      </w:tcPr>
    </w:tblStylePr>
  </w:style>
  <w:style w:type="table" w:styleId="1015">
    <w:name w:val="List Table 7 Colorful"/>
    <w:basedOn w:val="1043"/>
    <w:uiPriority w:val="99"/>
    <w:pPr>
      <w:spacing w:after="0" w:line="240" w:lineRule="auto"/>
    </w:pPr>
    <w:tblPr>
      <w:tblStyleRowBandSize w:val="1"/>
      <w:tblStyleColBandSize w:val="1"/>
      <w:tblBorders>
        <w:right w:val="single" w:color="000000" w:themeColor="text1" w:themeTint="80" w:sz="4" w:space="0"/>
      </w:tblBorders>
    </w:tblPr>
    <w:tblStylePr w:type="band1Horz">
      <w:rPr>
        <w:color w:val="4a4a4a" w:themeColor="text1" w:themeTint="80" w:themeShade="95"/>
        <w:sz w:val="22"/>
      </w:rPr>
      <w:tcPr>
        <w:shd w:val="clear" w:color="ffffff" w:fill="bfbfbf" w:themeFill="text1" w:themeFillTint="40"/>
      </w:tcPr>
    </w:tblStylePr>
    <w:tblStylePr w:type="band1Vert">
      <w:tcPr>
        <w:shd w:val="clear" w:color="ffffff" w:fill="bfbfbf" w:themeFill="text1" w:themeFillTint="40"/>
      </w:tcPr>
    </w:tblStylePr>
    <w:tblStylePr w:type="band2Horz">
      <w:rPr>
        <w:color w:val="4a4a4a" w:themeColor="text1" w:themeTint="80" w:themeShade="95"/>
        <w:sz w:val="22"/>
      </w:rPr>
    </w:tblStylePr>
    <w:tblStylePr w:type="firstCol">
      <w:rPr>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sz="4" w:space="0"/>
        </w:tcBorders>
      </w:tcPr>
    </w:tblStylePr>
    <w:tblStylePr w:type="firstRow">
      <w:rPr>
        <w:i/>
        <w:color w:val="4a4a4a" w:themeColor="text1" w:themeTint="80" w:themeShade="95"/>
        <w:sz w:val="22"/>
      </w:rPr>
      <w:tcPr>
        <w:shd w:val="clear" w:color="ffffff" w:fill="ffffff" w:themeFill="light1"/>
        <w:tcBorders>
          <w:top w:val="none" w:color="000000" w:sz="4" w:space="0"/>
          <w:left w:val="none" w:color="000000" w:sz="4" w:space="0"/>
          <w:bottom w:val="single" w:color="000000" w:themeColor="text1" w:sz="4" w:space="0"/>
          <w:right w:val="none" w:color="000000" w:sz="4" w:space="0"/>
        </w:tcBorders>
      </w:tcPr>
    </w:tblStylePr>
    <w:tblStylePr w:type="lastCol">
      <w:rPr>
        <w:i/>
        <w:color w:val="4a4a4a" w:themeColor="text1" w:themeTint="80" w:themeShade="95"/>
        <w:sz w:val="22"/>
      </w:rPr>
      <w:tcPr>
        <w:shd w:val="clear" w:color="ffffff"/>
        <w:tcBorders>
          <w:top w:val="none" w:color="000000" w:sz="4" w:space="0"/>
          <w:left w:val="single" w:color="000000" w:themeColor="text1" w:sz="4" w:space="0"/>
          <w:bottom w:val="none" w:color="000000" w:sz="4" w:space="0"/>
          <w:right w:val="none" w:color="000000" w:sz="4" w:space="0"/>
        </w:tcBorders>
      </w:tcPr>
    </w:tblStylePr>
    <w:tblStylePr w:type="lastRow">
      <w:rPr>
        <w:i/>
        <w:color w:val="4a4a4a" w:themeColor="text1" w:themeTint="80" w:themeShade="95"/>
        <w:sz w:val="22"/>
      </w:rPr>
      <w:tcPr>
        <w:shd w:val="clear" w:color="ffffff" w:fill="ffffff" w:themeFill="light1"/>
        <w:tcBorders>
          <w:top w:val="single" w:color="000000" w:themeColor="text1" w:sz="4" w:space="0"/>
          <w:left w:val="none" w:color="000000" w:sz="4" w:space="0"/>
          <w:bottom w:val="none" w:color="000000" w:sz="4" w:space="0"/>
          <w:right w:val="none" w:color="000000" w:sz="4" w:space="0"/>
        </w:tcBorders>
      </w:tcPr>
    </w:tblStylePr>
    <w:tblStylePr w:type="wholeTable">
      <w:rPr>
        <w:color w:val="4a4a4a" w:themeColor="text1" w:themeTint="80" w:themeShade="95"/>
        <w:sz w:val="22"/>
      </w:rPr>
    </w:tblStylePr>
  </w:style>
  <w:style w:type="table" w:styleId="1016">
    <w:name w:val="List Table 7 Colorful - Accent 1"/>
    <w:basedOn w:val="1043"/>
    <w:uiPriority w:val="99"/>
    <w:pPr>
      <w:spacing w:after="0" w:line="240" w:lineRule="auto"/>
    </w:pPr>
    <w:tblPr>
      <w:tblStyleRowBandSize w:val="1"/>
      <w:tblStyleColBandSize w:val="1"/>
      <w:tblBorders>
        <w:right w:val="single" w:color="000000" w:themeColor="accent1" w:sz="4" w:space="0"/>
      </w:tblBorders>
    </w:tblPr>
    <w:tblStylePr w:type="band1Horz">
      <w:rPr>
        <w:color w:val="245d8d" w:themeColor="accent1" w:themeShade="95"/>
        <w:sz w:val="22"/>
      </w:rPr>
      <w:tcPr>
        <w:shd w:val="clear" w:color="ffffff" w:fill="d5e6f4" w:themeFill="accent1" w:themeFillTint="40"/>
      </w:tcPr>
    </w:tblStylePr>
    <w:tblStylePr w:type="band1Vert">
      <w:tcPr>
        <w:shd w:val="clear" w:color="ffffff" w:fill="d5e6f4" w:themeFill="accent1" w:themeFillTint="40"/>
      </w:tcPr>
    </w:tblStylePr>
    <w:tblStylePr w:type="band2Horz">
      <w:rPr>
        <w:color w:val="245d8d" w:themeColor="accent1" w:themeShade="95"/>
        <w:sz w:val="22"/>
      </w:rPr>
    </w:tblStylePr>
    <w:tblStylePr w:type="firstCol">
      <w:rPr>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i/>
        <w:color w:val="245d8d" w:themeColor="accent1" w:themeShade="95"/>
        <w:sz w:val="22"/>
      </w:rPr>
      <w:tcPr>
        <w:shd w:val="clear" w:color="ffffff"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i/>
        <w:color w:val="245d8d" w:themeColor="accent1" w:themeShade="95"/>
        <w:sz w:val="22"/>
      </w:rPr>
      <w:tcPr>
        <w:shd w:val="clear" w:color="ffffff"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color w:val="245d8d" w:themeColor="accent1" w:themeShade="95"/>
        <w:sz w:val="22"/>
      </w:rPr>
    </w:tblStylePr>
  </w:style>
  <w:style w:type="table" w:styleId="1017">
    <w:name w:val="List Table 7 Colorful - Accent 2"/>
    <w:basedOn w:val="1043"/>
    <w:uiPriority w:val="99"/>
    <w:pPr>
      <w:spacing w:after="0" w:line="240" w:lineRule="auto"/>
    </w:pPr>
    <w:tblPr>
      <w:tblStyleRowBandSize w:val="1"/>
      <w:tblStyleColBandSize w:val="1"/>
      <w:tblBorders>
        <w:right w:val="single" w:color="000000" w:themeColor="accent2" w:themeTint="97" w:sz="4" w:space="0"/>
      </w:tblBorders>
    </w:tblPr>
    <w:tblStylePr w:type="band1Horz">
      <w:rPr>
        <w:color w:val="c95712" w:themeColor="accent2" w:themeTint="97" w:themeShade="95"/>
        <w:sz w:val="22"/>
      </w:rPr>
      <w:tcPr>
        <w:shd w:val="clear" w:color="ffffff" w:fill="fadecb" w:themeFill="accent2" w:themeFillTint="40"/>
      </w:tcPr>
    </w:tblStylePr>
    <w:tblStylePr w:type="band1Vert">
      <w:tcPr>
        <w:shd w:val="clear" w:color="ffffff" w:fill="fadecb" w:themeFill="accent2" w:themeFillTint="40"/>
      </w:tcPr>
    </w:tblStylePr>
    <w:tblStylePr w:type="band2Horz">
      <w:rPr>
        <w:color w:val="c95712" w:themeColor="accent2" w:themeTint="97" w:themeShade="95"/>
        <w:sz w:val="22"/>
      </w:rPr>
    </w:tblStylePr>
    <w:tblStylePr w:type="firstCol">
      <w:rPr>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sz="4" w:space="0"/>
        </w:tcBorders>
      </w:tcPr>
    </w:tblStylePr>
    <w:tblStylePr w:type="firstRow">
      <w:rPr>
        <w:i/>
        <w:color w:val="c95712" w:themeColor="accent2" w:themeTint="97" w:themeShade="95"/>
        <w:sz w:val="22"/>
      </w:rPr>
      <w:tcPr>
        <w:shd w:val="clear" w:color="ffffff" w:fill="ffffff" w:themeFill="light1"/>
        <w:tcBorders>
          <w:top w:val="none" w:color="000000" w:sz="4" w:space="0"/>
          <w:left w:val="none" w:color="000000" w:sz="4" w:space="0"/>
          <w:bottom w:val="single" w:color="000000" w:themeColor="accent2" w:sz="4" w:space="0"/>
          <w:right w:val="none" w:color="000000" w:sz="4" w:space="0"/>
        </w:tcBorders>
      </w:tcPr>
    </w:tblStylePr>
    <w:tblStylePr w:type="lastCol">
      <w:rPr>
        <w:i/>
        <w:color w:val="c95712" w:themeColor="accent2" w:themeTint="97" w:themeShade="95"/>
        <w:sz w:val="22"/>
      </w:rPr>
      <w:tcPr>
        <w:shd w:val="clear" w:color="ffffff"/>
        <w:tcBorders>
          <w:top w:val="none" w:color="000000" w:sz="4" w:space="0"/>
          <w:left w:val="single" w:color="000000" w:themeColor="accent2" w:sz="4" w:space="0"/>
          <w:bottom w:val="none" w:color="000000" w:sz="4" w:space="0"/>
          <w:right w:val="none" w:color="000000" w:sz="4" w:space="0"/>
        </w:tcBorders>
      </w:tcPr>
    </w:tblStylePr>
    <w:tblStylePr w:type="lastRow">
      <w:rPr>
        <w:i/>
        <w:color w:val="c95712" w:themeColor="accent2" w:themeTint="97" w:themeShade="95"/>
        <w:sz w:val="22"/>
      </w:rPr>
      <w:tcPr>
        <w:shd w:val="clear" w:color="ffffff" w:fill="ffffff" w:themeFill="light1"/>
        <w:tcBorders>
          <w:top w:val="single" w:color="000000" w:themeColor="accent2" w:sz="4" w:space="0"/>
          <w:left w:val="none" w:color="000000" w:sz="4" w:space="0"/>
          <w:bottom w:val="none" w:color="000000" w:sz="4" w:space="0"/>
          <w:right w:val="none" w:color="000000" w:sz="4" w:space="0"/>
        </w:tcBorders>
      </w:tcPr>
    </w:tblStylePr>
    <w:tblStylePr w:type="wholeTable">
      <w:rPr>
        <w:color w:val="c95712" w:themeColor="accent2" w:themeTint="97" w:themeShade="95"/>
        <w:sz w:val="22"/>
      </w:rPr>
    </w:tblStylePr>
  </w:style>
  <w:style w:type="table" w:styleId="1018">
    <w:name w:val="List Table 7 Colorful - Accent 3"/>
    <w:basedOn w:val="1043"/>
    <w:uiPriority w:val="99"/>
    <w:pPr>
      <w:spacing w:after="0" w:line="240" w:lineRule="auto"/>
    </w:pPr>
    <w:tblPr>
      <w:tblStyleRowBandSize w:val="1"/>
      <w:tblStyleColBandSize w:val="1"/>
      <w:tblBorders>
        <w:right w:val="single" w:color="000000" w:themeColor="accent3" w:themeTint="98" w:sz="4" w:space="0"/>
      </w:tblBorders>
    </w:tblPr>
    <w:tblStylePr w:type="band1Horz">
      <w:rPr>
        <w:color w:val="757575" w:themeColor="accent3" w:themeTint="98" w:themeShade="95"/>
        <w:sz w:val="22"/>
      </w:rPr>
      <w:tcPr>
        <w:shd w:val="clear" w:color="ffffff" w:fill="e8e8e8" w:themeFill="accent3" w:themeFillTint="40"/>
      </w:tcPr>
    </w:tblStylePr>
    <w:tblStylePr w:type="band1Vert">
      <w:tcPr>
        <w:shd w:val="clear" w:color="ffffff" w:fill="e8e8e8" w:themeFill="accent3" w:themeFillTint="40"/>
      </w:tcPr>
    </w:tblStylePr>
    <w:tblStylePr w:type="band2Horz">
      <w:rPr>
        <w:color w:val="757575" w:themeColor="accent3" w:themeTint="98" w:themeShade="95"/>
        <w:sz w:val="22"/>
      </w:rPr>
    </w:tblStylePr>
    <w:tblStylePr w:type="firstCol">
      <w:rPr>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sz="4" w:space="0"/>
        </w:tcBorders>
      </w:tcPr>
    </w:tblStylePr>
    <w:tblStylePr w:type="firstRow">
      <w:rPr>
        <w:i/>
        <w:color w:val="757575" w:themeColor="accent3" w:themeTint="98" w:themeShade="95"/>
        <w:sz w:val="22"/>
      </w:rPr>
      <w:tcPr>
        <w:shd w:val="clear" w:color="ffffff" w:fill="ffffff" w:themeFill="light1"/>
        <w:tcBorders>
          <w:top w:val="none" w:color="000000" w:sz="4" w:space="0"/>
          <w:left w:val="none" w:color="000000" w:sz="4" w:space="0"/>
          <w:bottom w:val="single" w:color="000000" w:themeColor="accent3" w:sz="4" w:space="0"/>
          <w:right w:val="none" w:color="000000" w:sz="4" w:space="0"/>
        </w:tcBorders>
      </w:tcPr>
    </w:tblStylePr>
    <w:tblStylePr w:type="lastCol">
      <w:rPr>
        <w:i/>
        <w:color w:val="757575" w:themeColor="accent3" w:themeTint="98" w:themeShade="95"/>
        <w:sz w:val="22"/>
      </w:rPr>
      <w:tcPr>
        <w:shd w:val="clear" w:color="ffffff"/>
        <w:tcBorders>
          <w:top w:val="none" w:color="000000" w:sz="4" w:space="0"/>
          <w:left w:val="single" w:color="000000" w:themeColor="accent3" w:sz="4" w:space="0"/>
          <w:bottom w:val="none" w:color="000000" w:sz="4" w:space="0"/>
          <w:right w:val="none" w:color="000000" w:sz="4" w:space="0"/>
        </w:tcBorders>
      </w:tcPr>
    </w:tblStylePr>
    <w:tblStylePr w:type="lastRow">
      <w:rPr>
        <w:i/>
        <w:color w:val="757575" w:themeColor="accent3" w:themeTint="98" w:themeShade="95"/>
        <w:sz w:val="22"/>
      </w:rPr>
      <w:tcPr>
        <w:shd w:val="clear" w:color="ffffff" w:fill="ffffff" w:themeFill="light1"/>
        <w:tcBorders>
          <w:top w:val="single" w:color="000000" w:themeColor="accent3" w:sz="4" w:space="0"/>
          <w:left w:val="none" w:color="000000" w:sz="4" w:space="0"/>
          <w:bottom w:val="none" w:color="000000" w:sz="4" w:space="0"/>
          <w:right w:val="none" w:color="000000" w:sz="4" w:space="0"/>
        </w:tcBorders>
      </w:tcPr>
    </w:tblStylePr>
    <w:tblStylePr w:type="wholeTable">
      <w:rPr>
        <w:color w:val="757575" w:themeColor="accent3" w:themeTint="98" w:themeShade="95"/>
        <w:sz w:val="22"/>
      </w:rPr>
    </w:tblStylePr>
  </w:style>
  <w:style w:type="table" w:styleId="1019">
    <w:name w:val="List Table 7 Colorful - Accent 4"/>
    <w:basedOn w:val="1043"/>
    <w:uiPriority w:val="99"/>
    <w:pPr>
      <w:spacing w:after="0" w:line="240" w:lineRule="auto"/>
    </w:pPr>
    <w:tblPr>
      <w:tblStyleRowBandSize w:val="1"/>
      <w:tblStyleColBandSize w:val="1"/>
      <w:tblBorders>
        <w:right w:val="single" w:color="000000" w:themeColor="accent4" w:themeTint="9A" w:sz="4" w:space="0"/>
      </w:tblBorders>
    </w:tblPr>
    <w:tblStylePr w:type="band1Horz">
      <w:rPr>
        <w:color w:val="cd9600" w:themeColor="accent4" w:themeTint="9A" w:themeShade="95"/>
        <w:sz w:val="22"/>
      </w:rPr>
      <w:tcPr>
        <w:shd w:val="clear" w:color="ffffff" w:fill="ffefbf" w:themeFill="accent4" w:themeFillTint="40"/>
      </w:tcPr>
    </w:tblStylePr>
    <w:tblStylePr w:type="band1Vert">
      <w:tcPr>
        <w:shd w:val="clear" w:color="ffffff" w:fill="ffefbf" w:themeFill="accent4" w:themeFillTint="40"/>
      </w:tcPr>
    </w:tblStylePr>
    <w:tblStylePr w:type="band2Horz">
      <w:rPr>
        <w:color w:val="cd9600" w:themeColor="accent4" w:themeTint="9A" w:themeShade="95"/>
        <w:sz w:val="22"/>
      </w:rPr>
    </w:tblStylePr>
    <w:tblStylePr w:type="firstCol">
      <w:rPr>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sz="4" w:space="0"/>
        </w:tcBorders>
      </w:tcPr>
    </w:tblStylePr>
    <w:tblStylePr w:type="firstRow">
      <w:rPr>
        <w:i/>
        <w:color w:val="cd9600" w:themeColor="accent4" w:themeTint="9A" w:themeShade="95"/>
        <w:sz w:val="22"/>
      </w:rPr>
      <w:tcPr>
        <w:shd w:val="clear" w:color="ffffff" w:fill="ffffff" w:themeFill="light1"/>
        <w:tcBorders>
          <w:top w:val="none" w:color="000000" w:sz="4" w:space="0"/>
          <w:left w:val="none" w:color="000000" w:sz="4" w:space="0"/>
          <w:bottom w:val="single" w:color="000000" w:themeColor="accent4" w:sz="4" w:space="0"/>
          <w:right w:val="none" w:color="000000" w:sz="4" w:space="0"/>
        </w:tcBorders>
      </w:tcPr>
    </w:tblStylePr>
    <w:tblStylePr w:type="lastCol">
      <w:rPr>
        <w:i/>
        <w:color w:val="cd9600" w:themeColor="accent4" w:themeTint="9A" w:themeShade="95"/>
        <w:sz w:val="22"/>
      </w:rPr>
      <w:tcPr>
        <w:shd w:val="clear" w:color="ffffff"/>
        <w:tcBorders>
          <w:top w:val="none" w:color="000000" w:sz="4" w:space="0"/>
          <w:left w:val="single" w:color="000000" w:themeColor="accent4" w:sz="4" w:space="0"/>
          <w:bottom w:val="none" w:color="000000" w:sz="4" w:space="0"/>
          <w:right w:val="none" w:color="000000" w:sz="4" w:space="0"/>
        </w:tcBorders>
      </w:tcPr>
    </w:tblStylePr>
    <w:tblStylePr w:type="lastRow">
      <w:rPr>
        <w:i/>
        <w:color w:val="cd9600" w:themeColor="accent4" w:themeTint="9A" w:themeShade="95"/>
        <w:sz w:val="22"/>
      </w:rPr>
      <w:tcPr>
        <w:shd w:val="clear" w:color="ffffff" w:fill="ffffff" w:themeFill="light1"/>
        <w:tcBorders>
          <w:top w:val="single" w:color="000000" w:themeColor="accent4" w:sz="4" w:space="0"/>
          <w:left w:val="none" w:color="000000" w:sz="4" w:space="0"/>
          <w:bottom w:val="none" w:color="000000" w:sz="4" w:space="0"/>
          <w:right w:val="none" w:color="000000" w:sz="4" w:space="0"/>
        </w:tcBorders>
      </w:tcPr>
    </w:tblStylePr>
    <w:tblStylePr w:type="wholeTable">
      <w:rPr>
        <w:color w:val="cd9600" w:themeColor="accent4" w:themeTint="9A" w:themeShade="95"/>
        <w:sz w:val="22"/>
      </w:rPr>
    </w:tblStylePr>
  </w:style>
  <w:style w:type="table" w:styleId="1020">
    <w:name w:val="List Table 7 Colorful - Accent 5"/>
    <w:basedOn w:val="1043"/>
    <w:uiPriority w:val="99"/>
    <w:pPr>
      <w:spacing w:after="0" w:line="240" w:lineRule="auto"/>
    </w:pPr>
    <w:tblPr>
      <w:tblStyleRowBandSize w:val="1"/>
      <w:tblStyleColBandSize w:val="1"/>
      <w:tblBorders>
        <w:right w:val="single" w:color="000000" w:themeColor="accent5" w:themeTint="9A" w:sz="4" w:space="0"/>
      </w:tblBorders>
    </w:tblPr>
    <w:tblStylePr w:type="band1Horz">
      <w:rPr>
        <w:color w:val="335e9e" w:themeColor="accent5" w:themeTint="9A" w:themeShade="95"/>
        <w:sz w:val="22"/>
      </w:rPr>
      <w:tcPr>
        <w:shd w:val="clear" w:color="ffffff" w:fill="cfdcf0" w:themeFill="accent5" w:themeFillTint="40"/>
      </w:tcPr>
    </w:tblStylePr>
    <w:tblStylePr w:type="band1Vert">
      <w:tcPr>
        <w:shd w:val="clear" w:color="ffffff" w:fill="cfdcf0" w:themeFill="accent5" w:themeFillTint="40"/>
      </w:tcPr>
    </w:tblStylePr>
    <w:tblStylePr w:type="band2Horz">
      <w:rPr>
        <w:color w:val="335e9e" w:themeColor="accent5" w:themeTint="9A" w:themeShade="95"/>
        <w:sz w:val="22"/>
      </w:rPr>
    </w:tblStylePr>
    <w:tblStylePr w:type="firstCol">
      <w:rPr>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sz="4" w:space="0"/>
        </w:tcBorders>
      </w:tcPr>
    </w:tblStylePr>
    <w:tblStylePr w:type="firstRow">
      <w:rPr>
        <w:i/>
        <w:color w:val="335e9e" w:themeColor="accent5" w:themeTint="9A" w:themeShade="95"/>
        <w:sz w:val="22"/>
      </w:rPr>
      <w:tcPr>
        <w:shd w:val="clear" w:color="ffffff" w:fill="ffffff" w:themeFill="light1"/>
        <w:tcBorders>
          <w:top w:val="none" w:color="000000" w:sz="4" w:space="0"/>
          <w:left w:val="none" w:color="000000" w:sz="4" w:space="0"/>
          <w:bottom w:val="single" w:color="000000" w:themeColor="accent5" w:sz="4" w:space="0"/>
          <w:right w:val="none" w:color="000000" w:sz="4" w:space="0"/>
        </w:tcBorders>
      </w:tcPr>
    </w:tblStylePr>
    <w:tblStylePr w:type="lastCol">
      <w:rPr>
        <w:i/>
        <w:color w:val="335e9e" w:themeColor="accent5" w:themeTint="9A" w:themeShade="95"/>
        <w:sz w:val="22"/>
      </w:rPr>
      <w:tcPr>
        <w:shd w:val="clear" w:color="ffffff"/>
        <w:tcBorders>
          <w:top w:val="none" w:color="000000" w:sz="4" w:space="0"/>
          <w:left w:val="single" w:color="000000" w:themeColor="accent5" w:sz="4" w:space="0"/>
          <w:bottom w:val="none" w:color="000000" w:sz="4" w:space="0"/>
          <w:right w:val="none" w:color="000000" w:sz="4" w:space="0"/>
        </w:tcBorders>
      </w:tcPr>
    </w:tblStylePr>
    <w:tblStylePr w:type="lastRow">
      <w:rPr>
        <w:i/>
        <w:color w:val="335e9e" w:themeColor="accent5" w:themeTint="9A" w:themeShade="95"/>
        <w:sz w:val="22"/>
      </w:rPr>
      <w:tcPr>
        <w:shd w:val="clear" w:color="ffffff" w:fill="ffffff" w:themeFill="light1"/>
        <w:tcBorders>
          <w:top w:val="single" w:color="000000" w:themeColor="accent5" w:sz="4" w:space="0"/>
          <w:left w:val="none" w:color="000000" w:sz="4" w:space="0"/>
          <w:bottom w:val="none" w:color="000000" w:sz="4" w:space="0"/>
          <w:right w:val="none" w:color="000000" w:sz="4" w:space="0"/>
        </w:tcBorders>
      </w:tcPr>
    </w:tblStylePr>
    <w:tblStylePr w:type="wholeTable">
      <w:rPr>
        <w:color w:val="335e9e" w:themeColor="accent5" w:themeTint="9A" w:themeShade="95"/>
        <w:sz w:val="22"/>
      </w:rPr>
    </w:tblStylePr>
  </w:style>
  <w:style w:type="table" w:styleId="1021">
    <w:name w:val="List Table 7 Colorful - Accent 6"/>
    <w:basedOn w:val="1043"/>
    <w:uiPriority w:val="99"/>
    <w:pPr>
      <w:spacing w:after="0" w:line="240" w:lineRule="auto"/>
    </w:pPr>
    <w:tblPr>
      <w:tblStyleRowBandSize w:val="1"/>
      <w:tblStyleColBandSize w:val="1"/>
      <w:tblBorders>
        <w:right w:val="single" w:color="000000" w:themeColor="accent6" w:themeTint="98" w:sz="4" w:space="0"/>
      </w:tblBorders>
    </w:tblPr>
    <w:tblStylePr w:type="band1Horz">
      <w:rPr>
        <w:color w:val="5f8f3c" w:themeColor="accent6" w:themeTint="98" w:themeShade="95"/>
        <w:sz w:val="22"/>
      </w:rPr>
      <w:tcPr>
        <w:shd w:val="clear" w:color="ffffff" w:fill="dbebd0" w:themeFill="accent6" w:themeFillTint="40"/>
      </w:tcPr>
    </w:tblStylePr>
    <w:tblStylePr w:type="band1Vert">
      <w:tcPr>
        <w:shd w:val="clear" w:color="ffffff" w:fill="dbebd0" w:themeFill="accent6" w:themeFillTint="40"/>
      </w:tcPr>
    </w:tblStylePr>
    <w:tblStylePr w:type="band2Horz">
      <w:rPr>
        <w:color w:val="5f8f3c" w:themeColor="accent6" w:themeTint="98" w:themeShade="95"/>
        <w:sz w:val="22"/>
      </w:rPr>
    </w:tblStylePr>
    <w:tblStylePr w:type="firstCol">
      <w:rPr>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sz="4" w:space="0"/>
        </w:tcBorders>
      </w:tcPr>
    </w:tblStylePr>
    <w:tblStylePr w:type="firstRow">
      <w:rPr>
        <w:i/>
        <w:color w:val="5f8f3c" w:themeColor="accent6" w:themeTint="98" w:themeShade="95"/>
        <w:sz w:val="22"/>
      </w:rPr>
      <w:tcPr>
        <w:shd w:val="clear" w:color="ffffff" w:fill="ffffff" w:themeFill="light1"/>
        <w:tcBorders>
          <w:top w:val="none" w:color="000000" w:sz="4" w:space="0"/>
          <w:left w:val="none" w:color="000000" w:sz="4" w:space="0"/>
          <w:bottom w:val="single" w:color="000000" w:themeColor="accent6" w:sz="4" w:space="0"/>
          <w:right w:val="none" w:color="000000" w:sz="4" w:space="0"/>
        </w:tcBorders>
      </w:tcPr>
    </w:tblStylePr>
    <w:tblStylePr w:type="lastCol">
      <w:rPr>
        <w:i/>
        <w:color w:val="5f8f3c" w:themeColor="accent6" w:themeTint="98" w:themeShade="95"/>
        <w:sz w:val="22"/>
      </w:rPr>
      <w:tcPr>
        <w:shd w:val="clear" w:color="ffffff"/>
        <w:tcBorders>
          <w:top w:val="none" w:color="000000" w:sz="4" w:space="0"/>
          <w:left w:val="single" w:color="000000" w:themeColor="accent6" w:sz="4" w:space="0"/>
          <w:bottom w:val="none" w:color="000000" w:sz="4" w:space="0"/>
          <w:right w:val="none" w:color="000000" w:sz="4" w:space="0"/>
        </w:tcBorders>
      </w:tcPr>
    </w:tblStylePr>
    <w:tblStylePr w:type="lastRow">
      <w:rPr>
        <w:i/>
        <w:color w:val="5f8f3c" w:themeColor="accent6" w:themeTint="98" w:themeShade="95"/>
        <w:sz w:val="22"/>
      </w:rPr>
      <w:tcPr>
        <w:shd w:val="clear" w:color="ffffff" w:fill="ffffff" w:themeFill="light1"/>
        <w:tcBorders>
          <w:top w:val="single" w:color="000000" w:themeColor="accent6" w:sz="4" w:space="0"/>
          <w:left w:val="none" w:color="000000" w:sz="4" w:space="0"/>
          <w:bottom w:val="none" w:color="000000" w:sz="4" w:space="0"/>
          <w:right w:val="none" w:color="000000" w:sz="4" w:space="0"/>
        </w:tcBorders>
      </w:tcPr>
    </w:tblStylePr>
    <w:tblStylePr w:type="wholeTable">
      <w:rPr>
        <w:color w:val="5f8f3c" w:themeColor="accent6" w:themeTint="98" w:themeShade="95"/>
        <w:sz w:val="22"/>
      </w:rPr>
    </w:tblStylePr>
  </w:style>
  <w:style w:type="table" w:styleId="1022">
    <w:name w:val="Lined - Accent"/>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023">
    <w:name w:val="Lined - Accent 1"/>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cce0f1" w:themeFill="accent1" w:themeFillTint="50"/>
      </w:tcPr>
    </w:tblStylePr>
    <w:tblStylePr w:type="band2Vert">
      <w:rPr>
        <w:sz w:val="22"/>
      </w:rPr>
      <w:tcPr>
        <w:shd w:val="clear" w:color="ffffff" w:fill="cce0f1" w:themeFill="accent1" w:themeFillTint="50"/>
      </w:tcPr>
    </w:tblStylePr>
    <w:tblStylePr w:type="firstCol">
      <w:rPr>
        <w:sz w:val="22"/>
      </w:rPr>
      <w:tcPr>
        <w:shd w:val="clear" w:color="ffffff" w:fill="67a4d8" w:themeFill="accent1" w:themeFillTint="EA"/>
      </w:tcPr>
    </w:tblStylePr>
    <w:tblStylePr w:type="firstRow">
      <w:rPr>
        <w:sz w:val="22"/>
      </w:rPr>
      <w:tcPr>
        <w:shd w:val="clear" w:color="ffffff" w:fill="67a4d8" w:themeFill="accent1" w:themeFillTint="EA"/>
      </w:tcPr>
    </w:tblStylePr>
    <w:tblStylePr w:type="lastCol">
      <w:rPr>
        <w:sz w:val="22"/>
      </w:rPr>
      <w:tcPr>
        <w:shd w:val="clear" w:color="ffffff" w:fill="67a4d8" w:themeFill="accent1" w:themeFillTint="EA"/>
      </w:tcPr>
    </w:tblStylePr>
    <w:tblStylePr w:type="lastRow">
      <w:rPr>
        <w:sz w:val="22"/>
      </w:rPr>
      <w:tcPr>
        <w:shd w:val="clear" w:color="ffffff" w:fill="67a4d8" w:themeFill="accent1" w:themeFillTint="EA"/>
      </w:tcPr>
    </w:tblStylePr>
  </w:style>
  <w:style w:type="table" w:styleId="1024">
    <w:name w:val="Lined - Accent 2"/>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be5d6" w:themeFill="accent2" w:themeFillTint="32"/>
      </w:tcPr>
    </w:tblStylePr>
    <w:tblStylePr w:type="band2Vert">
      <w:rPr>
        <w:sz w:val="22"/>
      </w:rPr>
      <w:tcPr>
        <w:shd w:val="clear" w:color="ffffff" w:fill="fbe5d6" w:themeFill="accent2" w:themeFillTint="32"/>
      </w:tcPr>
    </w:tblStylePr>
    <w:tblStylePr w:type="firstCol">
      <w:rPr>
        <w:sz w:val="22"/>
      </w:rPr>
      <w:tcPr>
        <w:shd w:val="clear" w:color="ffffff" w:fill="f4b185" w:themeFill="accent2" w:themeFillTint="97"/>
      </w:tcPr>
    </w:tblStylePr>
    <w:tblStylePr w:type="firstRow">
      <w:rPr>
        <w:sz w:val="22"/>
      </w:rPr>
      <w:tcPr>
        <w:shd w:val="clear" w:color="ffffff" w:fill="f4b185" w:themeFill="accent2" w:themeFillTint="97"/>
      </w:tcPr>
    </w:tblStylePr>
    <w:tblStylePr w:type="lastCol">
      <w:rPr>
        <w:sz w:val="22"/>
      </w:rPr>
      <w:tcPr>
        <w:shd w:val="clear" w:color="ffffff" w:fill="f4b185" w:themeFill="accent2" w:themeFillTint="97"/>
      </w:tcPr>
    </w:tblStylePr>
    <w:tblStylePr w:type="lastRow">
      <w:rPr>
        <w:sz w:val="22"/>
      </w:rPr>
      <w:tcPr>
        <w:shd w:val="clear" w:color="ffffff" w:fill="f4b185" w:themeFill="accent2" w:themeFillTint="97"/>
      </w:tcPr>
    </w:tblStylePr>
  </w:style>
  <w:style w:type="table" w:styleId="1025">
    <w:name w:val="Lined - Accent 3"/>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deded" w:themeFill="accent3" w:themeFillTint="34"/>
      </w:tcPr>
    </w:tblStylePr>
    <w:tblStylePr w:type="band2Vert">
      <w:rPr>
        <w:sz w:val="22"/>
      </w:rPr>
      <w:tcPr>
        <w:shd w:val="clear" w:color="ffffff" w:fill="ededed" w:themeFill="accent3" w:themeFillTint="34"/>
      </w:tcPr>
    </w:tblStylePr>
    <w:tblStylePr w:type="firstCol">
      <w:rPr>
        <w:sz w:val="22"/>
      </w:rPr>
      <w:tcPr>
        <w:shd w:val="clear" w:color="ffffff" w:fill="a5a5a5" w:themeFill="accent3" w:themeFillTint="FE"/>
      </w:tcPr>
    </w:tblStylePr>
    <w:tblStylePr w:type="firstRow">
      <w:rPr>
        <w:sz w:val="22"/>
      </w:rPr>
      <w:tcPr>
        <w:shd w:val="clear" w:color="ffffff" w:fill="a5a5a5" w:themeFill="accent3" w:themeFillTint="FE"/>
      </w:tcPr>
    </w:tblStylePr>
    <w:tblStylePr w:type="lastCol">
      <w:rPr>
        <w:sz w:val="22"/>
      </w:rPr>
      <w:tcPr>
        <w:shd w:val="clear" w:color="ffffff" w:fill="a5a5a5" w:themeFill="accent3" w:themeFillTint="FE"/>
      </w:tcPr>
    </w:tblStylePr>
    <w:tblStylePr w:type="lastRow">
      <w:rPr>
        <w:sz w:val="22"/>
      </w:rPr>
      <w:tcPr>
        <w:shd w:val="clear" w:color="ffffff" w:fill="a5a5a5" w:themeFill="accent3" w:themeFillTint="FE"/>
      </w:tcPr>
    </w:tblStylePr>
  </w:style>
  <w:style w:type="table" w:styleId="1026">
    <w:name w:val="Lined - Accent 4"/>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fef2cb" w:themeFill="accent4" w:themeFillTint="34"/>
      </w:tcPr>
    </w:tblStylePr>
    <w:tblStylePr w:type="band2Vert">
      <w:rPr>
        <w:sz w:val="22"/>
      </w:rPr>
      <w:tcPr>
        <w:shd w:val="clear" w:color="ffffff" w:fill="fef2cb" w:themeFill="accent4" w:themeFillTint="34"/>
      </w:tcPr>
    </w:tblStylePr>
    <w:tblStylePr w:type="firstCol">
      <w:rPr>
        <w:sz w:val="22"/>
      </w:rPr>
      <w:tcPr>
        <w:shd w:val="clear" w:color="ffffff" w:fill="ffd864" w:themeFill="accent4" w:themeFillTint="9A"/>
      </w:tcPr>
    </w:tblStylePr>
    <w:tblStylePr w:type="firstRow">
      <w:rPr>
        <w:sz w:val="22"/>
      </w:rPr>
      <w:tcPr>
        <w:shd w:val="clear" w:color="ffffff" w:fill="ffd864" w:themeFill="accent4" w:themeFillTint="9A"/>
      </w:tcPr>
    </w:tblStylePr>
    <w:tblStylePr w:type="lastCol">
      <w:rPr>
        <w:sz w:val="22"/>
      </w:rPr>
      <w:tcPr>
        <w:shd w:val="clear" w:color="ffffff" w:fill="ffd864" w:themeFill="accent4" w:themeFillTint="9A"/>
      </w:tcPr>
    </w:tblStylePr>
    <w:tblStylePr w:type="lastRow">
      <w:rPr>
        <w:sz w:val="22"/>
      </w:rPr>
      <w:tcPr>
        <w:shd w:val="clear" w:color="ffffff" w:fill="ffd864" w:themeFill="accent4" w:themeFillTint="9A"/>
      </w:tcPr>
    </w:tblStylePr>
  </w:style>
  <w:style w:type="table" w:styleId="1027">
    <w:name w:val="Lined - Accent 5"/>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d9e2f2" w:themeFill="accent5" w:themeFillTint="34"/>
      </w:tcPr>
    </w:tblStylePr>
    <w:tblStylePr w:type="band2Vert">
      <w:rPr>
        <w:sz w:val="22"/>
      </w:rPr>
      <w:tcPr>
        <w:shd w:val="clear" w:color="ffffff" w:fill="d9e2f2" w:themeFill="accent5" w:themeFillTint="34"/>
      </w:tcPr>
    </w:tblStylePr>
    <w:tblStylePr w:type="firstCol">
      <w:rPr>
        <w:sz w:val="22"/>
      </w:rPr>
      <w:tcPr>
        <w:shd w:val="clear" w:color="ffffff" w:fill="4472c4" w:themeFill="accent5"/>
      </w:tcPr>
    </w:tblStylePr>
    <w:tblStylePr w:type="firstRow">
      <w:rPr>
        <w:sz w:val="22"/>
      </w:rPr>
      <w:tcPr>
        <w:shd w:val="clear" w:color="ffffff" w:fill="4472c4" w:themeFill="accent5"/>
      </w:tcPr>
    </w:tblStylePr>
    <w:tblStylePr w:type="lastCol">
      <w:rPr>
        <w:sz w:val="22"/>
      </w:rPr>
      <w:tcPr>
        <w:shd w:val="clear" w:color="ffffff" w:fill="4472c4" w:themeFill="accent5"/>
      </w:tcPr>
    </w:tblStylePr>
    <w:tblStylePr w:type="lastRow">
      <w:rPr>
        <w:sz w:val="22"/>
      </w:rPr>
      <w:tcPr>
        <w:shd w:val="clear" w:color="ffffff" w:fill="4472c4" w:themeFill="accent5"/>
      </w:tcPr>
    </w:tblStylePr>
  </w:style>
  <w:style w:type="table" w:styleId="1028">
    <w:name w:val="Lined - Accent 6"/>
    <w:basedOn w:val="1043"/>
    <w:uiPriority w:val="99"/>
    <w:pPr>
      <w:spacing w:after="0" w:line="240" w:lineRule="auto"/>
    </w:pPr>
    <w:tblPr>
      <w:tblStyleRowBandSize w:val="1"/>
      <w:tblStyleColBandSize w:val="1"/>
    </w:tblPr>
    <w:tblStylePr w:type="band1Horz">
      <w:rPr>
        <w:sz w:val="22"/>
      </w:rPr>
    </w:tblStylePr>
    <w:tblStylePr w:type="band1Vert">
      <w:rPr>
        <w:sz w:val="22"/>
      </w:rPr>
    </w:tblStylePr>
    <w:tblStylePr w:type="band2Horz">
      <w:rPr>
        <w:sz w:val="22"/>
      </w:rPr>
      <w:tcPr>
        <w:shd w:val="clear" w:color="ffffff" w:fill="e2efd8" w:themeFill="accent6" w:themeFillTint="34"/>
      </w:tcPr>
    </w:tblStylePr>
    <w:tblStylePr w:type="band2Vert">
      <w:rPr>
        <w:sz w:val="22"/>
      </w:rPr>
      <w:tcPr>
        <w:shd w:val="clear" w:color="ffffff" w:fill="e2efd8" w:themeFill="accent6" w:themeFillTint="34"/>
      </w:tcPr>
    </w:tblStylePr>
    <w:tblStylePr w:type="firstCol">
      <w:rPr>
        <w:sz w:val="22"/>
      </w:rPr>
      <w:tcPr>
        <w:shd w:val="clear" w:color="ffffff" w:fill="70ad47" w:themeFill="accent6"/>
      </w:tcPr>
    </w:tblStylePr>
    <w:tblStylePr w:type="firstRow">
      <w:rPr>
        <w:sz w:val="22"/>
      </w:rPr>
      <w:tcPr>
        <w:shd w:val="clear" w:color="ffffff" w:fill="70ad47" w:themeFill="accent6"/>
      </w:tcPr>
    </w:tblStylePr>
    <w:tblStylePr w:type="lastCol">
      <w:rPr>
        <w:sz w:val="22"/>
      </w:rPr>
      <w:tcPr>
        <w:shd w:val="clear" w:color="ffffff" w:fill="70ad47" w:themeFill="accent6"/>
      </w:tcPr>
    </w:tblStylePr>
    <w:tblStylePr w:type="lastRow">
      <w:rPr>
        <w:sz w:val="22"/>
      </w:rPr>
      <w:tcPr>
        <w:shd w:val="clear" w:color="ffffff" w:fill="70ad47" w:themeFill="accent6"/>
      </w:tcPr>
    </w:tblStylePr>
  </w:style>
  <w:style w:type="table" w:styleId="1029">
    <w:name w:val="Bordered &amp; Lined - Accent"/>
    <w:basedOn w:val="1043"/>
    <w:uiPriority w:val="99"/>
    <w:pPr>
      <w:spacing w:after="0" w:line="240" w:lineRule="auto"/>
    </w:p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sz w:val="22"/>
      </w:rPr>
    </w:tblStylePr>
    <w:tblStylePr w:type="band1Vert">
      <w:rPr>
        <w:sz w:val="22"/>
      </w:rPr>
    </w:tblStylePr>
    <w:tblStylePr w:type="band2Horz">
      <w:rPr>
        <w:sz w:val="22"/>
      </w:rPr>
      <w:tcPr>
        <w:shd w:val="clear" w:color="ffffff" w:fill="f2f2f2" w:themeFill="text1" w:themeFillTint="00"/>
      </w:tcPr>
    </w:tblStylePr>
    <w:tblStylePr w:type="band2Vert">
      <w:rPr>
        <w:sz w:val="22"/>
      </w:rPr>
      <w:tcPr>
        <w:shd w:val="clear" w:color="ffffff" w:fill="f2f2f2" w:themeFill="text1" w:themeFillTint="00"/>
      </w:tcPr>
    </w:tblStylePr>
    <w:tblStylePr w:type="firstCol">
      <w:rPr>
        <w:sz w:val="22"/>
      </w:rPr>
      <w:tcPr>
        <w:shd w:val="clear" w:color="ffffff" w:fill="7f7f7f" w:themeFill="text1" w:themeFillTint="80"/>
      </w:tcPr>
    </w:tblStylePr>
    <w:tblStylePr w:type="firstRow">
      <w:rPr>
        <w:sz w:val="22"/>
      </w:rPr>
      <w:tcPr>
        <w:shd w:val="clear" w:color="ffffff" w:fill="7f7f7f" w:themeFill="text1" w:themeFillTint="80"/>
      </w:tcPr>
    </w:tblStylePr>
    <w:tblStylePr w:type="lastCol">
      <w:rPr>
        <w:sz w:val="22"/>
      </w:rPr>
      <w:tcPr>
        <w:shd w:val="clear" w:color="ffffff" w:fill="7f7f7f" w:themeFill="text1" w:themeFillTint="80"/>
      </w:tcPr>
    </w:tblStylePr>
    <w:tblStylePr w:type="lastRow">
      <w:rPr>
        <w:sz w:val="22"/>
      </w:rPr>
      <w:tcPr>
        <w:shd w:val="clear" w:color="ffffff" w:fill="7f7f7f" w:themeFill="text1" w:themeFillTint="80"/>
      </w:tcPr>
    </w:tblStylePr>
  </w:style>
  <w:style w:type="table" w:styleId="1030">
    <w:name w:val="Bordered &amp; Lined - Accent 1"/>
    <w:basedOn w:val="1043"/>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blStylePr w:type="band1Horz">
      <w:rPr>
        <w:sz w:val="22"/>
      </w:rPr>
    </w:tblStylePr>
    <w:tblStylePr w:type="band1Vert">
      <w:rPr>
        <w:sz w:val="22"/>
      </w:rPr>
    </w:tblStylePr>
    <w:tblStylePr w:type="band2Horz">
      <w:rPr>
        <w:sz w:val="22"/>
      </w:rPr>
      <w:tcPr>
        <w:shd w:val="clear" w:color="ffffff" w:fill="cce0f1" w:themeFill="accent1" w:themeFillTint="50"/>
      </w:tcPr>
    </w:tblStylePr>
    <w:tblStylePr w:type="band2Vert">
      <w:rPr>
        <w:sz w:val="22"/>
      </w:rPr>
      <w:tcPr>
        <w:shd w:val="clear" w:color="ffffff" w:fill="cce0f1" w:themeFill="accent1" w:themeFillTint="50"/>
      </w:tcPr>
    </w:tblStylePr>
    <w:tblStylePr w:type="firstCol">
      <w:rPr>
        <w:sz w:val="22"/>
      </w:rPr>
      <w:tcPr>
        <w:shd w:val="clear" w:color="ffffff" w:fill="67a4d8" w:themeFill="accent1" w:themeFillTint="EA"/>
      </w:tcPr>
    </w:tblStylePr>
    <w:tblStylePr w:type="firstRow">
      <w:rPr>
        <w:sz w:val="22"/>
      </w:rPr>
      <w:tcPr>
        <w:shd w:val="clear" w:color="ffffff" w:fill="67a4d8" w:themeFill="accent1" w:themeFillTint="EA"/>
      </w:tcPr>
    </w:tblStylePr>
    <w:tblStylePr w:type="lastCol">
      <w:rPr>
        <w:sz w:val="22"/>
      </w:rPr>
      <w:tcPr>
        <w:shd w:val="clear" w:color="ffffff" w:fill="67a4d8" w:themeFill="accent1" w:themeFillTint="EA"/>
      </w:tcPr>
    </w:tblStylePr>
    <w:tblStylePr w:type="lastRow">
      <w:rPr>
        <w:sz w:val="22"/>
      </w:rPr>
      <w:tcPr>
        <w:shd w:val="clear" w:color="ffffff" w:fill="67a4d8" w:themeFill="accent1" w:themeFillTint="EA"/>
      </w:tcPr>
    </w:tblStylePr>
  </w:style>
  <w:style w:type="table" w:styleId="1031">
    <w:name w:val="Bordered &amp; Lined - Accent 2"/>
    <w:basedOn w:val="1043"/>
    <w:uiPriority w:val="99"/>
    <w:pPr>
      <w:spacing w:after="0" w:line="240" w:lineRule="auto"/>
    </w:p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blStylePr w:type="band1Horz">
      <w:rPr>
        <w:sz w:val="22"/>
      </w:rPr>
    </w:tblStylePr>
    <w:tblStylePr w:type="band1Vert">
      <w:rPr>
        <w:sz w:val="22"/>
      </w:rPr>
    </w:tblStylePr>
    <w:tblStylePr w:type="band2Horz">
      <w:rPr>
        <w:sz w:val="22"/>
      </w:rPr>
      <w:tcPr>
        <w:shd w:val="clear" w:color="ffffff" w:fill="fbe5d6" w:themeFill="accent2" w:themeFillTint="32"/>
      </w:tcPr>
    </w:tblStylePr>
    <w:tblStylePr w:type="band2Vert">
      <w:rPr>
        <w:sz w:val="22"/>
      </w:rPr>
      <w:tcPr>
        <w:shd w:val="clear" w:color="ffffff" w:fill="fbe5d6" w:themeFill="accent2" w:themeFillTint="32"/>
      </w:tcPr>
    </w:tblStylePr>
    <w:tblStylePr w:type="firstCol">
      <w:rPr>
        <w:sz w:val="22"/>
      </w:rPr>
      <w:tcPr>
        <w:shd w:val="clear" w:color="ffffff" w:fill="f4b185" w:themeFill="accent2" w:themeFillTint="97"/>
      </w:tcPr>
    </w:tblStylePr>
    <w:tblStylePr w:type="firstRow">
      <w:rPr>
        <w:sz w:val="22"/>
      </w:rPr>
      <w:tcPr>
        <w:shd w:val="clear" w:color="ffffff" w:fill="f4b185" w:themeFill="accent2" w:themeFillTint="97"/>
      </w:tcPr>
    </w:tblStylePr>
    <w:tblStylePr w:type="lastCol">
      <w:rPr>
        <w:sz w:val="22"/>
      </w:rPr>
      <w:tcPr>
        <w:shd w:val="clear" w:color="ffffff" w:fill="f4b185" w:themeFill="accent2" w:themeFillTint="97"/>
      </w:tcPr>
    </w:tblStylePr>
    <w:tblStylePr w:type="lastRow">
      <w:rPr>
        <w:sz w:val="22"/>
      </w:rPr>
      <w:tcPr>
        <w:shd w:val="clear" w:color="ffffff" w:fill="f4b185" w:themeFill="accent2" w:themeFillTint="97"/>
      </w:tcPr>
    </w:tblStylePr>
  </w:style>
  <w:style w:type="table" w:styleId="1032">
    <w:name w:val="Bordered &amp; Lined - Accent 3"/>
    <w:basedOn w:val="1043"/>
    <w:uiPriority w:val="99"/>
    <w:pPr>
      <w:spacing w:after="0" w:line="240" w:lineRule="auto"/>
    </w:p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blStylePr w:type="band1Horz">
      <w:rPr>
        <w:sz w:val="22"/>
      </w:rPr>
    </w:tblStylePr>
    <w:tblStylePr w:type="band1Vert">
      <w:rPr>
        <w:sz w:val="22"/>
      </w:rPr>
    </w:tblStylePr>
    <w:tblStylePr w:type="band2Horz">
      <w:rPr>
        <w:sz w:val="22"/>
      </w:rPr>
      <w:tcPr>
        <w:shd w:val="clear" w:color="ffffff" w:fill="ededed" w:themeFill="accent3" w:themeFillTint="34"/>
      </w:tcPr>
    </w:tblStylePr>
    <w:tblStylePr w:type="band2Vert">
      <w:rPr>
        <w:sz w:val="22"/>
      </w:rPr>
      <w:tcPr>
        <w:shd w:val="clear" w:color="ffffff" w:fill="ededed" w:themeFill="accent3" w:themeFillTint="34"/>
      </w:tcPr>
    </w:tblStylePr>
    <w:tblStylePr w:type="firstCol">
      <w:rPr>
        <w:sz w:val="22"/>
      </w:rPr>
      <w:tcPr>
        <w:shd w:val="clear" w:color="ffffff" w:fill="a5a5a5" w:themeFill="accent3" w:themeFillTint="FE"/>
      </w:tcPr>
    </w:tblStylePr>
    <w:tblStylePr w:type="firstRow">
      <w:rPr>
        <w:sz w:val="22"/>
      </w:rPr>
      <w:tcPr>
        <w:shd w:val="clear" w:color="ffffff" w:fill="a5a5a5" w:themeFill="accent3" w:themeFillTint="FE"/>
      </w:tcPr>
    </w:tblStylePr>
    <w:tblStylePr w:type="lastCol">
      <w:rPr>
        <w:sz w:val="22"/>
      </w:rPr>
      <w:tcPr>
        <w:shd w:val="clear" w:color="ffffff" w:fill="a5a5a5" w:themeFill="accent3" w:themeFillTint="FE"/>
      </w:tcPr>
    </w:tblStylePr>
    <w:tblStylePr w:type="lastRow">
      <w:rPr>
        <w:sz w:val="22"/>
      </w:rPr>
      <w:tcPr>
        <w:shd w:val="clear" w:color="ffffff" w:fill="a5a5a5" w:themeFill="accent3" w:themeFillTint="FE"/>
      </w:tcPr>
    </w:tblStylePr>
  </w:style>
  <w:style w:type="table" w:styleId="1033">
    <w:name w:val="Bordered &amp; Lined - Accent 4"/>
    <w:basedOn w:val="1043"/>
    <w:uiPriority w:val="99"/>
    <w:pPr>
      <w:spacing w:after="0" w:line="240" w:lineRule="auto"/>
    </w:p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blStylePr w:type="band1Horz">
      <w:rPr>
        <w:sz w:val="22"/>
      </w:rPr>
    </w:tblStylePr>
    <w:tblStylePr w:type="band1Vert">
      <w:rPr>
        <w:sz w:val="22"/>
      </w:rPr>
    </w:tblStylePr>
    <w:tblStylePr w:type="band2Horz">
      <w:rPr>
        <w:sz w:val="22"/>
      </w:rPr>
      <w:tcPr>
        <w:shd w:val="clear" w:color="ffffff" w:fill="fef2cb" w:themeFill="accent4" w:themeFillTint="34"/>
      </w:tcPr>
    </w:tblStylePr>
    <w:tblStylePr w:type="band2Vert">
      <w:rPr>
        <w:sz w:val="22"/>
      </w:rPr>
      <w:tcPr>
        <w:shd w:val="clear" w:color="ffffff" w:fill="fef2cb" w:themeFill="accent4" w:themeFillTint="34"/>
      </w:tcPr>
    </w:tblStylePr>
    <w:tblStylePr w:type="firstCol">
      <w:rPr>
        <w:sz w:val="22"/>
      </w:rPr>
      <w:tcPr>
        <w:shd w:val="clear" w:color="ffffff" w:fill="ffd864" w:themeFill="accent4" w:themeFillTint="9A"/>
      </w:tcPr>
    </w:tblStylePr>
    <w:tblStylePr w:type="firstRow">
      <w:rPr>
        <w:sz w:val="22"/>
      </w:rPr>
      <w:tcPr>
        <w:shd w:val="clear" w:color="ffffff" w:fill="ffd864" w:themeFill="accent4" w:themeFillTint="9A"/>
      </w:tcPr>
    </w:tblStylePr>
    <w:tblStylePr w:type="lastCol">
      <w:rPr>
        <w:sz w:val="22"/>
      </w:rPr>
      <w:tcPr>
        <w:shd w:val="clear" w:color="ffffff" w:fill="ffd864" w:themeFill="accent4" w:themeFillTint="9A"/>
      </w:tcPr>
    </w:tblStylePr>
    <w:tblStylePr w:type="lastRow">
      <w:rPr>
        <w:sz w:val="22"/>
      </w:rPr>
      <w:tcPr>
        <w:shd w:val="clear" w:color="ffffff" w:fill="ffd864" w:themeFill="accent4" w:themeFillTint="9A"/>
      </w:tcPr>
    </w:tblStylePr>
  </w:style>
  <w:style w:type="table" w:styleId="1034">
    <w:name w:val="Bordered &amp; Lined - Accent 5"/>
    <w:basedOn w:val="1043"/>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sz w:val="22"/>
      </w:rPr>
    </w:tblStylePr>
    <w:tblStylePr w:type="band1Vert">
      <w:rPr>
        <w:sz w:val="22"/>
      </w:rPr>
    </w:tblStylePr>
    <w:tblStylePr w:type="band2Horz">
      <w:rPr>
        <w:sz w:val="22"/>
      </w:rPr>
      <w:tcPr>
        <w:shd w:val="clear" w:color="ffffff" w:fill="d9e2f2" w:themeFill="accent5" w:themeFillTint="34"/>
      </w:tcPr>
    </w:tblStylePr>
    <w:tblStylePr w:type="band2Vert">
      <w:rPr>
        <w:sz w:val="22"/>
      </w:rPr>
      <w:tcPr>
        <w:shd w:val="clear" w:color="ffffff" w:fill="d9e2f2" w:themeFill="accent5" w:themeFillTint="34"/>
      </w:tcPr>
    </w:tblStylePr>
    <w:tblStylePr w:type="firstCol">
      <w:rPr>
        <w:sz w:val="22"/>
      </w:rPr>
      <w:tcPr>
        <w:shd w:val="clear" w:color="ffffff" w:fill="4472c4" w:themeFill="accent5"/>
      </w:tcPr>
    </w:tblStylePr>
    <w:tblStylePr w:type="firstRow">
      <w:rPr>
        <w:sz w:val="22"/>
      </w:rPr>
      <w:tcPr>
        <w:shd w:val="clear" w:color="ffffff" w:fill="4472c4" w:themeFill="accent5"/>
      </w:tcPr>
    </w:tblStylePr>
    <w:tblStylePr w:type="lastCol">
      <w:rPr>
        <w:sz w:val="22"/>
      </w:rPr>
      <w:tcPr>
        <w:shd w:val="clear" w:color="ffffff" w:fill="4472c4" w:themeFill="accent5"/>
      </w:tcPr>
    </w:tblStylePr>
    <w:tblStylePr w:type="lastRow">
      <w:rPr>
        <w:sz w:val="22"/>
      </w:rPr>
      <w:tcPr>
        <w:shd w:val="clear" w:color="ffffff" w:fill="4472c4" w:themeFill="accent5"/>
      </w:tcPr>
    </w:tblStylePr>
  </w:style>
  <w:style w:type="table" w:styleId="1035">
    <w:name w:val="Bordered &amp; Lined - Accent 6"/>
    <w:basedOn w:val="1043"/>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sz w:val="22"/>
      </w:rPr>
    </w:tblStylePr>
    <w:tblStylePr w:type="band1Vert">
      <w:rPr>
        <w:sz w:val="22"/>
      </w:rPr>
    </w:tblStylePr>
    <w:tblStylePr w:type="band2Horz">
      <w:rPr>
        <w:sz w:val="22"/>
      </w:rPr>
      <w:tcPr>
        <w:shd w:val="clear" w:color="ffffff" w:fill="e2efd8" w:themeFill="accent6" w:themeFillTint="34"/>
      </w:tcPr>
    </w:tblStylePr>
    <w:tblStylePr w:type="band2Vert">
      <w:rPr>
        <w:sz w:val="22"/>
      </w:rPr>
      <w:tcPr>
        <w:shd w:val="clear" w:color="ffffff" w:fill="e2efd8" w:themeFill="accent6" w:themeFillTint="34"/>
      </w:tcPr>
    </w:tblStylePr>
    <w:tblStylePr w:type="firstCol">
      <w:rPr>
        <w:sz w:val="22"/>
      </w:rPr>
      <w:tcPr>
        <w:shd w:val="clear" w:color="ffffff" w:fill="70ad47" w:themeFill="accent6"/>
      </w:tcPr>
    </w:tblStylePr>
    <w:tblStylePr w:type="firstRow">
      <w:rPr>
        <w:sz w:val="22"/>
      </w:rPr>
      <w:tcPr>
        <w:shd w:val="clear" w:color="ffffff" w:fill="70ad47" w:themeFill="accent6"/>
      </w:tcPr>
    </w:tblStylePr>
    <w:tblStylePr w:type="lastCol">
      <w:rPr>
        <w:sz w:val="22"/>
      </w:rPr>
      <w:tcPr>
        <w:shd w:val="clear" w:color="ffffff" w:fill="70ad47" w:themeFill="accent6"/>
      </w:tcPr>
    </w:tblStylePr>
    <w:tblStylePr w:type="lastRow">
      <w:rPr>
        <w:sz w:val="22"/>
      </w:rPr>
      <w:tcPr>
        <w:shd w:val="clear" w:color="ffffff" w:fill="70ad47" w:themeFill="accent6"/>
      </w:tcPr>
    </w:tblStylePr>
  </w:style>
  <w:style w:type="table" w:styleId="1036">
    <w:name w:val="Bordered"/>
    <w:basedOn w:val="1043"/>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sz w:val="22"/>
      </w:rPr>
    </w:tblStylePr>
    <w:tblStylePr w:type="firstRow">
      <w:rPr>
        <w:sz w:val="22"/>
      </w:rPr>
      <w:tcPr>
        <w:tcBorders>
          <w:bottom w:val="single" w:color="000000" w:themeColor="text1" w:sz="12" w:space="0"/>
        </w:tcBorders>
      </w:tcPr>
    </w:tblStylePr>
    <w:tblStylePr w:type="lastCol">
      <w:rPr>
        <w:sz w:val="22"/>
      </w:rPr>
      <w:tcPr>
        <w:tcBorders>
          <w:left w:val="single" w:color="000000" w:themeColor="text1" w:sz="12" w:space="0"/>
        </w:tcBorders>
      </w:tcPr>
    </w:tblStylePr>
    <w:tblStylePr w:type="lastRow">
      <w:rPr>
        <w:sz w:val="22"/>
      </w:rPr>
      <w:tcPr>
        <w:tcBorders>
          <w:top w:val="single" w:color="000000" w:themeColor="text1" w:sz="12" w:space="0"/>
        </w:tcBorders>
      </w:tcPr>
    </w:tblStylePr>
  </w:style>
  <w:style w:type="table" w:styleId="1037">
    <w:name w:val="Bordered - Accent 1"/>
    <w:basedOn w:val="1043"/>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sz w:val="22"/>
      </w:r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firstCol">
      <w:rPr>
        <w:sz w:val="22"/>
      </w:rPr>
    </w:tblStylePr>
    <w:tblStylePr w:type="firstRow">
      <w:rPr>
        <w:sz w:val="22"/>
      </w:rPr>
      <w:tcPr>
        <w:tcBorders>
          <w:bottom w:val="single" w:color="000000" w:themeColor="accent1" w:sz="12" w:space="0"/>
        </w:tcBorders>
      </w:tcPr>
    </w:tblStylePr>
    <w:tblStylePr w:type="lastCol">
      <w:rPr>
        <w:sz w:val="22"/>
      </w:rPr>
      <w:tcPr>
        <w:tcBorders>
          <w:left w:val="single" w:color="000000" w:themeColor="accent1" w:sz="12" w:space="0"/>
        </w:tcBorders>
      </w:tcPr>
    </w:tblStylePr>
    <w:tblStylePr w:type="lastRow">
      <w:rPr>
        <w:sz w:val="22"/>
      </w:rPr>
      <w:tcPr>
        <w:tcBorders>
          <w:top w:val="single" w:color="000000" w:themeColor="accent1" w:sz="12" w:space="0"/>
        </w:tcBorders>
      </w:tcPr>
    </w:tblStylePr>
  </w:style>
  <w:style w:type="table" w:styleId="1038">
    <w:name w:val="Bordered - Accent 2"/>
    <w:basedOn w:val="1043"/>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sz w:val="22"/>
      </w:r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firstCol">
      <w:rPr>
        <w:sz w:val="22"/>
      </w:rPr>
    </w:tblStylePr>
    <w:tblStylePr w:type="firstRow">
      <w:rPr>
        <w:sz w:val="22"/>
      </w:rPr>
      <w:tcPr>
        <w:tcBorders>
          <w:bottom w:val="single" w:color="000000" w:themeColor="accent2" w:sz="12" w:space="0"/>
        </w:tcBorders>
      </w:tcPr>
    </w:tblStylePr>
    <w:tblStylePr w:type="lastCol">
      <w:rPr>
        <w:sz w:val="22"/>
      </w:rPr>
      <w:tcPr>
        <w:tcBorders>
          <w:left w:val="single" w:color="000000" w:themeColor="accent2" w:sz="12" w:space="0"/>
        </w:tcBorders>
      </w:tcPr>
    </w:tblStylePr>
    <w:tblStylePr w:type="lastRow">
      <w:rPr>
        <w:sz w:val="22"/>
      </w:rPr>
      <w:tcPr>
        <w:tcBorders>
          <w:top w:val="single" w:color="000000" w:themeColor="accent2" w:sz="12" w:space="0"/>
        </w:tcBorders>
      </w:tcPr>
    </w:tblStylePr>
  </w:style>
  <w:style w:type="table" w:styleId="1039">
    <w:name w:val="Bordered - Accent 3"/>
    <w:basedOn w:val="1043"/>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sz w:val="22"/>
      </w:r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firstCol">
      <w:rPr>
        <w:sz w:val="22"/>
      </w:rPr>
    </w:tblStylePr>
    <w:tblStylePr w:type="firstRow">
      <w:rPr>
        <w:sz w:val="22"/>
      </w:rPr>
      <w:tcPr>
        <w:tcBorders>
          <w:bottom w:val="single" w:color="000000" w:themeColor="accent3" w:sz="12" w:space="0"/>
        </w:tcBorders>
      </w:tcPr>
    </w:tblStylePr>
    <w:tblStylePr w:type="lastCol">
      <w:rPr>
        <w:sz w:val="22"/>
      </w:rPr>
      <w:tcPr>
        <w:tcBorders>
          <w:left w:val="single" w:color="000000" w:themeColor="accent3" w:sz="12" w:space="0"/>
        </w:tcBorders>
      </w:tcPr>
    </w:tblStylePr>
    <w:tblStylePr w:type="lastRow">
      <w:rPr>
        <w:sz w:val="22"/>
      </w:rPr>
      <w:tcPr>
        <w:tcBorders>
          <w:top w:val="single" w:color="000000" w:themeColor="accent3" w:sz="12" w:space="0"/>
        </w:tcBorders>
      </w:tcPr>
    </w:tblStylePr>
  </w:style>
  <w:style w:type="table" w:styleId="1040">
    <w:name w:val="Bordered - Accent 4"/>
    <w:basedOn w:val="1043"/>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sz w:val="22"/>
      </w:r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firstCol">
      <w:rPr>
        <w:sz w:val="22"/>
      </w:rPr>
    </w:tblStylePr>
    <w:tblStylePr w:type="firstRow">
      <w:rPr>
        <w:sz w:val="22"/>
      </w:rPr>
      <w:tcPr>
        <w:tcBorders>
          <w:bottom w:val="single" w:color="000000" w:themeColor="accent4" w:sz="12" w:space="0"/>
        </w:tcBorders>
      </w:tcPr>
    </w:tblStylePr>
    <w:tblStylePr w:type="lastCol">
      <w:rPr>
        <w:sz w:val="22"/>
      </w:rPr>
      <w:tcPr>
        <w:tcBorders>
          <w:left w:val="single" w:color="000000" w:themeColor="accent4" w:sz="12" w:space="0"/>
        </w:tcBorders>
      </w:tcPr>
    </w:tblStylePr>
    <w:tblStylePr w:type="lastRow">
      <w:rPr>
        <w:sz w:val="22"/>
      </w:rPr>
      <w:tcPr>
        <w:tcBorders>
          <w:top w:val="single" w:color="000000" w:themeColor="accent4" w:sz="12" w:space="0"/>
        </w:tcBorders>
      </w:tcPr>
    </w:tblStylePr>
  </w:style>
  <w:style w:type="table" w:styleId="1041">
    <w:name w:val="Bordered - Accent 5"/>
    <w:basedOn w:val="1043"/>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sz w:val="22"/>
      </w:r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firstCol">
      <w:rPr>
        <w:sz w:val="22"/>
      </w:rPr>
    </w:tblStylePr>
    <w:tblStylePr w:type="firstRow">
      <w:rPr>
        <w:sz w:val="22"/>
      </w:rPr>
      <w:tcPr>
        <w:tcBorders>
          <w:bottom w:val="single" w:color="000000" w:themeColor="accent5" w:sz="12" w:space="0"/>
        </w:tcBorders>
      </w:tcPr>
    </w:tblStylePr>
    <w:tblStylePr w:type="lastCol">
      <w:rPr>
        <w:sz w:val="22"/>
      </w:rPr>
      <w:tcPr>
        <w:tcBorders>
          <w:left w:val="single" w:color="000000" w:themeColor="accent5" w:sz="12" w:space="0"/>
        </w:tcBorders>
      </w:tcPr>
    </w:tblStylePr>
    <w:tblStylePr w:type="lastRow">
      <w:rPr>
        <w:sz w:val="22"/>
      </w:rPr>
      <w:tcPr>
        <w:tcBorders>
          <w:top w:val="single" w:color="000000" w:themeColor="accent5" w:sz="12" w:space="0"/>
        </w:tcBorders>
      </w:tcPr>
    </w:tblStylePr>
  </w:style>
  <w:style w:type="table" w:styleId="1042">
    <w:name w:val="Bordered - Accent 6"/>
    <w:basedOn w:val="1043"/>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sz w:val="22"/>
      </w:r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firstCol">
      <w:rPr>
        <w:sz w:val="22"/>
      </w:rPr>
    </w:tblStylePr>
    <w:tblStylePr w:type="firstRow">
      <w:rPr>
        <w:sz w:val="22"/>
      </w:rPr>
      <w:tcPr>
        <w:tcBorders>
          <w:bottom w:val="single" w:color="000000" w:themeColor="accent6" w:sz="12" w:space="0"/>
        </w:tcBorders>
      </w:tcPr>
    </w:tblStylePr>
    <w:tblStylePr w:type="lastCol">
      <w:rPr>
        <w:sz w:val="22"/>
      </w:rPr>
      <w:tcPr>
        <w:tcBorders>
          <w:left w:val="single" w:color="000000" w:themeColor="accent6" w:sz="12" w:space="0"/>
        </w:tcBorders>
      </w:tcPr>
    </w:tblStylePr>
    <w:tblStylePr w:type="lastRow">
      <w:rPr>
        <w:sz w:val="22"/>
      </w:rPr>
      <w:tcPr>
        <w:tcBorders>
          <w:top w:val="single" w:color="000000" w:themeColor="accent6" w:sz="12" w:space="0"/>
        </w:tcBorders>
      </w:tcPr>
    </w:tblStylePr>
  </w:style>
  <w:style w:type="table" w:styleId="1043" w:default="1">
    <w:name w:val="Normal Table"/>
    <w:uiPriority w:val="99"/>
    <w:semiHidden/>
    <w:unhideWhenUsed/>
    <w:tblPr>
      <w:tblCellMar>
        <w:left w:w="108" w:type="dxa"/>
        <w:top w:w="0" w:type="dxa"/>
        <w:right w:w="108" w:type="dxa"/>
        <w:bottom w:w="0" w:type="dxa"/>
      </w:tblCellMar>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yperlink" Target="consultantplus://offline/ref=AD6133AC4E27EF1EBECBAAECA40ECD728D07AE25E5358979D328F8A1245CF04E26FF850034834E9609F344833EW2WCI" TargetMode="External"/><Relationship Id="rId10" Type="http://schemas.openxmlformats.org/officeDocument/2006/relationships/hyperlink" Target="consultantplus://offline/ref=C39AD1FEBDD95C6333928CA877C7073EA29A96C075DB2975DCEC2E0ED091A67DFC346823681A7C4C6B3ACE90F4C0882D422CA5D954577F5Eg9rBK" TargetMode="External"/><Relationship Id="rId11" Type="http://schemas.openxmlformats.org/officeDocument/2006/relationships/hyperlink" Target="consultantplus://offline/ref=C39AD1FEBDD95C6333928CA877C7073EA29A95C47AD62975DCEC2E0ED091A67DFC346823691A7F4E3660DE94BD978631413BBBD24A54g7r6K"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Р7-Офис/2026.2.1.2269</Application>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Давыдов Дмитрий Вадимович</dc:creator>
  <dc:description/>
  <dc:language>ru-RU</dc:language>
  <cp:lastModifiedBy>i.chernomoryan</cp:lastModifiedBy>
  <cp:revision>111</cp:revision>
  <dcterms:modified xsi:type="dcterms:W3CDTF">2026-08-04T13:04:23Z</dcterms:modified>
</cp:coreProperties>
</file>