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27" w:rsidRPr="00991627" w:rsidRDefault="00991627" w:rsidP="00AB7390">
      <w:pPr>
        <w:rPr>
          <w:rFonts w:ascii="Times New Roman" w:hAnsi="Times New Roman" w:cs="Times New Roman"/>
        </w:rPr>
      </w:pPr>
    </w:p>
    <w:p w:rsidR="00991627" w:rsidRPr="00991627" w:rsidRDefault="00991627" w:rsidP="0099162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:rsidR="00991627" w:rsidRPr="00991627" w:rsidRDefault="00991627" w:rsidP="00991627">
      <w:pPr>
        <w:widowControl/>
        <w:jc w:val="both"/>
        <w:rPr>
          <w:rFonts w:ascii="Times New Roman" w:eastAsia="TimesNewRomanOOEnc" w:hAnsi="Times New Roman" w:cs="Times New Roman"/>
          <w:color w:val="auto"/>
          <w:sz w:val="20"/>
          <w:szCs w:val="20"/>
          <w:lang w:bidi="ar-SA"/>
        </w:rPr>
      </w:pP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получения ценовой информации в отношении услуги для определения НМЦК осуществлены следующие процедуры: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>спользовались ценовые предложения возможных организаций-поставщиков, полученные на общедоступных сайтах в сети Интернет:</w:t>
      </w:r>
    </w:p>
    <w:p w:rsidR="00676CAE" w:rsidRPr="00676CAE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https://rzot.ru/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uslugi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uchebnyj-tsentr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obuchenie-vuchet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 xml:space="preserve">/ </w:t>
      </w:r>
    </w:p>
    <w:p w:rsidR="00676CAE" w:rsidRPr="00676CAE" w:rsidRDefault="00BC3BAD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676CAE" w:rsidRPr="00676CAE">
        <w:rPr>
          <w:color w:val="auto"/>
        </w:rPr>
        <w:t xml:space="preserve"> </w:t>
      </w:r>
      <w:hyperlink r:id="rId8" w:history="1">
        <w:r w:rsidR="00676CAE" w:rsidRPr="00676CAE">
          <w:rPr>
            <w:rStyle w:val="af4"/>
            <w:rFonts w:ascii="Times New Roman" w:eastAsia="Calibri" w:hAnsi="Times New Roman" w:cs="Times New Roman"/>
            <w:color w:val="auto"/>
            <w:lang w:bidi="ar-SA"/>
          </w:rPr>
          <w:t>https://novatika.ru/product/pk/?category=voinskiy-uchet</w:t>
        </w:r>
      </w:hyperlink>
    </w:p>
    <w:p w:rsidR="00991627" w:rsidRPr="00676CAE" w:rsidRDefault="00991627" w:rsidP="00676CAE">
      <w:pPr>
        <w:widowControl/>
        <w:jc w:val="both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bidi="ar-SA"/>
        </w:rPr>
        <w:t>3. </w:t>
      </w:r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https://academy-upr.ru/course/30?programId=63&amp;format=online</w:t>
      </w:r>
    </w:p>
    <w:p w:rsidR="00991627" w:rsidRP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662"/>
        <w:gridCol w:w="567"/>
        <w:gridCol w:w="693"/>
        <w:gridCol w:w="839"/>
        <w:gridCol w:w="992"/>
        <w:gridCol w:w="841"/>
        <w:gridCol w:w="977"/>
        <w:gridCol w:w="840"/>
        <w:gridCol w:w="978"/>
        <w:gridCol w:w="840"/>
        <w:gridCol w:w="977"/>
      </w:tblGrid>
      <w:tr w:rsidR="00991627" w:rsidRPr="00991627" w:rsidTr="009460EF">
        <w:trPr>
          <w:trHeight w:val="49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8D0B4A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</w:tr>
      <w:tr w:rsidR="00991627" w:rsidRPr="00991627" w:rsidTr="009460EF">
        <w:trPr>
          <w:trHeight w:val="3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Цены различных поставщиков (руб.), в </w:t>
            </w:r>
            <w:proofErr w:type="spellStart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т.ч</w:t>
            </w:r>
            <w:proofErr w:type="spellEnd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. НДС </w:t>
            </w:r>
          </w:p>
        </w:tc>
      </w:tr>
      <w:tr w:rsidR="00991627" w:rsidRPr="00991627" w:rsidTr="009460EF">
        <w:trPr>
          <w:trHeight w:val="4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Средняя арифметическая цена единицы </w:t>
            </w:r>
          </w:p>
        </w:tc>
      </w:tr>
      <w:tr w:rsidR="00991627" w:rsidRPr="00991627" w:rsidTr="009460EF">
        <w:trPr>
          <w:trHeight w:val="315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</w:tr>
      <w:tr w:rsidR="00991627" w:rsidRPr="00991627" w:rsidTr="009460E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="00991627"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</w:tr>
      <w:tr w:rsidR="00991627" w:rsidRPr="00991627" w:rsidTr="009460EF">
        <w:trPr>
          <w:trHeight w:val="172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Сумма итого: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</w:tr>
    </w:tbl>
    <w:p w:rsidR="00991627" w:rsidRPr="00A31202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цен от </w:t>
      </w:r>
      <w:r w:rsidR="008D0B4A">
        <w:rPr>
          <w:rFonts w:ascii="Times New Roman" w:eastAsia="Tahoma" w:hAnsi="Times New Roman" w:cs="Times New Roman"/>
          <w:color w:val="auto"/>
          <w:lang w:bidi="ar-SA"/>
        </w:rPr>
        <w:t>4 000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,00 руб. до </w:t>
      </w:r>
      <w:r w:rsidR="008D0B4A">
        <w:rPr>
          <w:rFonts w:ascii="Times New Roman" w:eastAsia="Tahoma" w:hAnsi="Times New Roman" w:cs="Times New Roman"/>
          <w:color w:val="auto"/>
          <w:lang w:bidi="ar-SA"/>
        </w:rPr>
        <w:t>7 000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>,00 руб.</w:t>
      </w:r>
    </w:p>
    <w:p w:rsidR="00991627" w:rsidRPr="00A31202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991627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991627" w:rsidRPr="00991627" w:rsidTr="009460EF">
        <w:trPr>
          <w:trHeight w:val="723"/>
        </w:trPr>
        <w:tc>
          <w:tcPr>
            <w:tcW w:w="4495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drawing>
                <wp:inline distT="0" distB="0" distL="0" distR="0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991627" w:rsidRPr="00991627" w:rsidTr="009460EF">
        <w:trPr>
          <w:trHeight w:val="709"/>
        </w:trPr>
        <w:tc>
          <w:tcPr>
            <w:tcW w:w="4495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proofErr w:type="gramStart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</w:t>
            </w:r>
            <w:proofErr w:type="gramEnd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 xml:space="preserve"> - коэффициент вариации;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proofErr w:type="spellStart"/>
            <w:proofErr w:type="gramStart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proofErr w:type="spellEnd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proofErr w:type="gramEnd"/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:rsidR="00772065" w:rsidRDefault="00772065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772065" w:rsidRDefault="00772065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bookmarkStart w:id="0" w:name="_GoBack"/>
      <w:bookmarkEnd w:id="0"/>
      <w:r w:rsidRPr="00991627">
        <w:rPr>
          <w:rFonts w:ascii="Times New Roman" w:eastAsia="Symbol" w:hAnsi="Times New Roman" w:cs="Times New Roman"/>
          <w:b/>
          <w:color w:val="auto"/>
          <w:lang w:bidi="ar-SA"/>
        </w:rPr>
        <w:lastRenderedPageBreak/>
        <w:t>Расчет однородности значений</w:t>
      </w:r>
    </w:p>
    <w:p w:rsidR="00991627" w:rsidRPr="00991627" w:rsidRDefault="00991627" w:rsidP="00991627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40"/>
        <w:gridCol w:w="426"/>
        <w:gridCol w:w="517"/>
        <w:gridCol w:w="1042"/>
        <w:gridCol w:w="992"/>
        <w:gridCol w:w="992"/>
        <w:gridCol w:w="993"/>
        <w:gridCol w:w="567"/>
        <w:gridCol w:w="850"/>
        <w:gridCol w:w="709"/>
        <w:gridCol w:w="1112"/>
      </w:tblGrid>
      <w:tr w:rsidR="00991627" w:rsidRPr="00991627" w:rsidTr="009460EF">
        <w:trPr>
          <w:trHeight w:val="2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Начальная (максимальная) цена контракта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5 500,00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Средн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.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арифм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 Кол-во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Сред.квадр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откл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 σ=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Коэфф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 вариации V=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Рыночная стоимость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Наименование товара, работ, услуг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Объем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4 000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5 500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7 000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8D0B4A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5 500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1 500,00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27,27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5 500,00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8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ourier New" w:hAnsi="Times New Roman" w:cs="Times New Roman"/>
                <w:strike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5 500,00</w:t>
            </w:r>
          </w:p>
        </w:tc>
      </w:tr>
    </w:tbl>
    <w:p w:rsidR="00991627" w:rsidRPr="00991627" w:rsidRDefault="00991627" w:rsidP="00991627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auto"/>
          <w:lang w:val="en-US" w:bidi="ar-SA"/>
        </w:rPr>
      </w:pPr>
    </w:p>
    <w:p w:rsidR="00991627" w:rsidRPr="00991627" w:rsidRDefault="00991627" w:rsidP="00991627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1627" w:rsidRDefault="00837335" w:rsidP="00991627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991627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991627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:rsidR="00991627" w:rsidRDefault="00D000AA" w:rsidP="00991627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991627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991627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количество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значений, используемых в расчете;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номер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источника ценовой информации;</w:t>
      </w:r>
    </w:p>
    <w:p w:rsidR="00991627" w:rsidRPr="00991627" w:rsidRDefault="00991627" w:rsidP="00991627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ц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:rsidR="00991627" w:rsidRPr="00991627" w:rsidRDefault="00991627" w:rsidP="00991627">
      <w:pPr>
        <w:widowControl/>
        <w:jc w:val="center"/>
        <w:rPr>
          <w:rFonts w:ascii="Times New Roman" w:eastAsia="Courier New" w:hAnsi="Times New Roman" w:cs="Times New Roman"/>
          <w:sz w:val="22"/>
          <w:szCs w:val="22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>НМЦК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34643F">
        <w:rPr>
          <w:rFonts w:ascii="Times New Roman" w:eastAsia="Courier New" w:hAnsi="Times New Roman" w:cs="Times New Roman"/>
          <w:color w:val="auto"/>
          <w:lang w:bidi="ar-SA"/>
        </w:rPr>
        <w:t>5 500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>,00</w:t>
      </w:r>
    </w:p>
    <w:p w:rsidR="00991627" w:rsidRPr="00991627" w:rsidRDefault="00991627" w:rsidP="00991627">
      <w:pPr>
        <w:widowControl/>
        <w:tabs>
          <w:tab w:val="left" w:pos="3915"/>
        </w:tabs>
        <w:ind w:firstLine="709"/>
        <w:jc w:val="both"/>
        <w:rPr>
          <w:rFonts w:ascii="Times New Roman" w:eastAsia="Courier New" w:hAnsi="Times New Roman" w:cs="Times New Roman"/>
          <w:i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ab/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ст.34, 72 Бюджетного кодекса РФ), в соответствии с письмом Министерства экономического развития Российской Федерации от 01.11.2016 № Д28и-2883, в котором предусмотрено обязательное требование к заказчикам об определении и обосновании Н(М)ЦК при осуществлении закупок, заказчик вправе указать цену меньшую, чем в представленном обосновании Н(М)ЦК, и соответствующую выделенным бюджетным обязательствам.</w:t>
      </w:r>
    </w:p>
    <w:p w:rsidR="00991627" w:rsidRPr="00991627" w:rsidRDefault="00991627" w:rsidP="00991627">
      <w:pPr>
        <w:widowControl/>
        <w:ind w:firstLine="708"/>
        <w:jc w:val="both"/>
        <w:rPr>
          <w:rFonts w:ascii="Times New Roman" w:eastAsia="Wingdings" w:hAnsi="Times New Roman" w:cs="Times New Roman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Исходя из анализа рынка и возможностей Заказчика начальная (максимальная) цена контракта составляет </w:t>
      </w:r>
      <w:r w:rsidR="008D0B4A">
        <w:rPr>
          <w:rFonts w:ascii="Times New Roman" w:eastAsia="Wingdings" w:hAnsi="Times New Roman" w:cs="Times New Roman"/>
          <w:color w:val="auto"/>
          <w:lang w:bidi="ar-SA"/>
        </w:rPr>
        <w:t>5 500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 (</w:t>
      </w:r>
      <w:r w:rsidR="008D0B4A">
        <w:rPr>
          <w:rFonts w:ascii="Times New Roman" w:eastAsia="Wingdings" w:hAnsi="Times New Roman" w:cs="Times New Roman"/>
          <w:b/>
          <w:lang w:bidi="ar-SA"/>
        </w:rPr>
        <w:t>П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ять тысяч </w:t>
      </w:r>
      <w:r w:rsidR="008D0B4A">
        <w:rPr>
          <w:rFonts w:ascii="Times New Roman" w:eastAsia="Wingdings" w:hAnsi="Times New Roman" w:cs="Times New Roman"/>
          <w:b/>
          <w:lang w:bidi="ar-SA"/>
        </w:rPr>
        <w:t>пят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ьсот) рубля 00 копеек, </w:t>
      </w:r>
      <w:r w:rsidRPr="00991627">
        <w:rPr>
          <w:rFonts w:ascii="Times New Roman" w:eastAsia="Wingdings" w:hAnsi="Times New Roman" w:cs="Times New Roman"/>
          <w:lang w:bidi="ar-SA"/>
        </w:rPr>
        <w:t>с учетом всех необходимых затрат.</w:t>
      </w:r>
    </w:p>
    <w:p w:rsidR="00991627" w:rsidRPr="00991627" w:rsidRDefault="00991627" w:rsidP="00991627">
      <w:pPr>
        <w:widowControl/>
        <w:spacing w:line="240" w:lineRule="exact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A93194" w:rsidRPr="00991627" w:rsidRDefault="00A93194" w:rsidP="00163B88">
      <w:pPr>
        <w:widowControl/>
        <w:spacing w:line="240" w:lineRule="exact"/>
        <w:ind w:firstLine="540"/>
        <w:jc w:val="both"/>
        <w:rPr>
          <w:rFonts w:ascii="Times New Roman" w:hAnsi="Times New Roman" w:cs="Times New Roman"/>
        </w:rPr>
      </w:pPr>
    </w:p>
    <w:sectPr w:rsidR="00A93194" w:rsidRPr="00991627" w:rsidSect="00C908AD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35" w:rsidRDefault="00837335" w:rsidP="009A1CD3">
      <w:r>
        <w:separator/>
      </w:r>
    </w:p>
  </w:endnote>
  <w:endnote w:type="continuationSeparator" w:id="0">
    <w:p w:rsidR="00837335" w:rsidRDefault="00837335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35" w:rsidRDefault="00837335" w:rsidP="009A1CD3">
      <w:r>
        <w:separator/>
      </w:r>
    </w:p>
  </w:footnote>
  <w:footnote w:type="continuationSeparator" w:id="0">
    <w:p w:rsidR="00837335" w:rsidRDefault="00837335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812E8"/>
    <w:multiLevelType w:val="multilevel"/>
    <w:tmpl w:val="172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972FA"/>
    <w:rsid w:val="00097919"/>
    <w:rsid w:val="000C05D8"/>
    <w:rsid w:val="000F0DD9"/>
    <w:rsid w:val="000F4172"/>
    <w:rsid w:val="000F77A5"/>
    <w:rsid w:val="0010291A"/>
    <w:rsid w:val="001046C5"/>
    <w:rsid w:val="00117742"/>
    <w:rsid w:val="00134081"/>
    <w:rsid w:val="00157467"/>
    <w:rsid w:val="00160814"/>
    <w:rsid w:val="00163B88"/>
    <w:rsid w:val="00174D09"/>
    <w:rsid w:val="00181915"/>
    <w:rsid w:val="001B6BE4"/>
    <w:rsid w:val="001E6D18"/>
    <w:rsid w:val="001F10DF"/>
    <w:rsid w:val="002748A1"/>
    <w:rsid w:val="002A5240"/>
    <w:rsid w:val="002E5E4F"/>
    <w:rsid w:val="00307CCD"/>
    <w:rsid w:val="00315B4C"/>
    <w:rsid w:val="00315C4C"/>
    <w:rsid w:val="00316D7C"/>
    <w:rsid w:val="00327189"/>
    <w:rsid w:val="003359D7"/>
    <w:rsid w:val="003451BA"/>
    <w:rsid w:val="0034643F"/>
    <w:rsid w:val="00373AD1"/>
    <w:rsid w:val="00381D30"/>
    <w:rsid w:val="0039313E"/>
    <w:rsid w:val="003B496C"/>
    <w:rsid w:val="003B7DA6"/>
    <w:rsid w:val="003F2362"/>
    <w:rsid w:val="003F29EA"/>
    <w:rsid w:val="004072C5"/>
    <w:rsid w:val="00472FA5"/>
    <w:rsid w:val="00493290"/>
    <w:rsid w:val="004B27CC"/>
    <w:rsid w:val="0052649B"/>
    <w:rsid w:val="005402CE"/>
    <w:rsid w:val="00574415"/>
    <w:rsid w:val="00577C9F"/>
    <w:rsid w:val="005A2B8E"/>
    <w:rsid w:val="005B243D"/>
    <w:rsid w:val="005B65F1"/>
    <w:rsid w:val="005D02BD"/>
    <w:rsid w:val="005D2902"/>
    <w:rsid w:val="00607DC0"/>
    <w:rsid w:val="00626C1D"/>
    <w:rsid w:val="006403B0"/>
    <w:rsid w:val="00647394"/>
    <w:rsid w:val="00662DFB"/>
    <w:rsid w:val="00676CAE"/>
    <w:rsid w:val="006E3A53"/>
    <w:rsid w:val="006E4668"/>
    <w:rsid w:val="006E76B9"/>
    <w:rsid w:val="00746E24"/>
    <w:rsid w:val="00761A46"/>
    <w:rsid w:val="00772065"/>
    <w:rsid w:val="007F5E1B"/>
    <w:rsid w:val="00807597"/>
    <w:rsid w:val="0080779A"/>
    <w:rsid w:val="008312A0"/>
    <w:rsid w:val="00837335"/>
    <w:rsid w:val="00846B23"/>
    <w:rsid w:val="00850FCB"/>
    <w:rsid w:val="00864ABD"/>
    <w:rsid w:val="00880E49"/>
    <w:rsid w:val="008875F9"/>
    <w:rsid w:val="0089245D"/>
    <w:rsid w:val="008B344A"/>
    <w:rsid w:val="008B566D"/>
    <w:rsid w:val="008D0B4A"/>
    <w:rsid w:val="008E4B45"/>
    <w:rsid w:val="00914386"/>
    <w:rsid w:val="00991627"/>
    <w:rsid w:val="009A1CD3"/>
    <w:rsid w:val="009C0A63"/>
    <w:rsid w:val="009D527F"/>
    <w:rsid w:val="009F642D"/>
    <w:rsid w:val="00A241E0"/>
    <w:rsid w:val="00A24658"/>
    <w:rsid w:val="00A30D0B"/>
    <w:rsid w:val="00A31202"/>
    <w:rsid w:val="00A675DB"/>
    <w:rsid w:val="00A819ED"/>
    <w:rsid w:val="00A92961"/>
    <w:rsid w:val="00A93194"/>
    <w:rsid w:val="00AB7390"/>
    <w:rsid w:val="00AC0A7F"/>
    <w:rsid w:val="00AE7A58"/>
    <w:rsid w:val="00B11BC7"/>
    <w:rsid w:val="00B32B03"/>
    <w:rsid w:val="00B5096D"/>
    <w:rsid w:val="00B815E1"/>
    <w:rsid w:val="00BA3724"/>
    <w:rsid w:val="00BC3A76"/>
    <w:rsid w:val="00BC3BAD"/>
    <w:rsid w:val="00BD0A76"/>
    <w:rsid w:val="00BE1841"/>
    <w:rsid w:val="00BE496C"/>
    <w:rsid w:val="00BF3CB6"/>
    <w:rsid w:val="00C557AA"/>
    <w:rsid w:val="00C83D80"/>
    <w:rsid w:val="00C908AD"/>
    <w:rsid w:val="00CB51B5"/>
    <w:rsid w:val="00CD485D"/>
    <w:rsid w:val="00D000AA"/>
    <w:rsid w:val="00D0189C"/>
    <w:rsid w:val="00D12216"/>
    <w:rsid w:val="00D27BDB"/>
    <w:rsid w:val="00DA102A"/>
    <w:rsid w:val="00DB163D"/>
    <w:rsid w:val="00E00A04"/>
    <w:rsid w:val="00E00CE3"/>
    <w:rsid w:val="00E32B5C"/>
    <w:rsid w:val="00E627B7"/>
    <w:rsid w:val="00E66C50"/>
    <w:rsid w:val="00E9701D"/>
    <w:rsid w:val="00ED0CED"/>
    <w:rsid w:val="00ED7235"/>
    <w:rsid w:val="00EE61DE"/>
    <w:rsid w:val="00EF04E1"/>
    <w:rsid w:val="00EF46E5"/>
    <w:rsid w:val="00F439D5"/>
    <w:rsid w:val="00F70EA8"/>
    <w:rsid w:val="00F81C84"/>
    <w:rsid w:val="00F9700B"/>
    <w:rsid w:val="00FA4E99"/>
    <w:rsid w:val="00FA7A28"/>
    <w:rsid w:val="00FB563D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676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tika.ru/product/pk/?category=voinskiy-uch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4E62-4A8D-4797-ADD4-729F8E4D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Urist</cp:lastModifiedBy>
  <cp:revision>4</cp:revision>
  <cp:lastPrinted>2025-10-29T07:28:00Z</cp:lastPrinted>
  <dcterms:created xsi:type="dcterms:W3CDTF">2026-06-25T08:18:00Z</dcterms:created>
  <dcterms:modified xsi:type="dcterms:W3CDTF">2026-06-25T08:19:00Z</dcterms:modified>
</cp:coreProperties>
</file>