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Электроды</w:t>
      </w:r>
      <w:r>
        <w:rPr>
          <w:rFonts w:ascii="PT Astra Serif" w:hAnsi="PT Astra Serif"/>
        </w:rPr>
        <w:t xml:space="preserve"> для </w:t>
      </w:r>
      <w:r>
        <w:rPr>
          <w:rFonts w:ascii="PT Astra Serif" w:hAnsi="PT Astra Serif"/>
        </w:rPr>
        <w:t>ЭКГ</w:t>
      </w:r>
    </w:p>
    <w:tbl>
      <w:tblPr>
        <w:tblW w:w="15025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514"/>
        <w:gridCol w:w="13510"/>
      </w:tblGrid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Описанием объекта закупки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Используемый метод определения с обоснованием: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/>
                <w:sz w:val="18"/>
                <w:szCs w:val="18"/>
                <w:shd w:fill="FFFFFF" w:val="clear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Определение НМЦК в соответствии с ч.22 ст.22 Федерального закона от 05.04.2013 №44-ФЗ, на основании Приказа Минздрава России от 15.05.2020 №450н «Об утверждении порядка определения начальной (максимальной) цены </w:t>
            </w:r>
            <w:r>
              <w:rPr>
                <w:rFonts w:ascii="PT Astra Serif" w:hAnsi="PT Astra Serif"/>
                <w:b/>
                <w:sz w:val="18"/>
                <w:szCs w:val="18"/>
                <w:shd w:fill="FFFFFF" w:val="clear"/>
              </w:rPr>
              <w:t>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Расчёт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228090" cy="2571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 xml:space="preserve">где: НЦЕ – начальная цена единицы медицинского изделия, без учета НДС; ЦЕМ – цена едицины медицинского изделия, без учета НДС;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значений информации о цене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-го медицинского изделия;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номер информации о цене; ц</w:t>
            </w:r>
            <w:r>
              <w:rPr>
                <w:rFonts w:ascii="PT Astra Serif" w:hAnsi="PT Astra Serif"/>
                <w:sz w:val="18"/>
                <w:szCs w:val="18"/>
                <w:vertAlign w:val="subscript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изделия, без учета НДС.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17 Приказа Минздрава России от 15.05.2020 №450н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760855" cy="175895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 xml:space="preserve">где: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>- количество позиций закупаемых медицинских изделий; НЦЕ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начальная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-й позиции медицинского изделия, определяемая в соответствии с настоящим порядком (по применимости); НДС – налог на добавленную стоимость (</w:t>
            </w:r>
            <w:r>
              <w:rPr>
                <w:rFonts w:eastAsia="BatangChe" w:ascii="PT Astra Serif" w:hAnsi="PT Astra Serif"/>
                <w:i/>
                <w:sz w:val="18"/>
                <w:szCs w:val="18"/>
              </w:rPr>
              <w:t>на основании п. п. 1 п. 2 ст. 149 Налогового кодекса, в соответствии с постановлением Правительства Российской Федерации от 30 сентября 2015 г. №1042 данные медицинские изделия не облагаются НДС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);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Vi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(объем)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-й позиции закупаемого медицинского изделия.</w:t>
            </w:r>
          </w:p>
          <w:p>
            <w:pPr>
              <w:pStyle w:val="Normal"/>
              <w:ind w:left="57"/>
              <w:jc w:val="both"/>
              <w:rPr>
                <w:rFonts w:ascii="PT Astra Serif" w:hAnsi="PT Astra Serif" w:cs="Helvetica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Для формирования НМЦК были получено 3 коммерческих предложения на поставку товара.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1) Поставщик №1 – коммерческое предложение № </w:t>
            </w:r>
            <w:r>
              <w:rPr>
                <w:rFonts w:ascii="PT Astra Serif" w:hAnsi="PT Astra Serif"/>
                <w:sz w:val="18"/>
                <w:szCs w:val="18"/>
              </w:rPr>
              <w:t>490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sz w:val="18"/>
                <w:szCs w:val="18"/>
              </w:rPr>
              <w:t>21</w:t>
            </w:r>
            <w:r>
              <w:rPr>
                <w:rFonts w:ascii="PT Astra Serif" w:hAnsi="PT Astra Serif"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.2026г.;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2) Поставщик №2 – коммерческое предложение № </w:t>
            </w:r>
            <w:r>
              <w:rPr>
                <w:rFonts w:ascii="PT Astra Serif" w:hAnsi="PT Astra Serif"/>
                <w:sz w:val="18"/>
                <w:szCs w:val="18"/>
              </w:rPr>
              <w:t>532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sz w:val="18"/>
                <w:szCs w:val="18"/>
              </w:rPr>
              <w:t>09</w:t>
            </w:r>
            <w:r>
              <w:rPr>
                <w:rFonts w:ascii="PT Astra Serif" w:hAnsi="PT Astra Serif"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.2026г.;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3) Поставщик №3 – информация из реестра контрактов, контракт в ЕИС № 2553400532525000193</w:t>
            </w:r>
          </w:p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корректирующих коэффициентов не требуется.  Коэффициент вариации не превышает 33%.</w:t>
            </w:r>
          </w:p>
          <w:tbl>
            <w:tblPr>
              <w:tblW w:w="1350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0" w:type="dxa"/>
                <w:right w:w="28" w:type="dxa"/>
              </w:tblCellMar>
            </w:tblPr>
            <w:tblGrid>
              <w:gridCol w:w="505"/>
              <w:gridCol w:w="1910"/>
              <w:gridCol w:w="615"/>
              <w:gridCol w:w="735"/>
              <w:gridCol w:w="855"/>
              <w:gridCol w:w="960"/>
              <w:gridCol w:w="855"/>
              <w:gridCol w:w="1050"/>
              <w:gridCol w:w="960"/>
              <w:gridCol w:w="1080"/>
              <w:gridCol w:w="660"/>
              <w:gridCol w:w="795"/>
              <w:gridCol w:w="1125"/>
              <w:gridCol w:w="1395"/>
            </w:tblGrid>
            <w:tr>
              <w:trPr/>
              <w:tc>
                <w:tcPr>
                  <w:tcW w:w="50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91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single" w:sz="2" w:space="0" w:color="000000"/>
                    <w:right w:val="single" w:sz="2" w:space="0" w:color="000000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26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Цена за единицу товара, руб.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 xml:space="preserve">ЦЕМ,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руб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ЦЕМ со сниж., руб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Кол-во Постав-щиков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σ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Коэф-т вариации, %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НМЦК по ср.цене, руб.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НМЦК по п. 18Приказа МЗ РФ от 15.05.2020 №450н, руб.</w:t>
                  </w:r>
                </w:p>
              </w:tc>
            </w:tr>
            <w:tr>
              <w:trPr/>
              <w:tc>
                <w:tcPr>
                  <w:tcW w:w="50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91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615" w:type="dxa"/>
                  <w:vMerge w:val="continue"/>
                  <w:tcBorders>
                    <w:top w:val="single" w:sz="2" w:space="0" w:color="000000"/>
                    <w:right w:val="single" w:sz="2" w:space="0" w:color="000000"/>
                  </w:tcBorders>
                  <w:tcMar>
                    <w:left w:w="0" w:type="dxa"/>
                  </w:tcMar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73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Поставщик №1, НЦЕ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Поставщик №2, НЦЕ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Поставщик №3, НЦЕ</w:t>
                  </w:r>
                </w:p>
              </w:tc>
              <w:tc>
                <w:tcPr>
                  <w:tcW w:w="105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96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660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12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1395" w:type="dxa"/>
                  <w:vMerge w:val="continue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Style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761" w:hRule="atLeast"/>
              </w:trPr>
              <w:tc>
                <w:tcPr>
                  <w:tcW w:w="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Электрод для электрокардиографии, одноразового использования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bottom w:w="28" w:type="dxa"/>
                    <w:right w:w="0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шт</w:t>
                  </w:r>
                </w:p>
              </w:tc>
              <w:tc>
                <w:tcPr>
                  <w:tcW w:w="7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6000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10,50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10,00</w:t>
                  </w:r>
                </w:p>
              </w:tc>
              <w:tc>
                <w:tcPr>
                  <w:tcW w:w="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8,70</w:t>
                  </w:r>
                </w:p>
              </w:tc>
              <w:tc>
                <w:tcPr>
                  <w:tcW w:w="10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9,73   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 xml:space="preserve">8,70   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3   </w:t>
                  </w:r>
                </w:p>
              </w:tc>
              <w:tc>
                <w:tcPr>
                  <w:tcW w:w="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0,93</w:t>
                  </w:r>
                </w:p>
              </w:tc>
              <w:tc>
                <w:tcPr>
                  <w:tcW w:w="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9,55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58 380,00</w:t>
                  </w:r>
                </w:p>
              </w:tc>
              <w:tc>
                <w:tcPr>
                  <w:tcW w:w="1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52 200,00</w:t>
                  </w:r>
                </w:p>
              </w:tc>
            </w:tr>
            <w:tr>
              <w:trPr>
                <w:trHeight w:val="356" w:hRule="atLeast"/>
              </w:trPr>
              <w:tc>
                <w:tcPr>
                  <w:tcW w:w="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910" w:type="dxa"/>
                  <w:tcBorders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left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61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7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96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85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05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96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0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66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7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bottom"/>
                </w:tcPr>
                <w:p>
                  <w:pPr>
                    <w:pStyle w:val="Style22"/>
                    <w:ind w:hanging="0" w:left="0" w:right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12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ind w:hanging="0" w:left="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58 380,00</w:t>
                  </w:r>
                </w:p>
              </w:tc>
              <w:tc>
                <w:tcPr>
                  <w:tcW w:w="13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bottom w:w="28" w:type="dxa"/>
                  </w:tcMar>
                  <w:vAlign w:val="center"/>
                </w:tcPr>
                <w:p>
                  <w:pPr>
                    <w:pStyle w:val="Style22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52 200,00</w:t>
                  </w:r>
                </w:p>
              </w:tc>
            </w:tr>
          </w:tbl>
          <w:p>
            <w:pPr>
              <w:pStyle w:val="Normal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eastAsia="BatangChe" w:ascii="PT Astra Serif" w:hAnsi="PT Astra Serif"/>
                <w:sz w:val="18"/>
                <w:szCs w:val="18"/>
              </w:rPr>
              <w:t>В соответствии с п. 18</w:t>
            </w:r>
            <w:r>
              <w:rPr>
                <w:rFonts w:eastAsia="BatangChe"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Приказа Минздрава России от 15.05.2020 №450н НМЦК снижена заказчиком по сравнению с НМЦК, определенной в соответствии с настоящим порядком, исходя из имеющегося у заказчика объема финансового обеспечения для осуществления соответствующей закупки, с пропорциональным снижением начальных цен единиц закупаемых медицинских изделий и определена в размере </w:t>
            </w:r>
            <w:r>
              <w:rPr>
                <w:rFonts w:ascii="PT Astra Serif" w:hAnsi="PT Astra Serif"/>
                <w:sz w:val="18"/>
                <w:szCs w:val="18"/>
              </w:rPr>
              <w:t>52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2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0,00 руб.</w:t>
            </w:r>
          </w:p>
        </w:tc>
      </w:tr>
      <w:tr>
        <w:trPr/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1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Дата подготовки обоснования:</w:t>
            </w:r>
          </w:p>
        </w:tc>
        <w:tc>
          <w:tcPr>
            <w:tcW w:w="1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ru-RU"/>
              </w:rPr>
              <w:t>22</w:t>
            </w:r>
            <w:r>
              <w:rPr>
                <w:rFonts w:ascii="PT Astra Serif" w:hAnsi="PT Astra Serif"/>
                <w:sz w:val="18"/>
                <w:szCs w:val="18"/>
                <w:lang w:val="ru-RU"/>
              </w:rPr>
              <w:t>.0</w:t>
            </w:r>
            <w:r>
              <w:rPr>
                <w:rFonts w:ascii="PT Astra Serif" w:hAnsi="PT Astra Serif"/>
                <w:sz w:val="18"/>
                <w:szCs w:val="18"/>
                <w:lang w:val="ru-RU"/>
              </w:rPr>
              <w:t>6</w:t>
            </w:r>
            <w:r>
              <w:rPr>
                <w:rFonts w:ascii="PT Astra Serif" w:hAnsi="PT Astra Serif"/>
                <w:sz w:val="18"/>
                <w:szCs w:val="18"/>
                <w:lang w:val="ru-RU"/>
              </w:rPr>
              <w:t>.2026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Руководитель контрактной службы:</w:t>
      </w:r>
    </w:p>
    <w:tbl>
      <w:tblPr>
        <w:tblW w:w="694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701"/>
        <w:gridCol w:w="170"/>
        <w:gridCol w:w="2721"/>
        <w:gridCol w:w="2353"/>
      </w:tblGrid>
      <w:tr>
        <w:trPr/>
        <w:tc>
          <w:tcPr>
            <w:tcW w:w="694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главного врача по экономическим вопросам</w:t>
            </w:r>
          </w:p>
        </w:tc>
      </w:tr>
      <w:tr>
        <w:trPr>
          <w:trHeight w:val="64" w:hRule="atLeast"/>
        </w:trPr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1"/>
              <w:snapToGrid w:val="false"/>
              <w:spacing w:lineRule="auto" w:line="24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/</w:t>
            </w:r>
          </w:p>
        </w:tc>
        <w:tc>
          <w:tcPr>
            <w:tcW w:w="272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Е.Н.Стратонова</w:t>
            </w:r>
          </w:p>
        </w:tc>
        <w:tc>
          <w:tcPr>
            <w:tcW w:w="2353" w:type="dxa"/>
            <w:tcBorders/>
            <w:vAlign w:val="bottom"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/</w:t>
            </w:r>
          </w:p>
        </w:tc>
      </w:tr>
    </w:tbl>
    <w:p>
      <w:pPr>
        <w:pStyle w:val="Normal"/>
        <w:rPr>
          <w:sz w:val="21"/>
          <w:szCs w:val="21"/>
        </w:rPr>
      </w:pPr>
      <w:r>
        <w:rPr>
          <w:rFonts w:ascii="PT Astra Serif" w:hAnsi="PT Astra Serif"/>
          <w:i/>
          <w:sz w:val="21"/>
          <w:szCs w:val="21"/>
        </w:rPr>
        <w:t xml:space="preserve">Ф.И.О. исполнителя/контактный телефон </w:t>
      </w:r>
      <w:r>
        <w:rPr>
          <w:rFonts w:ascii="PT Astra Serif" w:hAnsi="PT Astra Serif"/>
          <w:b/>
          <w:bCs/>
          <w:sz w:val="21"/>
          <w:szCs w:val="21"/>
          <w:lang w:eastAsia="ar-SA"/>
        </w:rPr>
        <w:t xml:space="preserve">   </w:t>
      </w:r>
    </w:p>
    <w:p>
      <w:pPr>
        <w:pStyle w:val="Normal"/>
        <w:rPr>
          <w:sz w:val="21"/>
          <w:szCs w:val="21"/>
        </w:rPr>
      </w:pPr>
      <w:r>
        <w:rPr>
          <w:rFonts w:ascii="PT Astra Serif" w:hAnsi="PT Astra Serif"/>
          <w:i/>
          <w:sz w:val="21"/>
          <w:szCs w:val="21"/>
        </w:rPr>
        <w:t>Гридин В.В.             /44-23-29</w:t>
      </w:r>
      <w:r>
        <w:rPr>
          <w:rFonts w:ascii="PT Astra Serif" w:hAnsi="PT Astra Serif"/>
          <w:b/>
          <w:bCs/>
          <w:sz w:val="21"/>
          <w:szCs w:val="21"/>
          <w:lang w:eastAsia="ar-SA"/>
        </w:rPr>
        <w:t xml:space="preserve">              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567" w:footer="0" w:bottom="567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  <w:font w:name="Times New Roman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63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31762"/>
    <w:rPr>
      <w:rFonts w:ascii="Tahoma" w:hAnsi="Tahoma" w:cs="Times New Roman"/>
      <w:sz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locked/>
    <w:rsid w:val="002022a6"/>
    <w:rPr>
      <w:rFonts w:cs="Times New Roman"/>
      <w:sz w:val="22"/>
      <w:szCs w:val="2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2022a6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b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821"/>
    <w:rPr>
      <w:color w:val="954F72"/>
      <w:u w:val="single"/>
    </w:rPr>
  </w:style>
  <w:style w:type="character" w:styleId="Style17" w:customStyle="1">
    <w:name w:val="Основной текст Знак"/>
    <w:basedOn w:val="DefaultParagraphFont"/>
    <w:qFormat/>
    <w:rsid w:val="00e616e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l" w:customStyle="1">
    <w:name w:val="hl"/>
    <w:basedOn w:val="DefaultParagraphFont"/>
    <w:qFormat/>
    <w:rsid w:val="00446ffe"/>
    <w:rPr/>
  </w:style>
  <w:style w:type="character" w:styleId="cardmaininfopurchaselink2" w:customStyle="1">
    <w:name w:val="cardmaininfo__purchaselink2"/>
    <w:basedOn w:val="DefaultParagraphFont"/>
    <w:qFormat/>
    <w:rsid w:val="00d33309"/>
    <w:rPr>
      <w:color w:val="0065DD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nhideWhenUsed/>
    <w:rsid w:val="00e616eb"/>
    <w:pPr>
      <w:spacing w:lineRule="auto" w:line="276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xl66" w:customStyle="1">
    <w:name w:val="xl66"/>
    <w:basedOn w:val="Normal"/>
    <w:qFormat/>
    <w:rsid w:val="000c3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331762"/>
    <w:pPr/>
    <w:rPr>
      <w:rFonts w:ascii="Tahoma" w:hAnsi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rsid w:val="002022a6"/>
    <w:pPr>
      <w:tabs>
        <w:tab w:val="clear" w:pos="709"/>
        <w:tab w:val="center" w:pos="4677" w:leader="none"/>
        <w:tab w:val="right" w:pos="9355" w:leader="none"/>
      </w:tabs>
      <w:spacing w:lineRule="auto" w:line="276" w:before="0" w:after="200"/>
    </w:pPr>
    <w:rPr>
      <w:sz w:val="22"/>
      <w:szCs w:val="22"/>
    </w:rPr>
  </w:style>
  <w:style w:type="paragraph" w:styleId="Footer">
    <w:name w:val="footer"/>
    <w:basedOn w:val="Normal"/>
    <w:link w:val="Style16"/>
    <w:uiPriority w:val="99"/>
    <w:rsid w:val="002022a6"/>
    <w:pPr>
      <w:tabs>
        <w:tab w:val="clear" w:pos="709"/>
        <w:tab w:val="center" w:pos="4677" w:leader="none"/>
        <w:tab w:val="right" w:pos="9355" w:leader="none"/>
      </w:tabs>
      <w:spacing w:lineRule="auto" w:line="276" w:before="0" w:after="200"/>
    </w:pPr>
    <w:rPr>
      <w:sz w:val="22"/>
      <w:szCs w:val="22"/>
    </w:rPr>
  </w:style>
  <w:style w:type="paragraph" w:styleId="Style21" w:customStyle="1">
    <w:name w:val="Знак Знак Знак Знак Знак Знак Знак Знак Знак"/>
    <w:basedOn w:val="Normal"/>
    <w:qFormat/>
    <w:rsid w:val="00af5c8e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xl64" w:customStyle="1">
    <w:name w:val="xl6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65" w:customStyle="1">
    <w:name w:val="xl6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/>
  </w:style>
  <w:style w:type="paragraph" w:styleId="xl67" w:customStyle="1">
    <w:name w:val="xl6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/>
  </w:style>
  <w:style w:type="paragraph" w:styleId="xl68" w:customStyle="1">
    <w:name w:val="xl68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</w:rPr>
  </w:style>
  <w:style w:type="paragraph" w:styleId="xl69" w:customStyle="1">
    <w:name w:val="xl69"/>
    <w:basedOn w:val="Normal"/>
    <w:qFormat/>
    <w:rsid w:val="00961821"/>
    <w:pPr>
      <w:spacing w:beforeAutospacing="1" w:afterAutospacing="1"/>
    </w:pPr>
    <w:rPr>
      <w:color w:val="000000"/>
      <w:sz w:val="18"/>
      <w:szCs w:val="18"/>
    </w:rPr>
  </w:style>
  <w:style w:type="paragraph" w:styleId="xl70" w:customStyle="1">
    <w:name w:val="xl7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</w:rPr>
  </w:style>
  <w:style w:type="paragraph" w:styleId="xl72" w:customStyle="1">
    <w:name w:val="xl72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</w:rPr>
  </w:style>
  <w:style w:type="paragraph" w:styleId="xl74" w:customStyle="1">
    <w:name w:val="xl7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5" w:customStyle="1">
    <w:name w:val="xl7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6" w:customStyle="1">
    <w:name w:val="xl76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7" w:customStyle="1">
    <w:name w:val="xl7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/>
  </w:style>
  <w:style w:type="paragraph" w:styleId="xl78" w:customStyle="1">
    <w:name w:val="xl78"/>
    <w:basedOn w:val="Normal"/>
    <w:qFormat/>
    <w:rsid w:val="00961821"/>
    <w:pPr>
      <w:pBdr>
        <w:top w:val="single" w:sz="4" w:space="0" w:color="000000"/>
        <w:bottom w:val="single" w:sz="4" w:space="0" w:color="000000"/>
      </w:pBdr>
      <w:spacing w:beforeAutospacing="1" w:afterAutospacing="1"/>
      <w:textAlignment w:val="top"/>
    </w:pPr>
    <w:rPr/>
  </w:style>
  <w:style w:type="paragraph" w:styleId="xl79" w:customStyle="1">
    <w:name w:val="xl79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80" w:customStyle="1">
    <w:name w:val="xl8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94613"/>
    <w:pPr>
      <w:spacing w:lineRule="auto" w:line="276" w:before="0" w:after="200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e616e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d33309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e307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D2FD-277E-4480-B6A1-3FD08CFD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LibreOffice/25.2.7.2$Windows_X86_64 LibreOffice_project/5cbfd1ab6520636bb5f7b99185aa69bd7456825d</Application>
  <AppVersion>15.0000</AppVersion>
  <Pages>1</Pages>
  <Words>461</Words>
  <Characters>3025</Characters>
  <CharactersWithSpaces>3479</CharactersWithSpaces>
  <Paragraphs>58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2024-07-19T09:24:00Z</dcterms:created>
  <dc:creator>Костюков А.А.</dc:creator>
  <dc:description/>
  <dc:language>ru-RU</dc:language>
  <cp:lastModifiedBy/>
  <cp:lastPrinted>2026-02-11T13:05:43Z</cp:lastPrinted>
  <dcterms:modified xsi:type="dcterms:W3CDTF">2026-06-23T09:37:33Z</dcterms:modified>
  <cp:revision>9</cp:revision>
  <dc:subject>автозапчасти</dc:subject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