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КОНТРАКТА № ______________</w:t>
      </w:r>
    </w:p>
    <w:p>
      <w:pPr>
        <w:spacing w:after="0" w:line="240" w:lineRule="auto"/>
        <w:ind w:firstLine="709"/>
        <w:jc w:val="center"/>
      </w:pPr>
    </w:p>
    <w:p>
      <w:pPr>
        <w:tabs>
          <w:tab w:val="center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Калининская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___» ________ 2026</w:t>
      </w:r>
      <w:r>
        <w:rPr>
          <w:rFonts w:ascii="Times New Roman" w:hAnsi="Times New Roman" w:cs="Times New Roman"/>
          <w:sz w:val="24"/>
          <w:szCs w:val="24"/>
        </w:rPr>
        <w:t xml:space="preserve">г.     </w:t>
      </w:r>
    </w:p>
    <w:p>
      <w:pPr>
        <w:tabs>
          <w:tab w:val="center" w:pos="510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Федеральное государственное бюджетное учреждение  «Управление мелиорации земель и сельскохозяйственного водоснабжения по Краснодарскому краю» (ФГБУ «Управление «Кубаньмелиоводхоз»), именуемое в дальнейшем «Заказчик», в лице директора Калининского филиала Башкирова Виктора Николаевича, действующего на основании Положения о филиале </w:t>
      </w:r>
      <w:r>
        <w:rPr>
          <w:rFonts w:ascii="Times New Roman" w:hAnsi="Times New Roman" w:cs="Times New Roman"/>
          <w:sz w:val="24"/>
          <w:szCs w:val="24"/>
        </w:rPr>
        <w:t xml:space="preserve">и доверенности № 2 от 14.02.2026</w:t>
      </w:r>
      <w:r>
        <w:rPr>
          <w:rFonts w:ascii="Times New Roman" w:hAnsi="Times New Roman" w:cs="Times New Roman"/>
          <w:sz w:val="24"/>
          <w:szCs w:val="24"/>
        </w:rPr>
        <w:t xml:space="preserve"> г., с одной стороны, и ____________________________, именуемое в дальнейшем «Исполнитель», в лице ___________________________________________________________________________________, действующий на основании _______________________, с другой стороны, вместе именуемые стороны, в соответствии с законодательством Российской Федерации и на основании п.4 ч.1 ст.93 ФЗ 44-ФЗ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заключили настоящий Контракт (в дальнейшем - Контракт) о нижеследующем: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 w:val="off"/>
        <w:spacing w:after="0" w:line="240" w:lineRule="auto"/>
        <w:ind w:firstLine="709"/>
        <w:jc w:val="center"/>
        <w:outlineLvl w:val="2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 xml:space="preserve">ПРЕДМЕТ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 xml:space="preserve">А</w:t>
      </w:r>
    </w:p>
    <w:p>
      <w:pPr>
        <w:widowControl w:val="off"/>
        <w:spacing w:after="0" w:line="240" w:lineRule="auto"/>
        <w:ind w:firstLine="708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1.1. </w:t>
      </w:r>
      <w:bookmarkStart w:id="0" w:name="_Hlk116919642"/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Предметом настоящего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а </w:t>
      </w:r>
      <w:bookmarkEnd w:id="0"/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Оказание услуг по ремонту оргтехники для нужд Калининского филиала ФГБУ «Управление «Кубаньмелиоводхоз» (далее – </w:t>
      </w:r>
      <w:r>
        <w:rPr>
          <w:rFonts w:ascii="Times New Roman" w:hAnsi="Times New Roman" w:eastAsia="SimSun" w:cs="Times New Roman"/>
          <w:b/>
          <w:bCs/>
          <w:color w:val="auto"/>
          <w:sz w:val="24"/>
          <w:szCs w:val="24"/>
          <w:lang w:eastAsia="ru-RU"/>
        </w:rPr>
        <w:t xml:space="preserve">услуги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).</w:t>
      </w:r>
    </w:p>
    <w:p>
      <w:pPr>
        <w:widowControl w:val="off"/>
        <w:spacing w:after="0" w:line="240" w:lineRule="auto"/>
        <w:ind w:firstLine="709"/>
        <w:contextualSpacing/>
        <w:jc w:val="both"/>
        <w:rPr>
          <w:rFonts w:hint="eastAsia" w:ascii="Tinos" w:hAnsi="Tinos" w:eastAsia="SimSun" w:cs="Tinos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1.2. И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сполнитель обязуется оказать услуги, предусмотренные настоящим 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ом на свой риск, собственными и (или) привлеченными силами и средствами работы на объекте в соответствии с Техническим заданием и иными условиями 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а.</w:t>
      </w:r>
    </w:p>
    <w:p>
      <w:pPr>
        <w:widowControl w:val="o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hint="eastAsia" w:ascii="Tinos" w:hAnsi="Tinos" w:eastAsia="SimSun" w:cs="Tinos"/>
          <w:color w:val="auto"/>
          <w:sz w:val="24"/>
          <w:szCs w:val="24"/>
          <w:lang w:eastAsia="ru-RU"/>
        </w:rPr>
      </w:pP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1.3. Заказчик обязуется принять оказанные услуги, предусмотренные предметом 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а, и оплатить их в соответствии с условиями настоящего 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bCs/>
          <w:color w:val="auto"/>
          <w:sz w:val="24"/>
          <w:szCs w:val="24"/>
          <w:lang w:eastAsia="ru-RU"/>
        </w:rPr>
        <w:t xml:space="preserve">а.</w:t>
      </w:r>
    </w:p>
    <w:p>
      <w:pPr>
        <w:widowControl w:val="o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ind w:firstLine="709"/>
        <w:jc w:val="center"/>
        <w:outlineLvl w:val="2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2. ЦЕНА 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А И ПОРЯДОК РАСЧЕТОВ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</w:pPr>
      <w:bookmarkStart w:id="1" w:name="_Hlk168645991"/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2.1. Общая стоимость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Контракт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а составляет: __________ (_____________) рублей ____ копеек, в том числе НДС ___________ (________________) рублей ___ копеек. (В случае если Исполнитель не является плательщиком НДС,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указать «НДС не облагается»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)</w:t>
      </w:r>
      <w:r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footnoteReference w:id="1"/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.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zh-CN"/>
        </w:rPr>
        <w:t xml:space="preserve">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2.2 Цена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 является твердой, определяется на весь срок исполнения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а, за исключением случаев, указанных в настоящем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е.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000000"/>
          <w:spacing w:val="9"/>
          <w:sz w:val="24"/>
          <w:szCs w:val="24"/>
          <w:lang w:eastAsia="ar-SA"/>
        </w:rPr>
      </w:pPr>
      <w:bookmarkStart w:id="2" w:name="_Hlk164155308"/>
      <w:bookmarkStart w:id="3" w:name="_Hlk167367099"/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Оплата услуг по настоящему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у осуществляется путем перечисления денежных средств на расчетный счет Исполнителя по реквизитам, указанным в настоящем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е не позднее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7 (семи)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рабочих дней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момента надлежаще оформленного и подписанного обеими Сторонами акта приемки услуг.</w:t>
      </w:r>
      <w:bookmarkEnd w:id="1"/>
    </w:p>
    <w:p>
      <w:pPr>
        <w:widowControl w:val="off"/>
        <w:tabs>
          <w:tab w:val="left" w:pos="9536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2.3. </w:t>
      </w:r>
      <w:bookmarkStart w:id="4" w:name="_Hlk167367647"/>
      <w:bookmarkStart w:id="5" w:name="_Hlk168406914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Цена устанавливается в российских рублях и включает в себя: стоимость Услуг, налоги (НДС), транспортные услуги, страховые услуги, стоимость документов качества, другие затраты и обязательные платежи, необходимые для выполнения настоящего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а.</w:t>
      </w:r>
      <w:bookmarkEnd w:id="2"/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pPr>
      <w:bookmarkStart w:id="6" w:name="_Hlk167367520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2.4. </w:t>
      </w: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Датой оплаты оказанных услуг считается дата списания денежных средств с лицевого счета Заказчика.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2.5.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Сумма, подлежащая уплате Исполнителю, уменьшается на размер налогов, сборов и иных обязательных платежей в бюджетную систему Российской Федерации, связанных с оплатой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End w:id="3"/>
      <w:bookmarkEnd w:id="4"/>
      <w:bookmarkEnd w:id="5"/>
    </w:p>
    <w:p>
      <w:pPr>
        <w:widowControl w:val="off"/>
        <w:tabs>
          <w:tab w:val="left" w:pos="9536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  <w:t xml:space="preserve">2.6. </w:t>
      </w:r>
      <w:bookmarkStart w:id="7" w:name="_Hlk167366748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  <w:t xml:space="preserve">Источник финансирования – средства субсидий федерального бюджета на финансовое обеспечение выпо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  <w:t xml:space="preserve">лнения государственного задания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ar-SA"/>
        </w:rPr>
        <w:t xml:space="preserve">.</w:t>
      </w:r>
      <w:bookmarkEnd w:id="6"/>
      <w:bookmarkEnd w:id="7"/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ind w:firstLine="709"/>
        <w:jc w:val="center"/>
        <w:outlineLvl w:val="2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3. КАЧЕСТВО УСЛУГ</w:t>
      </w:r>
    </w:p>
    <w:p>
      <w:pPr>
        <w:widowControl w:val="off"/>
        <w:spacing w:after="0" w:line="240" w:lineRule="auto"/>
        <w:ind w:firstLine="709"/>
        <w:contextualSpacing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3.1. Исполнитель гарантирует оказание услуг в соответствии с требованиями действующего законодательства и условиями настоящего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3.2. Исполнитель гарантирует надлежащее качество всех оказанных услуг и своевременное устранение недостатков и дефектов, выявленных при приемке оказанных услуг. Качество услуг должно соответствовать всем действующим требованиям.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ind w:firstLine="709"/>
        <w:jc w:val="center"/>
        <w:outlineLvl w:val="2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4. СРОК, МЕСТО ОКАЗАНИЯ УСЛУГ, ПОРЯДОК ОКАЗАНИЯ И ПРИЕМА-СДАЧИ ОКАЗАННЫХ УСЛУГ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4.1. Место оказания услуг:</w:t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 xml:space="preserve">353780, Краснодарский край, Калининский район, ст. Калининская, ул. Заречная, д.25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4.2. Сроки (период), оказания услуг: </w:t>
      </w:r>
      <w:r>
        <w:rPr>
          <w:rFonts w:ascii="Times New Roman" w:hAnsi="Times New Roman" w:eastAsia="Times New Roman" w:cs="Tahoma"/>
          <w:bCs/>
          <w:color w:val="auto"/>
          <w:sz w:val="24"/>
          <w:szCs w:val="28"/>
          <w:lang w:eastAsia="ru-RU"/>
        </w:rPr>
        <w:t xml:space="preserve">Максимальный срок оказания услуг составляет </w:t>
      </w:r>
      <w:bookmarkStart w:id="8" w:name="_GoBack"/>
      <w:bookmarkEnd w:id="8"/>
      <w:r>
        <w:rPr>
          <w:rFonts w:ascii="Times New Roman" w:hAnsi="Times New Roman" w:eastAsia="Times New Roman" w:cs="Tahoma"/>
          <w:bCs/>
          <w:color w:val="auto"/>
          <w:sz w:val="24"/>
          <w:szCs w:val="28"/>
          <w:lang w:eastAsia="ru-RU"/>
        </w:rPr>
        <w:t xml:space="preserve">2 рабочих дня с момента отправления Заявки заказчика, при ремонте, который требует замену сложных узлов должен составлять не более 5 (рабочих) дней с даты отправления Заявки Заказчиком, и должен быть согласован с ним.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4.3. Порядок оказания услуг указываются в Техническом задании (приложение № 1 к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у).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  <w:t xml:space="preserve">4.4. Все риски, связанные с оказанием услуг до момента их приемки Заказчиком, несет Исполнитель.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ind w:firstLine="709"/>
        <w:jc w:val="center"/>
        <w:outlineLvl w:val="2"/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b/>
          <w:caps/>
          <w:color w:val="auto"/>
          <w:sz w:val="24"/>
          <w:szCs w:val="24"/>
          <w:lang w:eastAsia="ru-RU"/>
        </w:rPr>
        <w:t xml:space="preserve">ПРАВА И ОБЯЗАННОСТИ СТОРОН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 Права Заказчика: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5.1.1. Требовать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от Исполнителя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надлежащего исполнения обязательств в соответствии с условиями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а, а также требовать своевременного устранения недостатков.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5.1.2. Требовать от Исполнителя представления надлежащим образом оформленных документов, предусмотренных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ом.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5.1.3. Запрашивать у Исполнителя информацию о ходе и состоянии исполнения обязательств Исполнителя по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у.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5.1.4. Осуществлять контроль за порядком и сроками оказания услуг.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5.1.5. Привлекать экспертов, экспертные организации для проверки соответствия качества оказываемых услуг требованиям, установленным настоящим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ом.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5.1.6.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Осуществлять иные права в соответствии с действующим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 Обязанности Заказчика: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5.2.1. Обеспечить своевременную приемку оказанных услуг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и проведение экспертизы для проверки оказанных услуг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 в части соответствия условиям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5.2.2. Принять и оплатить оказанные услуги при отсутствии у Заказчика замечаний по качеству, соответствию оказанных услуг иным условиям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5.2.3. Требовать уплаты неустойки (штрафа, пени) в случае неисполнения (ненадлежащего исполнения) Исполнителем обязательств по настоящему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у, а также возмещения убытков, причиненных по вине Исполнителя.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5.2.4.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Своевременно предоставлять разъяснения и уточнения по запросам Исполнителя в части оказания услуг в соответствии с условиями настоящего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 Права Исполнителя: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5.3.1. Требовать от Заказчика приемки оказанных услуг в соответствии с условиями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5.3.2. Требовать от Заказчика своевременной оплаты надлежащим образом исполненных им обязательств.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5.3.3. Требовать уплаты неустоек (штрафов, пеней) в случае просрочки исполнения Заказчиком обязательств, предусмотренных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ом.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4"/>
          <w:szCs w:val="24"/>
          <w:lang w:eastAsia="ru-RU"/>
        </w:rPr>
        <w:t xml:space="preserve">5.3.4. Привлекать соисполнителя, за действия, которых несет ответственность, как за свои собственные.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 Обязанности Исполнителя: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5.4.1. Своевременно и надлежащим образом исполнять обязательства в соответствии с условиями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5.4.2. Представить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5.4.3. Представить Заказчику сведения об изменении своего фактического местонахождения, телефона, факса, электронной почты в течение 1 (одного) рабочего дня с момента изменений, в письменной форме.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5.4.4. По требованию Заказчика своими силами и за свой счет в срок, указанный Заказчиком, устранить выявленные недостатки при оказании услуг.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5.4.5. В случае изменения банковских реквизитов в течение 1 (одного) рабочего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е банковский счет Исполнителя, несет Исполнитель.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</w:p>
    <w:p>
      <w:pPr>
        <w:keepNext/>
        <w:widowControl w:val="off"/>
        <w:spacing w:after="0" w:line="240" w:lineRule="auto"/>
        <w:ind w:firstLine="709"/>
        <w:jc w:val="center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bookmarkStart w:id="9" w:name="_Hlk117261519"/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  <w:t xml:space="preserve">6. ОТВЕТСТВЕННОСТЬ СТОРОН</w:t>
      </w:r>
    </w:p>
    <w:p>
      <w:pPr>
        <w:widowControl w:val="off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6.1. За неисполнение или ненадлежащее исполнение обязательств по настоящему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у Стороны несут ответственность в соответствии с условиями настоящего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а, а </w:t>
      </w:r>
      <w:r>
        <w:rPr>
          <w:rFonts w:ascii="Times New Roman" w:hAnsi="Times New Roman" w:eastAsia="SimSun" w:cs="Times New Roman"/>
          <w:color w:val="000000"/>
          <w:spacing w:val="-1"/>
          <w:sz w:val="24"/>
          <w:szCs w:val="24"/>
          <w:lang w:eastAsia="ru-RU"/>
        </w:rPr>
        <w:t xml:space="preserve">в части, им не урегулированной, в порядке, установленном действующим законодательством Российской Федерации.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6.2.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ом, размер штрафа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устанавливается в следующем порядке: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 процентов цены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 (этапа) в случае, если цена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 (этапа) не превышает 3 млн. рублей;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 процентов цены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 (этапа) в случае, если цена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 (этапа) составляет от 3 млн. рублей до 50 млн. рублей (включительно).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6.3. 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е таких обязательств)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в следующем порядке: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 не превышает 3 млн. рублей;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 составляет от 3 млн. рублей до 50 млн. рублей (включительно).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bookmarkStart w:id="10" w:name="Par26"/>
      <w:bookmarkEnd w:id="9"/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6.4. За каждый факт неисполнения Заказчиком обязательств, предусмотренных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ом, размер штрафа устанавливается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в следующем порядке: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 не превышает 3 млн. рублей (включительно);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а составляет от 3 млн. рублей до 50 млн. рублей (включительно).</w:t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Сумма неустойки перечисля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ется на лицевой счет Заказчика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по следующим реквизитам: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ОКПО 01032410,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ОКАТО 03401000000    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ИНН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2312042708,  КПП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 231201001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ОКЦ № 1 ВВГУ Банка России //УФК по Нижегородской области,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г. Нижний Новгород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Номер казначейского счета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03214643000000013241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Единый казначейский счет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40102810745370000024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л/с 20186Х24140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ОГРН 1032307159521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  <w:t xml:space="preserve">БИК 012202102 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hi-IN" w:bidi="hi-IN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6.5. </w:t>
      </w:r>
      <w:bookmarkStart w:id="11" w:name="_Hlk532295044"/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ом, </w:t>
      </w:r>
      <w:bookmarkEnd w:id="10"/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Исполнитель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ом срока исполнения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 w:bidi="hi-IN"/>
        </w:rPr>
        <w:t xml:space="preserve">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widowControl w:val="off"/>
        <w:shd w:val="clear" w:color="auto" w:fill="ffffff"/>
        <w:tabs>
          <w:tab w:val="left" w:pos="1517"/>
        </w:tabs>
        <w:spacing w:after="0" w:line="57" w:lineRule="atLeast"/>
        <w:ind w:firstLine="709"/>
        <w:contextualSpacing/>
        <w:jc w:val="both"/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</w:pP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6.6. В случае просрочки исполнения Исполнителем обязательств, предусмотренных 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ом, пеня начисляется за каждый день просрочки исполнения Исполнителем обязательства, предусмотренного 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а </w:t>
      </w:r>
      <w:r>
        <w:rPr>
          <w:rFonts w:ascii="Tinos" w:hAnsi="Tinos" w:eastAsia="Tinos" w:cs="Tinos"/>
          <w:bCs/>
          <w:color w:val="000000"/>
          <w:sz w:val="24"/>
          <w:szCs w:val="24"/>
          <w:lang w:eastAsia="ru-RU"/>
        </w:rPr>
        <w:t xml:space="preserve">(отдельного этапа исполнения </w:t>
      </w:r>
      <w:r>
        <w:rPr>
          <w:rFonts w:ascii="Tinos" w:hAnsi="Tinos" w:eastAsia="Tinos" w:cs="Tinos"/>
          <w:bCs/>
          <w:color w:val="000000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bCs/>
          <w:color w:val="000000"/>
          <w:sz w:val="24"/>
          <w:szCs w:val="24"/>
          <w:lang w:eastAsia="ru-RU"/>
        </w:rPr>
        <w:t xml:space="preserve">а)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ом </w:t>
      </w:r>
      <w:r>
        <w:rPr>
          <w:rFonts w:ascii="Tinos" w:hAnsi="Tinos" w:eastAsia="Tinos" w:cs="Tinos"/>
          <w:color w:val="auto"/>
          <w:sz w:val="24"/>
          <w:szCs w:val="24"/>
          <w:lang w:eastAsia="ru-RU"/>
        </w:rPr>
        <w:t xml:space="preserve">(соответствующим отдельным этапом исполнения </w:t>
      </w:r>
      <w:r>
        <w:rPr>
          <w:rFonts w:ascii="Tinos" w:hAnsi="Tinos" w:eastAsia="Tinos" w:cs="Tinos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nos" w:hAnsi="Tinos" w:eastAsia="Tinos" w:cs="Tinos"/>
          <w:color w:val="auto"/>
          <w:sz w:val="24"/>
          <w:szCs w:val="24"/>
          <w:lang w:eastAsia="ru-RU"/>
        </w:rPr>
        <w:t xml:space="preserve">а)</w:t>
      </w:r>
      <w:r>
        <w:rPr>
          <w:rFonts w:ascii="Tinos" w:hAnsi="Tinos" w:eastAsia="Tinos" w:cs="Tinos"/>
          <w:color w:val="000000"/>
          <w:spacing w:val="-2"/>
          <w:sz w:val="24"/>
          <w:szCs w:val="24"/>
          <w:lang w:eastAsia="ru-RU"/>
        </w:rPr>
        <w:t xml:space="preserve"> и фактически исполненных Исполнителем.</w:t>
      </w:r>
    </w:p>
    <w:p>
      <w:pPr>
        <w:widowControl w:val="off"/>
        <w:shd w:val="clear" w:color="auto" w:fill="ffffff"/>
        <w:tabs>
          <w:tab w:val="left" w:pos="1517"/>
        </w:tabs>
        <w:spacing w:after="0" w:line="57" w:lineRule="atLeast"/>
        <w:contextualSpacing/>
        <w:jc w:val="both"/>
        <w:rPr>
          <w:rFonts w:hint="eastAsia" w:ascii="Tinos" w:hAnsi="Tinos" w:eastAsia="SimSun" w:cs="Tinos"/>
          <w:color w:val="000000"/>
          <w:spacing w:val="-2"/>
          <w:sz w:val="24"/>
          <w:szCs w:val="24"/>
          <w:lang w:eastAsia="ru-RU"/>
        </w:rPr>
      </w:pPr>
      <w:r>
        <w:rPr>
          <w:rFonts w:ascii="Tinos" w:hAnsi="Tinos" w:eastAsia="SimSun" w:cs="Tinos"/>
          <w:color w:val="000000"/>
          <w:spacing w:val="-2"/>
          <w:sz w:val="24"/>
          <w:szCs w:val="24"/>
          <w:lang w:eastAsia="ru-RU"/>
        </w:rPr>
        <w:t xml:space="preserve">Сумма неустойки перечисляется на лицевой счет Заказчика, указанный в реквизитах.</w:t>
      </w:r>
    </w:p>
    <w:p>
      <w:pPr>
        <w:spacing w:after="200" w:line="276" w:lineRule="auto"/>
        <w:ind w:firstLine="709"/>
        <w:contextualSpacing/>
        <w:jc w:val="both"/>
        <w:rPr>
          <w:rFonts w:eastAsia="Times New Roman" w:cs="Times New Roman"/>
          <w:color w:val="ff0000"/>
          <w:spacing w:val="-2"/>
          <w:lang w:eastAsia="ru-RU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6.7.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а.</w:t>
      </w:r>
    </w:p>
    <w:p>
      <w:pPr>
        <w:widowControl w:val="off"/>
        <w:shd w:val="clear" w:color="auto" w:fill="ffffff"/>
        <w:tabs>
          <w:tab w:val="left" w:pos="1517"/>
        </w:tabs>
        <w:spacing w:after="0" w:line="57" w:lineRule="atLeast"/>
        <w:ind w:firstLine="709"/>
        <w:contextualSpacing/>
        <w:jc w:val="both"/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6.8.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а.</w:t>
      </w:r>
    </w:p>
    <w:p>
      <w:pPr>
        <w:widowControl w:val="off"/>
        <w:shd w:val="clear" w:color="auto" w:fill="ffffff"/>
        <w:tabs>
          <w:tab w:val="left" w:pos="1517"/>
        </w:tabs>
        <w:spacing w:after="0" w:line="57" w:lineRule="atLeast"/>
        <w:ind w:firstLine="709"/>
        <w:contextualSpacing/>
        <w:jc w:val="both"/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6.9. В случае неисполнения, ненадлежащего исполнения, просрочки исполнения обязательств, предусмотренных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ом, Заказчик производит оплату по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у Исполнителю за вычетом соответствующего размера неустойки (штрафа, пени), предусмотренных настоящим разделом 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000000"/>
          <w:spacing w:val="-2"/>
          <w:sz w:val="24"/>
          <w:szCs w:val="24"/>
          <w:lang w:eastAsia="ru-RU"/>
        </w:rPr>
        <w:t xml:space="preserve">а.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left="3027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  <w:t xml:space="preserve">             7.  ФОРС-МАЖОР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7.1. Стороны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у, если неисполнение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7.2. Сторона, которая не в состоянии выполнить свои обязательства по настоящему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у в силу вышеуказанных обстоятельств, незамедлительно письменно информирует другую Сторону о наступлении данных обстоятельств и прекращении выполнения указанных обязательств, но в любом случае не позднее 3 (трех) рабочих дней после начала их действия. Несвоевременное уведомление о наступлении обстоятельств непреодолимой силы лишает соответствующую Сторон у права на освобождение от ответственности за частичное или полное неисполнение обязательств по настоящему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у по причине указанных обстоятельств. Факт наступления и прекращения обстоятельств непреодолимой силы документально подтверждается компетентными государственными органами.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7.3. Если указанные обстоятельства продолжаются более 1 (одного) месяца, то каждая Сторона имеет право на досрочное расторжение настоящего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а. В этом случае Стороны производят взаиморасчеты.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ind w:firstLine="709"/>
        <w:jc w:val="center"/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  <w:t xml:space="preserve">8. УСЛОВИЯ КОНФИДЕНЦИАЛЬНОСТИ.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8.1. По взаимному согласию Сторон в рамках настоящего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 конфиденциальной признается информация, касающаяся предмета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а, хода его выполнения и полученных результатов.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8.2. Каждая из Сторон обязана обеспечить защиту конфиденциальной информации от несанкционированного использования, распространения или публикации.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8.3. Любой ущерб, вызванный нарушением положений настоящего раздела, определяется и возмещается в соответствии с действующим законодательством Российской Федерации.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ind w:firstLine="709"/>
        <w:jc w:val="center"/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9.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ab/>
        <w:t xml:space="preserve">ПОРЯДОК ИЗМЕНЕНИЯ И РАСТОРЖЕНИЯ 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А</w:t>
      </w:r>
    </w:p>
    <w:p>
      <w:pPr>
        <w:widowControl w:val="o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9.1. Внесение изменений в настоящий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считается действительным, если оно подтверждено Сторонами в виде заключения дополнительного соглашения в письменной форме.</w:t>
      </w:r>
    </w:p>
    <w:p>
      <w:pPr>
        <w:widowControl w:val="o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.2. Заказчик по согласованию с Исполнителем при исполнении 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а вправе 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изменить объем, цену и (или) сроки исполнения (действия) 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а, в случае, если такие изменения ведут к обоснованному улучшению условий 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ru-RU"/>
        </w:rPr>
        <w:t xml:space="preserve">а для Заказчика </w:t>
      </w:r>
      <w:r>
        <w:rPr>
          <w:rFonts w:ascii="Times New Roman" w:hAnsi="Times New Roman" w:eastAsia="SimSun" w:cs="Times New Roman"/>
          <w:bCs/>
          <w:color w:val="000000"/>
          <w:sz w:val="24"/>
          <w:szCs w:val="24"/>
        </w:rPr>
        <w:t xml:space="preserve">по сравнению с указанными в итоговом протоколе и не ухудшают экономическую эффективность закупки, в том числе не превышают начальную (максимальную) цену, установленную в документации о закупке.</w:t>
      </w:r>
    </w:p>
    <w:p>
      <w:pPr>
        <w:widowControl w:val="off"/>
        <w:tabs>
          <w:tab w:val="left" w:pos="2880"/>
        </w:tabs>
        <w:spacing w:after="0" w:line="240" w:lineRule="auto"/>
        <w:ind w:firstLine="709"/>
        <w:jc w:val="both"/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  <w:t xml:space="preserve">9.3. Заказчик вправе изменить при исполнении 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  <w:t xml:space="preserve">а цену 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Lucida Sans Unicode" w:cs="Times New Roman"/>
          <w:color w:val="auto"/>
          <w:sz w:val="24"/>
          <w:szCs w:val="24"/>
          <w:lang w:eastAsia="ru-RU"/>
        </w:rPr>
        <w:t xml:space="preserve">а в случае изменения в соответствии с законодательством Российской Федерации регулируемых государством цен (тарифов) соответственно размеру изменения (цен тарифов).</w:t>
      </w:r>
    </w:p>
    <w:p>
      <w:pPr>
        <w:widowControl w:val="o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9.4. Расторжение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возможно по соглашению сторон, решению суда или вследствие одностороннего отказа от исполнения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а.</w:t>
      </w:r>
    </w:p>
    <w:p>
      <w:pPr>
        <w:widowControl w:val="o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9.5. Заказчик вправе принять решение об одностороннем отказе от исполнения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по основаниям, предусмотренным Гражданским кодексом Российской Федерации.</w:t>
      </w:r>
    </w:p>
    <w:p>
      <w:pPr>
        <w:widowControl w:val="o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9.6. Заказчик вправе провести экспертизу оказанных услуг, с привлечением экспертов, экспертных организаций до принятия решения об одностороннем отказе от исполнения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а.</w:t>
      </w:r>
    </w:p>
    <w:p>
      <w:pPr>
        <w:widowControl w:val="o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9.7. Решение Заказчика об одностороннем отказе от исполнения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Исполнителя, указанному в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а.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е. При невозможности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получения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в единой информационной системе.</w:t>
      </w:r>
    </w:p>
    <w:p>
      <w:pPr>
        <w:widowControl w:val="o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9.8. Решение Заказчика об одностороннем отказе от исполнения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вступает в силу и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а.</w:t>
      </w:r>
    </w:p>
    <w:p>
      <w:pPr>
        <w:widowControl w:val="o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</w:rPr>
      </w:pPr>
      <w:bookmarkStart w:id="12" w:name="Par11"/>
      <w:bookmarkEnd w:id="11"/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9.9. В случае расторжения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в связи с односторонним отказом Заказчика от исполнения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Заказчик вправе осуществить закупку Услуг, который являлся предметом расторгнутого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а.</w:t>
      </w:r>
    </w:p>
    <w:p>
      <w:pPr>
        <w:widowControl w:val="o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color w:val="auto"/>
          <w:sz w:val="24"/>
          <w:szCs w:val="24"/>
          <w:lang w:eastAsia="ar-SA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9.10. В случае расторжения настоящего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Стороны производят сверку расчетов, которой подтверждается объем услуг, оказанных Исполнителем.</w:t>
      </w:r>
    </w:p>
    <w:p>
      <w:pPr>
        <w:widowControl w:val="off"/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bCs/>
          <w:strike/>
          <w:color w:val="ff0000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ind w:firstLine="709"/>
        <w:jc w:val="center"/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10. РАЗРЕШЕНИЕ СПОРОВ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10.1. </w:t>
      </w:r>
      <w:bookmarkStart w:id="13" w:name="_Hlk164156349"/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В своих взаимоотношениях Стороны стремятся избегать противоречий и конфликтов, а в случае возникновения таковых – разрешать их на основе взаимного согласия. Если согласие не достигнуто, то споры и противоречия разрешаются в соответствии с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ом и действующим гражданским законодательством РФ.</w:t>
      </w:r>
    </w:p>
    <w:p>
      <w:pPr>
        <w:widowControl w:val="off"/>
        <w:tabs>
          <w:tab w:val="left" w:pos="1300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10.2.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В случае не достижения взаимного согласия, споры по настоящему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у передаются на разрешение в Арбитражный суд Краснодарского края в соответствии с законодательством Российской Федерации.</w:t>
      </w:r>
    </w:p>
    <w:p>
      <w:pPr>
        <w:widowControl w:val="off"/>
        <w:tabs>
          <w:tab w:val="left" w:pos="1300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10.3.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До передачи спора на разрешение Арбитражного суда Краснодарского края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ответ, по существу, в срок не позднее 10 (десяти) календарных дней с даты ее получения. </w:t>
      </w:r>
      <w:bookmarkEnd w:id="12"/>
    </w:p>
    <w:p>
      <w:pPr>
        <w:widowControl w:val="off"/>
        <w:tabs>
          <w:tab w:val="left" w:pos="4211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000000"/>
          <w:sz w:val="24"/>
          <w:szCs w:val="24"/>
          <w:lang w:eastAsia="ru-RU"/>
        </w:rPr>
      </w:pPr>
    </w:p>
    <w:p>
      <w:pPr>
        <w:widowControl w:val="off"/>
        <w:shd w:val="clear" w:color="auto" w:fill="ffffff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ind w:firstLine="709"/>
        <w:jc w:val="center"/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11. ПРОЧИЕ УСЛОВИЯ 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SimSun" w:cs="Times New Roman"/>
          <w:b/>
          <w:color w:val="auto"/>
          <w:sz w:val="24"/>
          <w:szCs w:val="24"/>
          <w:lang w:eastAsia="ru-RU"/>
        </w:rPr>
        <w:t xml:space="preserve">А.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11.1. Любое уведомление или иное сообщение, направляемое Заказчиком или Исполнителем друг другу по настоящему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 под расписку, заказным письмом или телеграммой по адресу, указанному в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е и за подписью полномочного лица. 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11.2. Уведомления и сообщения, отсылаемые по почте, направляются на адрес Стороны, указанный в настоящем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е, либо по месту нахождения, указанному в ЕГРЮЛ.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11.3. Уклонение Стороны от получения почтового отправления, равно как и отсутствие Стороны по адресу, не будут расцениваться как ненадлежащее уведомление Стороны. В этом случае уведомление считается полученным в сроки, установленные почтовой организацией в качестве нормативных.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11.4. При исполнении настоящего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а не допускается перемена Исполнителя, за исключением случаев, если новый Исполнитель является правопреемником Исполнителя по настоящему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у.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11.5. Во всем ином, не урегулированном в настоящем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е, Стороны будут руководствоваться нормами законодательства Российской Федерации.</w:t>
      </w:r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11.6. 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Настоящий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действует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с момента его заключения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 до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ar-SA"/>
        </w:rPr>
        <w:t xml:space="preserve">полного исполнения сторонами своих обязательств по 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  <w:lang w:eastAsia="ar-SA"/>
        </w:rPr>
        <w:t xml:space="preserve">у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. Истечение срока действия 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а не освобождает Стороны от ответственности за ненадлежащее исполнение своих обязательств по настоящему 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color w:val="auto"/>
          <w:sz w:val="24"/>
          <w:szCs w:val="24"/>
        </w:rPr>
        <w:t xml:space="preserve">у, в том числе за неисполнение гарантийных обязательств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.</w:t>
      </w:r>
      <w:bookmarkEnd w:id="13"/>
    </w:p>
    <w:p>
      <w:pPr>
        <w:widowControl w:val="off"/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11.7. Настоящий 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eastAsia="SimSun" w:cs="Times New Roman"/>
          <w:bCs/>
          <w:color w:val="auto"/>
          <w:sz w:val="24"/>
          <w:szCs w:val="24"/>
        </w:rPr>
        <w:t xml:space="preserve"> составлен в двух экземплярах, имеющих равную юридическую силу, по одному для каждой из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SimSu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11.8. Во всем, что не предусмотрено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ом, Стороны руководствуются действующим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11.9. Неотъемлемыми частями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являются:</w:t>
      </w:r>
    </w:p>
    <w:p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Приложение № 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Техническое задание.</w:t>
      </w:r>
    </w:p>
    <w:p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40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846"/>
        <w:gridCol w:w="4394"/>
      </w:tblGrid>
      <w:tr>
        <w:trPr>
          <w:trHeight w:val="7086"/>
        </w:trPr>
        <w:tc>
          <w:tcPr>
            <w:tcW w:w="5845" w:type="dxa"/>
            <w:shd w:val="clear" w:color="auto" w:fill="auto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«Заказчик»          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ФГБУ «Управление «Кубаньмелиоводхоз»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Юридический адрес: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РФ, 350058, Краснодарский край, г. Краснодар, ул.Селезнева,242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РФ, 353780, Краснодарский край, ст. Калининская,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ул. Заречная, 25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ОГРН: 1032307159521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ИНН: 2312042708; КПП: 231201001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Номер казначейского счета – 03214643000000013241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Единый казначейский счет – 40102810745370000024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Банк: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ОКЦ № 1 ВВГУ Банка России //УФК по Нижегородской области, г. Нижний Новгород 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УФК по Краснодарскому краю (ФГБУ «Управление «Кубаньмелиоводхоз»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л/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20186X24140)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ar-SA"/>
              </w:rPr>
              <w:t xml:space="preserve">БИК 012202102 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eastAsia="ar-SA"/>
              </w:rPr>
              <w:t xml:space="preserve">    </w:t>
            </w:r>
          </w:p>
          <w:p>
            <w:pPr>
              <w:spacing w:after="0" w:line="240" w:lineRule="auto"/>
              <w:ind w:right="-7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Телефон: 8(86163) 21-4-69</w:t>
            </w:r>
          </w:p>
          <w:p>
            <w:pPr>
              <w:widowControl w:val="off"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: </w:t>
            </w:r>
            <w:hyperlink r:id="rId10" w:tooltip="mailto:pkos@kmvh.ru" w:history="1">
              <w:r>
                <w:rPr>
                  <w:rFonts w:ascii="Times New Roman" w:hAnsi="Times New Roman" w:eastAsia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 xml:space="preserve">pkos</w:t>
              </w:r>
              <w:r>
                <w:rPr>
                  <w:rFonts w:ascii="Times New Roman" w:hAnsi="Times New Roman"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@</w:t>
              </w:r>
              <w:r>
                <w:rPr>
                  <w:rFonts w:ascii="Times New Roman" w:hAnsi="Times New Roman" w:eastAsia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 xml:space="preserve">kmvh</w:t>
              </w:r>
              <w:r>
                <w:rPr>
                  <w:rFonts w:ascii="Times New Roman" w:hAnsi="Times New Roman"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.</w:t>
              </w:r>
              <w:r>
                <w:rPr>
                  <w:rFonts w:ascii="Times New Roman" w:hAnsi="Times New Roman" w:eastAsia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 xml:space="preserve">ru</w:t>
              </w:r>
            </w:hyperlink>
          </w:p>
          <w:p>
            <w:pPr>
              <w:widowControl w:val="off"/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</w:p>
          <w:p>
            <w:pPr>
              <w:widowControl w:val="off"/>
              <w:spacing w:after="0" w:line="240" w:lineRule="auto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Директор Калининского филиала </w:t>
            </w:r>
          </w:p>
          <w:p>
            <w:pPr>
              <w:widowControl w:val="off"/>
              <w:spacing w:after="0" w:line="240" w:lineRule="auto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ru-RU"/>
              </w:rPr>
              <w:t xml:space="preserve">ФГБУ «Управление «Кубаньмелиоводхоз»</w:t>
            </w:r>
          </w:p>
          <w:p>
            <w:pPr>
              <w:widowControl w:val="off"/>
              <w:spacing w:after="0" w:line="240" w:lineRule="auto"/>
              <w:rPr>
                <w:rFonts w:ascii="Times New Roman" w:hAnsi="Times New Roman" w:eastAsia="SimSun" w:cs="Times New Roman"/>
                <w:b/>
                <w:color w:val="auto"/>
                <w:sz w:val="24"/>
                <w:szCs w:val="24"/>
                <w:lang w:eastAsia="zh-CN"/>
              </w:rPr>
            </w:pPr>
          </w:p>
          <w:p>
            <w:pPr>
              <w:suppressLineNumbers/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_______________ /В.Н. Башкиров/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>
            <w:pPr>
              <w:widowControl w:val="off"/>
              <w:spacing w:after="0" w:line="288" w:lineRule="auto"/>
              <w:ind w:right="31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«Исполнитель»</w:t>
            </w: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pStyle w:val="aff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_________________/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aff4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520"/>
      <w:bookmarkEnd w:id="14"/>
    </w:p>
    <w:p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Приложение № 1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Контракту № _____________ 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 2026г.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</w:pPr>
      <w:bookmarkStart w:id="15" w:name="Par421"/>
      <w:bookmarkEnd w:id="15"/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  <w:t xml:space="preserve">Техническое задание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  <w:t xml:space="preserve">на оказание услуг по ремонту оргтехники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  <w:t xml:space="preserve">Калининского филиала ФГБУ «Управление «Кубаньмелиоводхоз»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целях содержания оборудования в исправном состоянии и постоянной готовности, необходимо осуществить оказание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услуг по ремонту и техническому обслуживанию компьютерной техники, средств печати и копирования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соответствии с требованиями и с характеристиками, представленными в Приложение № 1.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eastAsia="zh-CN"/>
        </w:rPr>
        <w:t xml:space="preserve">З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lang w:val="zh-CN" w:eastAsia="zh-CN"/>
        </w:rPr>
        <w:t xml:space="preserve">аказчик: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Калининский филиал ФГБУ «Управление «Кубаньмелиоводхоз».</w:t>
      </w:r>
    </w:p>
    <w:p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Адрес: РФ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353780, Краснодарский край, Калининский район, ст. Калининская, ул. Заречная, д.25</w:t>
      </w:r>
    </w:p>
    <w:p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Требования к качеству, к характеристикам оказания услуг, требования к их безопасности, требования к результатам услуг и иные показатели: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состав предоставляемых услуг должны входить услуги по предотвращению возникновения отказов и восстановлению работоспособности оборудования.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Необходимо обеспечить услуги диагностики оборудования. Диагностика и техническое обслуживание крупногабаритного оборудования должно производиться по месту нахождения указанного оборудования в Калининском филиале ФГБУ «Управление «Кубаньмелиоводхоз». Организацию доступа для оказания услуг по техническому обслуживанию и ремонту такого оборудования обеспечивает Заказчик.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Передача техники   осуществляется по следующему адресу Заказчика: Краснодарский край, Калининский район, станица Калининская, ул. Заречная, д.25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 передаче оргтехники Исполнителю представители сторон заполняют и подписывают акт приема-передачи, подтверждающий приём Исполнителем оргтехники Заказчика на временное ответственное хранение для оказания услуг.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Исполнитель должен обеспечить ремонт оргтехники (многофункциональных устройств МФУ) с использованием собственных запасных частей для обеспечения эффективной и бесперебойной работы оборудования, в соответствии с нормами и правилами, определёнными в технической документации фирмы-изготовителя. Все работы по выполнению услуги Исполнитель производит в собственном сервисном центре, расходы по транспортировке Исполнитель производит за свой счет.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обязан оказать услуги по фактической потребности Заказчика в пределах цены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 и обеспечить их надлежащее качество, в соответствии с действующими техническими условиями на данные виды услуг с применением собственных запасных частей.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Максимальный срок оказания услуг составляет 2 рабочих дня с момента отправления Заявки заказчика, при ремонте, который требует замену сложных узлов должен составлять не более 5 (рабочих) дней с даты отправления Заявки Заказчиком, и должен быть согласован с ним.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по требованию Заказчика обеспечивает на время оказания услуг подменной техникой аналогичного класса, как и переданная в ремонт.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должен обеспечить Заказчика контактными телефонами, по которым представитель Заказчика мог информировать квалифицированный персонал Исполнителя или его представителя о дефектах в работе техники, проводить консультации по вопросам эксплуатации техники. Контактные телефоны должны функционировать в рабочее время Заказчика. Рабочее время Заказчика – с 8:00 до 17:00 (время местное) с понедельника по пятницу за исключением общегосударственных выходных и праздничных дней.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 окончании ремонтно-восстановительных работ Исполнитель оформляет Акт о результатах ремонта (обслуживания) оборудования, картриджей представляемого на техническое обслуживание и ремонтно-восстановительные работы. Результаты оказанных услуг отражаются в Акте, Акт заверяется подписью представителя Заказчика, получившим оборудование, картриджи и представителем Исполнителя, один экземпляр остается у Исполнителя, второй – передается представителю Заказчика, получившему оборудование, картриджи.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случае, когда восстановление работоспособности оборудования, картриджей нецелесообразно в связи с его предельным износом, Исполнитель информирует об этом Заказчика, если указанный факт выявлен сразу при первичном осмотре. Заказчик, в свою очередь, имеет право отказаться от ремонта, либо запросить проведение диагностики, сделав соответствующую запись в Акте. В случае, когда нецелесообразность проведения работ выявлена не сразу, а после согласия Заказчика на ремонт, так как причины неисправности носят сложный характер, Исполнитель отражает проведенную диагностику в Акте. Форму Акта разрабатывает Исполнитель.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Услуги по ремонту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оргтехники  включают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 себя: диагностику профилактику и чистку оборудования, и ремонтные работы.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Диагностика – осмотр техники, выявление неисправности, рекомендации по устранению неисправности (заключение по результатам диагностики, ремонт без замены запасных частей, расходных материалов) 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Профилактика на рабочем месте клиента (смазка шестерней, устранение пыли с оптических элементов, калибровка устройства)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Ремонтные работы – это комплекс работ по устранению отказов, неисправностей или отклонений в работе техники и приведение ее в работоспособное состояние (восстановление технических характеристик до первоначального уровня или до уровня, обеспечивающего штатное использование техники по её прямому назначению) с заменой вышедших из строя деталей, узлов, запасных частей техники.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После проведения ремонта оборудование Заказчика должно быть в технически исправном состоянии. Исполнитель при оказании услуг должен использовать запасные части, расходные материалы надлежащего качества. Исполнитель должен гарантировать качество замененных запасных частей, их надлежащее функционирование не менее ресурса, установленного производителем.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Запасные части, используемые при ремонте должны быть новыми, не восстановленными. Заменяемые в ходе ремонта запчасти должны быть ввезены в Российскую Федерацию официально и иметь все необходимые документы.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 осуществлении ремонта картриджей Исполнитель должен выполнить следующие операции: присвоить индивидуальный номер картриджа по которому Заказчик может отследить все виды работ, которые были произведены данному картриджу; предварительное тестирование картриджа; полная разборка картриджа, очистка от остатков тонера и пыли на специальном оборудовании, снятие остаточного напряжения; заправить тонером (при необходимости); заменить чип, если таковой предусмотрен конструкцией картриджа; заменить фоторецептор (при необходимости), ролик заряда (при необходимости), магнитный ролик (при необходимости), дозирующего лезвия (при необходимости), ракель (при необходимости), замена корпуса (при необходимости); картридж должен содержать наклейку с проведенными работами (Заправка, Замена ФБ, Замена МВ, и т.д.), наименованием Исполнителя, выполнившего работы по их заправке и ремонту; индивидуальный номер картриджа; собрать картридж.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Исполнитель должен обеспечить проведение ремонта и технического обслуживания многофункциональных устройств для обеспечения эффективной и бесперебойной работы оборудования, в соответствии с нормами и правилами, определёнными в технической документации фирмы-изготовителя, а также ГОСТ18322-78 «Система технического обслуживания и ремонта техники», ГОСТ 28470-90 «Система технического обслуживания и ремонта технических средств вычислительной техники и информатики».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Согласно ГОСТ18322-78, Ремонт – это комплекс операций по восстановлению исправности или работоспособности изделий и восстановлению ресурсов изделий или их составных частей.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Согласно ГОСТ18322-78, Техническое обслуживание – это комплекс операций или операция по поддержанию работоспособности или исправности изделия при использовании по назначению, ожидании, хранении и транспортировании. Задачей технического обслуживания является обеспечение надежной (правильной и бесперебойной) работы оборудования. Техническое обслуживание включает в себя: разборку техники, чистку и смазку всех узлов и компонентов (смазка используется специальная для каждого вида техники, согласно рекомендациям производителя), протяжка узлов и компонентов (со временем все элементы имеют свойство ослаблять крепления), проверка и настройка рабочих параметров техники.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Вся  техника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переданная в ремонт  должна быть возвращена в работоспособном состоянии.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Порядок проведения технического обслуживания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Специалисты Исполнителя проводят обязательную диагностику и ремонт в сервисных центрах, не зависимо от сроков и причины поломки или неисправности. Техническое обслуживание крупногабаритного оборудования, выполняемое на территории Заказчика, производится в соответствии с графиком, предоставляемым Заказчиком. График технического обслуживания крупногабаритного оборудования предоставляется Заказчиком после подписания контракта.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Специалист Исполнителя прибывает на объект Заказчика в соответствии с утвержденной датой проведения технического обслуживания крупногабаритного оборудования.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 окончании выполнения технического обслуживания, специалист Исполнителя подписывает Сведения о видах работ по ремонту, реконструкции, модернизации, дооборудовании и расходах на их проведение, который так же заверяется подписью представителя Заказчика, получившего оборудование.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Требования к качеству услуг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Качество услуг соответствует требованиям качества, безопасности жизни и здоровья, требованиям сертификации безопасности.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ГОСТ 13.0.002-84 «Репрография. Термины и определения»,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ГОСТ 13.1.701-95 «Репрография. Микрография. Тест-объекты для контроля качества микроизображения. Типы. Методы контроля»,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ГОСТ 13.2.001-2001 «Репрография.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Копирография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Аппараты копировальные электрофотографические. Общие технические требования»,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ГОСТ 13.2.013-93 «Репрография.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Копирография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Тест-оригиналы для контроля качества копий. Основные параметры и размеры»,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ГОСТ 13.2.014-2001 «Репрография.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Копирография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Метод испытаний сухих тонеров для электрофотографических аппаратов по качеству воспроизведения изображения на копиях»,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ГОСТ 13.2.015-2001 «Репрография.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Копирография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Метод определения расхода тонера при проявлении в электрофотографических аппаратах»,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Восстановленный картридж не имеет следов вскрытия, механических повреждений и высыпания тонера.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Перечень видов услуг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Плановые услуги.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Плановая диагностика оборудования с выдачей рекомендаций по эксплуатации и с устранением возможных выявленных диагностикой проблем до повышения их критичности.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Профилактическое обслуживание оборудования по методикам, указанным в технической документации оборудования.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Консультационные услуги.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Консультации по вопросам конфигурирования и эксплуатации оборудования.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Консультации по проведению превентивных мер для недопущения аварийных ситуаций.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Консультации по диагностике и локализации возникшей неисправности на оборудовании.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Консультации по вопросам расширения и модернизации.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Другие технические вопросы, связанные с функционированием оборудования.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Услуги по восстановлению работоспособности оборудования.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Дистанционная диагностика предполагаемой неисправности оборудовании с привлечением специалистов заказчика.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Консультационная поддержка специалистов на местах в процессе устранения неисправности на оборудовании.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Устранение неисправностей путём замены (обновления) микропрограммного обеспечения в оборудовании.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Услуги по оперативной замене вышедшего из строя оборудования или его комплектующих.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Услуги по техническому обслуживанию и ремонту картриджей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Ремонт картриджа (замена фоторецептора);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Ремонт картриджа (замена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электролизатора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);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Ремонт картриджа (замена ракельного ножа);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Ремонт картриджа (замена магнитного вала);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Ремонт картриджа (замена чипа).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Перечень видов услуг по техническому обслуживанию и ремонту компьютерной техники, средств печати и копирования, в том числе ремонт и заправка картриджей приведен в Приложении № 2 к Техническому заданию.</w:t>
      </w:r>
    </w:p>
    <w:p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Требования к услугам по ремонту оборудования, картриджей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Услуги по ремонту (Приложение №1 к Техническому заданию) должны предоставляться с использованием только сертифицированных запасных частей, комплектующих и расходных материалов производителей оборудования согласно перечню, указанному в Приложении №1 к Техническому заданию.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После завершения ремонта производится тестирование оборудования, позволяющее убедиться в его работоспособности.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После предоставления услуг по ремонту, вышедшие из строя компоненты оборудования остаются у Исполнителя и утилизируются за счет Исполнителя.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предоставляет Заказчику заключение о неисправностях в оборудовании (согласно ГОСТ № 21552-84 (СТ СЭВ 3185-81)).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производит обновление программного обеспечения оборудования до последней версии (если существует фактическая возможность).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Услуги по ремонту оборудования должны включать в себя диагностику аппаратной части оборудования: механических и электрических узлов и соединений, охлаждающих систем и систем нагрева, узлов подачи и других неотъемлемых частей оборудования.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 оказании услуг по ремонту и заправке картриджей используемые Исполнителем запасные части, комплектующие и расходные материалы должны соответствовать государственным стандартам или техническим условиям, действующим в Российской Федерации (гарантирующие качество и безопасность товаров), иметь товарный знак (при наличии).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гарантирует, что передаваемые заказчику картриджи являются полностью заправленными новым тонером и отремонтированными посредством замены дефектных деталей новыми (не бывшими в эксплуатации, не восстановленными) запасными частями.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Отремонтированные картриджи должны обеспечивать качественную работу, сформированное изображения на бумаге должно быть ярким, четким, символы не должны быть деформированными, на бумаге не должно присутствовать точек, линий, фона, волн и иных отпечатков, указывающих на неправильную работу картриджа. Отремонтированный картридж должен обеспечивать хорошее качество печати до следующего ремонта минимум 3 (три) заправки. Если в этот период качество печати ухудшится, исполнитель обязан произвести ремонт такого картриджа за свой счет.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Каждый картридж должен быть упакован в светонепроницаемый, герметичный пакет с тестовым листом. Пакет должен иметь этикетку с наименованием картриджа и моделями оборудования, для которого он предназначен.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 требованию Заказчика Исполнитель обязан предоставить информацию по произведенным работам по индивидуальным номерам.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Перед передачей картриджей на ремонт Заказчик распечатывает на каждом картридже «тестовую» страницу. Картриджи, которые нуждаются в ремонте, Заказчик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передает Исполнителю со вторым экземпляром распечатанной «тестовой» страницы, на которой видны дефекты печати: продольная темная полоса по краю листа, поперечные повторяющиеся темные полосы, серый фон на всем листе и прочее.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Заказчик передает картриджи Исполнителю согласно Ведомости приема-передачи на заправку (обслуживание) картриджей (Приложение №1.1. к настоящему Техническому заданию), в котором указано: количество; модели картриджей; отмечены те, что нуждаются в ремонте.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Один экземпляр списка передается Исполнителю, второй остается у Заказчика.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возвращает отремонтированные картриджи Заказчику вместе с заполненной Ведомостью приема-передачи на заправку (обслуживание) картриджей (Приложение №1.1. к настоящему Техническому заданию).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Заказчик принимает отремонтированные картриджи и в присутствии представителя Исполнителя распечатывает «тестовую» страницу каждого полученного картриджа. В случае обнаружения дефектов печати, Заказчик возвращает такие картриджи Исполнителю для устранения дефектов без дополнительной оплаты.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Заказчик вправе осуществлять контроль за оказанием услуг путем направления своего представителя в сервисный центр Исполнителя для наблюдения за процессом ремонта картриджей.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Подвижные элементы картриджей после ремонта должны легко перемещаться, без перекосов и заеданий.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приступает к ремонтно-восстановительным работам, которые не могут превышать следующие сроки: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в случае мелкого ремонта при наличии необходимых комплектующих - 8 часа;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в случае заправки исправного картриджа, не требующего ремонта рабочих узлов – 4 часа;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в случае сложного, требующего замены или ремонта особо важных технологических узлов, при наличии необходимых комплектующих - 2 рабочих дня;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Если в течение 2 (двух) рабочих дней после заправки или ремонта Заказчиком будут выявлены дефекты при использовании картриджей в работе (качество печати хуже качества эталонной копии, наличие загрязнений подающего тракта принтера тонером, отсутствие печати), Исполнитель обязан устранить дефекты за свой счет в течение 1 (одного) рабочего дня с момента заявления о них Заказчиком.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 выявлении нецелесообразности дальнейшего ремонта картриджа, Исполнитель обязан составить и предоставить Заказчику акт диагностики картриджа с экспертной оценкой о невозможности его дальнейшего использования.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Требования к качеству и безопасности услуг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Качество услуг должно соответствовать санитарно-эпидемиологическим нормам, а также иным требованиям качества, безопасности жизни и здоровья, требованиям сертификации, безопасности (государственным стандартам и т.п.), лицензирования, если такие требования предъявляются действующим законодательством Российской Федерации или производителем.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не имеет права разглашать конфиденциальную информацию, ставшую ему известной при выполнении технического обслуживания и ремонта оргтехники Заказчика.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обязуется соблюдать все правила, которые действуют на территории Заказчика, в том числе требования к технике безопасности и пожарной безопасности при оказании услуг.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несет материальную ответственность за случайное или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преднамеренное повреждение оргтехники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или утрату оргтехники (отдельных ее частей), переданной на ремонт.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несет ответственность за соблюдение мер безопасности в соответствии с нормативными документами, правилами и стандартами, регулирующими данные правоотношения.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Вся  техника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переданная в ремонт  должна быть возвращена в работоспособном состоянии.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После завершения ремонта производится тестирование оборудования, позволяющее убедиться в его работоспособности.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После предоставления услуг по ремонту, вышедшие из строя компоненты оборудования остаются у Исполнителя и утилизируются за счет Исполнителя.</w:t>
      </w:r>
    </w:p>
    <w:p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Требования к гарантийному сроку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Гарантийный срок оказанной услуги должен быть не менее 12 (двенадцати) месяцев с даты подписания акта оказанных услуг.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Гарантийный срок распространяется на произведенные работы и ресурс работы замененных в ходе работ запасных частей и комплектующих.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случае некачественного оказания услуг Исполнитель в течение гарантийного срока обязуется устранить причину некачественной работы оборудования. Транспортировка оргтехники в случаях, признаваемых гарантийными, также должна осуществляться за счет Исполнителя услуг.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Услуги по техническому обслуживанию, проводимые Исполнителем на гарантийном оборудовании, не должны повлечь за собой утрату гарантийных обязательств со стороны производителей (поставщиков) оборудования, не должны производиться с нарушением гарантийных пломб и этикеток, а также должны строго соответствовать требованиям производителей оборудования установленными на период гарантийных обязательств.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 отказе производителя (уполномоченного сервисного центра производителя) оборудования в исполнении своих гарантийных обязательств по причине нарушения Исполнителем условий гарантии восстановление работоспособности данного оборудования осуществляется за счет Исполнителя.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Приёмка товара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принимает  оказанные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услуги от Исполнителя  на основании полученного акта выполненных работ и счета. Датой оказания услуг считается дата подписания акта выполненных работ.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Порядок и условия оплаты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 предоставляет счет и акт выполненных работ, на основании полученных документов   Заказчик осуществляет окончательный расчёт после подписания акта выполненных работ в течение 7 банковских дней. 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стоимость работ должны быть включены все налоги, пошлины, и прочие сборы, стоимость расходных материалов и оборудования необходимых для выполнения работ.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Заказчик считается исполнившим свои обязательства по оплате выполненных работ с момента поступления денежных средств на расчетный счет Исполнителя.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Расчеты между Сторонами осуществляются безналичным (платежным поручением) путем перечисления денежных средств на расчетный счет Исполнителя.</w:t>
      </w:r>
    </w:p>
    <w:p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Приложение № 1 </w:t>
      </w:r>
    </w:p>
    <w:p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к Техническому заданию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ПЕРЕЧЕНЬ КОМПЬЮТЕРНОЙ ТЕХНИКИ, СРЕДСТВ ПЕЧАТИ И КОПИРОВАНИЯ, КАРТРИДЖЕЙ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Печатное и копировально-множительное оборудование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15"/>
        <w:gridCol w:w="5656"/>
        <w:gridCol w:w="1417"/>
      </w:tblGrid>
      <w:tr>
        <w:trPr>
          <w:trHeight w:val="170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п/п</w:t>
            </w:r>
          </w:p>
        </w:tc>
        <w:tc>
          <w:tcPr>
            <w:tcW w:w="1715" w:type="dxa"/>
            <w:tcBorders>
              <w:top w:val="single" w:color="auto" w:sz="4" w:space="0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Наименование</w:t>
            </w:r>
          </w:p>
        </w:tc>
        <w:tc>
          <w:tcPr>
            <w:tcW w:w="5656" w:type="dxa"/>
            <w:tcBorders>
              <w:top w:val="single" w:color="auto" w:sz="4" w:space="0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Модель</w:t>
            </w:r>
          </w:p>
        </w:tc>
        <w:tc>
          <w:tcPr>
            <w:tcW w:w="1417" w:type="dxa"/>
            <w:tcBorders>
              <w:top w:val="single" w:color="auto" w:sz="4" w:space="0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</w:t>
            </w:r>
          </w:p>
        </w:tc>
      </w:tr>
      <w:tr>
        <w:trPr>
          <w:trHeight w:val="170"/>
        </w:trPr>
        <w:tc>
          <w:tcPr>
            <w:tcW w:w="866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</w:t>
            </w:r>
          </w:p>
        </w:tc>
        <w:tc>
          <w:tcPr>
            <w:tcW w:w="1715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Принтер  </w:t>
            </w:r>
          </w:p>
        </w:tc>
        <w:tc>
          <w:tcPr>
            <w:tcW w:w="5656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Canon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LBR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6020,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инвентарный номер 21013400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</w:t>
            </w:r>
          </w:p>
        </w:tc>
        <w:tc>
          <w:tcPr>
            <w:tcW w:w="1417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ед.</w:t>
            </w:r>
          </w:p>
        </w:tc>
      </w:tr>
      <w:tr>
        <w:trPr>
          <w:trHeight w:val="170"/>
        </w:trPr>
        <w:tc>
          <w:tcPr>
            <w:tcW w:w="866" w:type="dxa"/>
            <w:tcBorders>
              <w:top w:val="none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</w:t>
            </w:r>
          </w:p>
        </w:tc>
        <w:tc>
          <w:tcPr>
            <w:tcW w:w="1715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Системный блок</w:t>
            </w:r>
          </w:p>
        </w:tc>
        <w:tc>
          <w:tcPr>
            <w:tcW w:w="5656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Ремонт системного блока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Core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i 6100/H11/4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GdDDR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4/1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TdHDD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DVDRW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/450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ATXWin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H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OfficeHBis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201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инвентарный номер 2101340203</w:t>
            </w:r>
          </w:p>
        </w:tc>
        <w:tc>
          <w:tcPr>
            <w:tcW w:w="1417" w:type="dxa"/>
            <w:tcBorders>
              <w:top w:val="none"/>
              <w:left w:val="none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ед.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Перечень картриджей, подлежащих ремонту</w:t>
      </w:r>
    </w:p>
    <w:tbl>
      <w:tblPr>
        <w:tblW w:w="965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65"/>
        <w:gridCol w:w="4956"/>
        <w:gridCol w:w="2416"/>
        <w:gridCol w:w="1417"/>
      </w:tblGrid>
      <w:tr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п/п</w:t>
            </w:r>
          </w:p>
        </w:tc>
        <w:tc>
          <w:tcPr>
            <w:tcW w:w="4956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Наименование</w:t>
            </w:r>
          </w:p>
        </w:tc>
        <w:tc>
          <w:tcPr>
            <w:tcW w:w="2416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Код ОКПД2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Ед. изм.</w:t>
            </w:r>
          </w:p>
        </w:tc>
      </w:tr>
      <w:tr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</w:t>
            </w:r>
          </w:p>
        </w:tc>
        <w:tc>
          <w:tcPr>
            <w:tcW w:w="4956" w:type="dxa"/>
            <w:shd w:val="clear" w:color="auto" w:fill="auto"/>
            <w:vAlign w:val="center"/>
          </w:tcPr>
          <w:p>
            <w:pPr>
              <w:widowControl w:val="off"/>
              <w:spacing w:after="0" w:line="240" w:lineRule="auto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Тонер-картридж для HP 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LazerJet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Pro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 Р1102</w:t>
            </w:r>
          </w:p>
        </w:tc>
        <w:tc>
          <w:tcPr>
            <w:tcW w:w="2416" w:type="dxa"/>
            <w:shd w:val="clear" w:color="auto" w:fill="auto"/>
            <w:vAlign w:val="center"/>
          </w:tcPr>
          <w:p>
            <w:pPr>
              <w:widowControl w:val="off"/>
              <w:spacing w:after="0" w:line="240" w:lineRule="auto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95.11.10.130</w:t>
            </w:r>
            <w:r>
              <w:rPr>
                <w:rFonts w:ascii="Times New Roman" w:hAnsi="Times New Roman" w:eastAsia="Arial Unicode MS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. </w:t>
            </w:r>
          </w:p>
        </w:tc>
        <w:tc>
          <w:tcPr>
            <w:tcW w:w="1417" w:type="dxa"/>
            <w:shd w:val="clear" w:color="auto" w:fill="auto"/>
          </w:tcPr>
          <w:p>
            <w:pPr>
              <w:widowControl w:val="off"/>
              <w:spacing w:after="0" w:line="240" w:lineRule="auto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6 шт.</w:t>
            </w:r>
          </w:p>
        </w:tc>
      </w:tr>
      <w:tr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</w:t>
            </w:r>
          </w:p>
        </w:tc>
        <w:tc>
          <w:tcPr>
            <w:tcW w:w="4956" w:type="dxa"/>
            <w:shd w:val="clear" w:color="auto" w:fill="auto"/>
            <w:vAlign w:val="center"/>
          </w:tcPr>
          <w:p>
            <w:pPr>
              <w:widowControl w:val="off"/>
              <w:spacing w:after="0" w:line="240" w:lineRule="auto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Тонер-картридж для 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val="en-US" w:eastAsia="ru-RU"/>
              </w:rPr>
              <w:t xml:space="preserve">Canon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val="en-US" w:eastAsia="ru-RU"/>
              </w:rPr>
              <w:t xml:space="preserve">LBP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6020</w:t>
            </w:r>
          </w:p>
        </w:tc>
        <w:tc>
          <w:tcPr>
            <w:tcW w:w="2416" w:type="dxa"/>
            <w:shd w:val="clear" w:color="auto" w:fill="auto"/>
          </w:tcPr>
          <w:p>
            <w:pPr>
              <w:widowControl w:val="off"/>
              <w:spacing w:after="0" w:line="240" w:lineRule="auto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95.11.10.130</w:t>
            </w:r>
            <w:r>
              <w:rPr>
                <w:rFonts w:ascii="Times New Roman" w:hAnsi="Times New Roman" w:eastAsia="Arial Unicode MS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. </w:t>
            </w:r>
          </w:p>
        </w:tc>
        <w:tc>
          <w:tcPr>
            <w:tcW w:w="1417" w:type="dxa"/>
            <w:shd w:val="clear" w:color="auto" w:fill="auto"/>
          </w:tcPr>
          <w:p>
            <w:pPr>
              <w:widowControl w:val="off"/>
              <w:spacing w:after="0" w:line="240" w:lineRule="auto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2 шт.</w:t>
            </w:r>
          </w:p>
        </w:tc>
      </w:tr>
      <w:tr>
        <w:trPr>
          <w:trHeight w:val="20"/>
        </w:trPr>
        <w:tc>
          <w:tcPr>
            <w:tcW w:w="865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</w:t>
            </w:r>
          </w:p>
        </w:tc>
        <w:tc>
          <w:tcPr>
            <w:tcW w:w="4956" w:type="dxa"/>
            <w:shd w:val="clear" w:color="auto" w:fill="auto"/>
            <w:vAlign w:val="center"/>
          </w:tcPr>
          <w:p>
            <w:pPr>
              <w:widowControl w:val="off"/>
              <w:spacing w:after="0" w:line="240" w:lineRule="auto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Тонер-картридж для 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Canon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 3010 </w:t>
            </w: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val="en-US" w:eastAsia="ru-RU"/>
              </w:rPr>
              <w:t xml:space="preserve">LBP</w:t>
            </w:r>
          </w:p>
        </w:tc>
        <w:tc>
          <w:tcPr>
            <w:tcW w:w="2416" w:type="dxa"/>
            <w:shd w:val="clear" w:color="auto" w:fill="auto"/>
          </w:tcPr>
          <w:p>
            <w:pPr>
              <w:widowControl w:val="off"/>
              <w:spacing w:after="0" w:line="240" w:lineRule="auto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95.11.10.130</w:t>
            </w:r>
            <w:r>
              <w:rPr>
                <w:rFonts w:ascii="Times New Roman" w:hAnsi="Times New Roman" w:eastAsia="Arial Unicode MS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. </w:t>
            </w:r>
          </w:p>
        </w:tc>
        <w:tc>
          <w:tcPr>
            <w:tcW w:w="1417" w:type="dxa"/>
            <w:shd w:val="clear" w:color="auto" w:fill="auto"/>
          </w:tcPr>
          <w:p>
            <w:pPr>
              <w:widowControl w:val="off"/>
              <w:spacing w:after="0" w:line="240" w:lineRule="auto"/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 Unicode MS" w:cs="Times New Roman"/>
                <w:color w:val="auto"/>
                <w:sz w:val="24"/>
                <w:szCs w:val="24"/>
                <w:lang w:eastAsia="ru-RU"/>
              </w:rPr>
              <w:t xml:space="preserve">2 шт.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Вид работ</w:t>
      </w:r>
    </w:p>
    <w:tbl>
      <w:tblPr>
        <w:tblW w:w="965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5664"/>
        <w:gridCol w:w="2274"/>
        <w:gridCol w:w="850"/>
      </w:tblGrid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</w:p>
        </w:tc>
        <w:tc>
          <w:tcPr>
            <w:tcW w:w="566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Наименование</w:t>
            </w:r>
          </w:p>
        </w:tc>
        <w:tc>
          <w:tcPr>
            <w:tcW w:w="227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Код ОКПД2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Ед. изм.</w:t>
            </w:r>
          </w:p>
        </w:tc>
      </w:tr>
      <w:tr>
        <w:trPr>
          <w:trHeight w:val="20"/>
        </w:trPr>
        <w:tc>
          <w:tcPr>
            <w:tcW w:w="9654" w:type="dxa"/>
            <w:gridSpan w:val="4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Ремонт системного блока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Core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6100/H11/4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GdDDR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4/1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TdHDD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DVDRW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/450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ATXWin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H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OfficeHBis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201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инвентарный номер 2101340203 в том числе: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</w:t>
            </w:r>
          </w:p>
        </w:tc>
        <w:tc>
          <w:tcPr>
            <w:tcW w:w="566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Чистка от пыли</w:t>
            </w:r>
          </w:p>
        </w:tc>
        <w:tc>
          <w:tcPr>
            <w:tcW w:w="227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95.11.10.110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</w:t>
            </w:r>
          </w:p>
        </w:tc>
        <w:tc>
          <w:tcPr>
            <w:tcW w:w="566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Установка программ</w:t>
            </w:r>
          </w:p>
        </w:tc>
        <w:tc>
          <w:tcPr>
            <w:tcW w:w="227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35.12.29.900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</w:t>
            </w:r>
          </w:p>
        </w:tc>
        <w:tc>
          <w:tcPr>
            <w:tcW w:w="566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Замена  жесткого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 диска  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val="en-US" w:eastAsia="zh-CN"/>
              </w:rPr>
              <w:t xml:space="preserve">SSD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  240 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val="en-US" w:eastAsia="zh-CN"/>
              </w:rPr>
              <w:t xml:space="preserve">Gb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7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26.20.21.110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</w:t>
            </w:r>
          </w:p>
        </w:tc>
        <w:tc>
          <w:tcPr>
            <w:tcW w:w="566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Замена 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термопа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val="en-US" w:eastAsia="zh-CN"/>
              </w:rPr>
              <w:t xml:space="preserve">c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ты</w:t>
            </w:r>
          </w:p>
        </w:tc>
        <w:tc>
          <w:tcPr>
            <w:tcW w:w="227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26.20.40.130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</w:t>
            </w:r>
          </w:p>
        </w:tc>
        <w:tc>
          <w:tcPr>
            <w:tcW w:w="566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val="en-US" w:eastAsia="zh-CN"/>
              </w:rPr>
              <w:t xml:space="preserve">П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а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val="en-US" w:eastAsia="zh-CN"/>
              </w:rPr>
              <w:t xml:space="preserve">мять</w:t>
            </w:r>
          </w:p>
        </w:tc>
        <w:tc>
          <w:tcPr>
            <w:tcW w:w="227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26.20.21.110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9654" w:type="dxa"/>
            <w:gridSpan w:val="4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Принтер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Canon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 xml:space="preserve">LBR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6020, инвентарный номер 2101340032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</w:t>
            </w:r>
          </w:p>
        </w:tc>
        <w:tc>
          <w:tcPr>
            <w:tcW w:w="5664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Canon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Насадки на ролик захвата i-SENSYS MF  237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w</w:t>
            </w:r>
          </w:p>
        </w:tc>
        <w:tc>
          <w:tcPr>
            <w:tcW w:w="227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95.11.10.110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</w:t>
            </w:r>
          </w:p>
        </w:tc>
        <w:tc>
          <w:tcPr>
            <w:tcW w:w="5664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Canon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Тормозная площадка i-SENSYS MF  237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w</w:t>
            </w:r>
          </w:p>
        </w:tc>
        <w:tc>
          <w:tcPr>
            <w:tcW w:w="227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35.12.29.900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шт.</w:t>
            </w:r>
          </w:p>
        </w:tc>
      </w:tr>
      <w:tr>
        <w:trPr>
          <w:trHeight w:val="20"/>
        </w:trPr>
        <w:tc>
          <w:tcPr>
            <w:tcW w:w="866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</w:t>
            </w:r>
          </w:p>
        </w:tc>
        <w:tc>
          <w:tcPr>
            <w:tcW w:w="5664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Canon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Вал резиновый нижний i-SENSYS MF 237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w</w:t>
            </w:r>
          </w:p>
        </w:tc>
        <w:tc>
          <w:tcPr>
            <w:tcW w:w="227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/>
              </w:rPr>
              <w:t xml:space="preserve">26.20.21.110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шт.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Приложение № 1.1 </w:t>
      </w:r>
    </w:p>
    <w:p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к Техническому заданию 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ВЕДОМОСТЬ</w:t>
      </w:r>
    </w:p>
    <w:p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приема-передачи на заправку (обслуживание) картриджей </w:t>
      </w:r>
    </w:p>
    <w:p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___. ____. ______г.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97"/>
        <w:gridCol w:w="2068"/>
        <w:gridCol w:w="1552"/>
        <w:gridCol w:w="1584"/>
        <w:gridCol w:w="1431"/>
        <w:gridCol w:w="1940"/>
      </w:tblGrid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п/п</w:t>
            </w: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Наименование</w:t>
            </w: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Количество</w:t>
            </w: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Примечание</w:t>
            </w: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Заправка</w:t>
            </w: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Восстановление</w:t>
            </w: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c>
          <w:tcPr>
            <w:tcW w:w="997" w:type="dxa"/>
            <w:tcBorders>
              <w:top w:val="single" w:color="auto" w:sz="4" w:space="0"/>
              <w:left w:val="none"/>
              <w:bottom w:val="none"/>
              <w:right w:val="none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Принял</w:t>
            </w:r>
          </w:p>
        </w:tc>
        <w:tc>
          <w:tcPr>
            <w:tcW w:w="2173" w:type="dxa"/>
            <w:tcBorders>
              <w:top w:val="single" w:color="auto" w:sz="4" w:space="0"/>
              <w:left w:val="none"/>
              <w:bottom w:val="single" w:color="auto" w:sz="4" w:space="0"/>
              <w:right w:val="none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one"/>
              <w:bottom w:val="none"/>
              <w:right w:val="none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Передал</w:t>
            </w:r>
          </w:p>
        </w:tc>
        <w:tc>
          <w:tcPr>
            <w:tcW w:w="1613" w:type="dxa"/>
            <w:tcBorders>
              <w:top w:val="single" w:color="auto" w:sz="4" w:space="0"/>
              <w:left w:val="none"/>
              <w:bottom w:val="single" w:color="auto" w:sz="4" w:space="0"/>
              <w:right w:val="none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none"/>
              <w:bottom w:val="none"/>
              <w:right w:val="none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none"/>
              <w:bottom w:val="none"/>
              <w:right w:val="none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426" w:right="849" w:bottom="397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imSun">
    <w:panose1 w:val="02000506000000020000"/>
  </w:font>
  <w:font w:name="Tinos">
    <w:panose1 w:val="02020603050405020304"/>
  </w:font>
  <w:font w:name="Mangal">
    <w:panose1 w:val="02040503050406030204"/>
  </w:font>
  <w:font w:name="Liberation Sans">
    <w:panose1 w:val="020B060402020202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Standard"/>
        <w:ind w:firstLine="567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Style w:val="af1"/>
          <w:highlight w:val="white"/>
        </w:rPr>
        <w:footnoteRef/>
      </w:r>
      <w:r>
        <w:rPr>
          <w:highlight w:val="white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  <w:highlight w:val="white"/>
        </w:rPr>
        <w:t xml:space="preserve">В случае утраты лицом, с которым заключен Контракт, права на освобождение от уплаты НДС на основании Налогового кодекса Российской Федерации, цена Контракта остается неизменной и включает в себя все применимые налоги. </w:t>
      </w:r>
    </w:p>
    <w:p>
      <w:pPr>
        <w:pStyle w:val="Standard"/>
        <w:ind w:firstLine="567"/>
        <w:jc w:val="both"/>
        <w:rPr>
          <w:rFonts w:ascii="Tinos" w:hAnsi="Tinos"/>
          <w:i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i/>
          <w:iCs/>
          <w:sz w:val="22"/>
          <w:szCs w:val="22"/>
          <w:highlight w:val="white"/>
        </w:rPr>
        <w:t xml:space="preserve">В случае изменения применяемой ставки НДС на основании Налогового кодекса Российской Федерации, цена Контракта остается неизменной и включает в себя все применимые налоги. </w:t>
      </w:r>
    </w:p>
    <w:p>
      <w:pPr>
        <w:pStyle w:val="af"/>
        <w:rPr>
          <w:highlight w:val="white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multiLevelType w:val="hybridMultilevel"/>
    <w:lvl w:ilvl="0">
      <w:start w:val="1"/>
      <w:numFmt w:val="decimal"/>
      <w:lvlText w:val="2.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.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.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.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.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.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.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.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.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 w:tplc="04D6C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plc="B2EEE556">
      <w:start w:val="1"/>
      <w:numFmt w:val="decimal"/>
      <w:lvlText w:val="%1."/>
      <w:lvlJc w:val="left"/>
      <w:pPr>
        <w:ind w:left="720" w:hanging="360"/>
      </w:pPr>
    </w:lvl>
    <w:lvl w:ilvl="1" w:tplc="B0D09BEE">
      <w:start w:val="1"/>
      <w:numFmt w:val="lowerLetter"/>
      <w:lvlText w:val="%2."/>
      <w:lvlJc w:val="left"/>
      <w:pPr>
        <w:ind w:left="1440" w:hanging="360"/>
      </w:pPr>
    </w:lvl>
    <w:lvl w:ilvl="2" w:tplc="9BF817BC">
      <w:start w:val="1"/>
      <w:numFmt w:val="lowerRoman"/>
      <w:lvlText w:val="%3."/>
      <w:lvlJc w:val="right"/>
      <w:pPr>
        <w:ind w:left="2160" w:hanging="180"/>
      </w:pPr>
    </w:lvl>
    <w:lvl w:ilvl="3" w:tplc="E1D8C49C">
      <w:start w:val="1"/>
      <w:numFmt w:val="decimal"/>
      <w:lvlText w:val="%4."/>
      <w:lvlJc w:val="left"/>
      <w:pPr>
        <w:ind w:left="2880" w:hanging="360"/>
      </w:pPr>
    </w:lvl>
    <w:lvl w:ilvl="4" w:tplc="219A641C">
      <w:start w:val="1"/>
      <w:numFmt w:val="lowerLetter"/>
      <w:lvlText w:val="%5."/>
      <w:lvlJc w:val="left"/>
      <w:pPr>
        <w:ind w:left="3600" w:hanging="360"/>
      </w:pPr>
    </w:lvl>
    <w:lvl w:ilvl="5" w:tplc="F594EAD0">
      <w:start w:val="1"/>
      <w:numFmt w:val="lowerRoman"/>
      <w:lvlText w:val="%6."/>
      <w:lvlJc w:val="right"/>
      <w:pPr>
        <w:ind w:left="4320" w:hanging="180"/>
      </w:pPr>
    </w:lvl>
    <w:lvl w:ilvl="6" w:tplc="E414757C">
      <w:start w:val="1"/>
      <w:numFmt w:val="decimal"/>
      <w:lvlText w:val="%7."/>
      <w:lvlJc w:val="left"/>
      <w:pPr>
        <w:ind w:left="5040" w:hanging="360"/>
      </w:pPr>
    </w:lvl>
    <w:lvl w:ilvl="7" w:tplc="988CD028">
      <w:start w:val="1"/>
      <w:numFmt w:val="lowerLetter"/>
      <w:lvlText w:val="%8."/>
      <w:lvlJc w:val="left"/>
      <w:pPr>
        <w:ind w:left="5760" w:hanging="360"/>
      </w:pPr>
    </w:lvl>
    <w:lvl w:ilvl="8" w:tplc="4D6ED08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entative="1" w:tplc="04190019">
      <w:start w:val="1"/>
      <w:numFmt w:val="lowerLetter"/>
      <w:lvlText w:val="%2."/>
      <w:lvlJc w:val="left"/>
      <w:pPr>
        <w:ind w:left="1440" w:hanging="360"/>
      </w:p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plc="3A564B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a"/>
      </w:rPr>
    </w:lvl>
    <w:lvl w:ilvl="1" w:tplc="0F4AE93C">
      <w:start w:val="1"/>
      <w:numFmt w:val="lowerLetter"/>
      <w:lvlText w:val="%2."/>
      <w:lvlJc w:val="left"/>
      <w:pPr>
        <w:ind w:left="1440" w:hanging="360"/>
      </w:pPr>
    </w:lvl>
    <w:lvl w:ilvl="2" w:tplc="269CB9E0">
      <w:start w:val="1"/>
      <w:numFmt w:val="lowerRoman"/>
      <w:lvlText w:val="%3."/>
      <w:lvlJc w:val="right"/>
      <w:pPr>
        <w:ind w:left="2160" w:hanging="180"/>
      </w:pPr>
    </w:lvl>
    <w:lvl w:ilvl="3" w:tplc="63EE25B4">
      <w:start w:val="1"/>
      <w:numFmt w:val="decimal"/>
      <w:lvlText w:val="%4."/>
      <w:lvlJc w:val="left"/>
      <w:pPr>
        <w:ind w:left="2880" w:hanging="360"/>
      </w:pPr>
    </w:lvl>
    <w:lvl w:ilvl="4" w:tplc="E1B21224">
      <w:start w:val="1"/>
      <w:numFmt w:val="lowerLetter"/>
      <w:lvlText w:val="%5."/>
      <w:lvlJc w:val="left"/>
      <w:pPr>
        <w:ind w:left="3600" w:hanging="360"/>
      </w:pPr>
    </w:lvl>
    <w:lvl w:ilvl="5" w:tplc="38F80C50">
      <w:start w:val="1"/>
      <w:numFmt w:val="lowerRoman"/>
      <w:lvlText w:val="%6."/>
      <w:lvlJc w:val="right"/>
      <w:pPr>
        <w:ind w:left="4320" w:hanging="180"/>
      </w:pPr>
    </w:lvl>
    <w:lvl w:ilvl="6" w:tplc="CA92CE48">
      <w:start w:val="1"/>
      <w:numFmt w:val="decimal"/>
      <w:lvlText w:val="%7."/>
      <w:lvlJc w:val="left"/>
      <w:pPr>
        <w:ind w:left="5040" w:hanging="360"/>
      </w:pPr>
    </w:lvl>
    <w:lvl w:ilvl="7" w:tplc="2160B4BE">
      <w:start w:val="1"/>
      <w:numFmt w:val="lowerLetter"/>
      <w:lvlText w:val="%8."/>
      <w:lvlJc w:val="left"/>
      <w:pPr>
        <w:ind w:left="5760" w:hanging="360"/>
      </w:pPr>
    </w:lvl>
    <w:lvl w:ilvl="8" w:tplc="5DFAC91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plc="037CF926">
      <w:start w:val="1"/>
      <w:numFmt w:val="decimal"/>
      <w:lvlText w:val="%1."/>
      <w:lvlJc w:val="left"/>
      <w:pPr>
        <w:ind w:left="644" w:hanging="360"/>
      </w:pPr>
    </w:lvl>
    <w:lvl w:ilvl="1" w:tplc="C582933A">
      <w:start w:val="1"/>
      <w:numFmt w:val="lowerLetter"/>
      <w:lvlText w:val="%2."/>
      <w:lvlJc w:val="left"/>
      <w:pPr>
        <w:ind w:left="1014" w:hanging="360"/>
      </w:pPr>
    </w:lvl>
    <w:lvl w:ilvl="2" w:tplc="8A2076C8">
      <w:start w:val="1"/>
      <w:numFmt w:val="lowerRoman"/>
      <w:lvlText w:val="%3."/>
      <w:lvlJc w:val="right"/>
      <w:pPr>
        <w:ind w:left="1734" w:hanging="180"/>
      </w:pPr>
    </w:lvl>
    <w:lvl w:ilvl="3" w:tplc="395CF224">
      <w:start w:val="1"/>
      <w:numFmt w:val="decimal"/>
      <w:lvlText w:val="%4."/>
      <w:lvlJc w:val="left"/>
      <w:pPr>
        <w:ind w:left="2454" w:hanging="360"/>
      </w:pPr>
    </w:lvl>
    <w:lvl w:ilvl="4" w:tplc="F0267A36">
      <w:start w:val="1"/>
      <w:numFmt w:val="lowerLetter"/>
      <w:lvlText w:val="%5."/>
      <w:lvlJc w:val="left"/>
      <w:pPr>
        <w:ind w:left="3174" w:hanging="360"/>
      </w:pPr>
    </w:lvl>
    <w:lvl w:ilvl="5" w:tplc="D5584A14">
      <w:start w:val="1"/>
      <w:numFmt w:val="lowerRoman"/>
      <w:lvlText w:val="%6."/>
      <w:lvlJc w:val="right"/>
      <w:pPr>
        <w:ind w:left="3894" w:hanging="180"/>
      </w:pPr>
    </w:lvl>
    <w:lvl w:ilvl="6" w:tplc="38A8D01C">
      <w:start w:val="1"/>
      <w:numFmt w:val="decimal"/>
      <w:lvlText w:val="%7."/>
      <w:lvlJc w:val="left"/>
      <w:pPr>
        <w:ind w:left="4614" w:hanging="360"/>
      </w:pPr>
    </w:lvl>
    <w:lvl w:ilvl="7" w:tplc="65947358">
      <w:start w:val="1"/>
      <w:numFmt w:val="lowerLetter"/>
      <w:lvlText w:val="%8."/>
      <w:lvlJc w:val="left"/>
      <w:pPr>
        <w:ind w:left="5334" w:hanging="360"/>
      </w:pPr>
    </w:lvl>
    <w:lvl w:ilvl="8" w:tplc="5A1A2E78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multiLevelType w:val="hybridMultilevel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multiLevelType w:val="hybridMultilevel"/>
    <w:lvl w:ilvl="0" w:tplc="CFFEC600">
      <w:start w:val="1"/>
      <w:numFmt w:val="decimal"/>
      <w:lvlText w:val="%1."/>
      <w:lvlJc w:val="left"/>
      <w:pPr>
        <w:ind w:left="644" w:hanging="360"/>
      </w:pPr>
    </w:lvl>
    <w:lvl w:ilvl="1" w:tplc="6C265812">
      <w:start w:val="1"/>
      <w:numFmt w:val="lowerLetter"/>
      <w:lvlText w:val="%2."/>
      <w:lvlJc w:val="left"/>
      <w:pPr>
        <w:ind w:left="1014" w:hanging="360"/>
      </w:pPr>
    </w:lvl>
    <w:lvl w:ilvl="2" w:tplc="3B9673B0">
      <w:start w:val="1"/>
      <w:numFmt w:val="lowerRoman"/>
      <w:lvlText w:val="%3."/>
      <w:lvlJc w:val="right"/>
      <w:pPr>
        <w:ind w:left="1734" w:hanging="180"/>
      </w:pPr>
    </w:lvl>
    <w:lvl w:ilvl="3" w:tplc="AC6891D2">
      <w:start w:val="1"/>
      <w:numFmt w:val="decimal"/>
      <w:lvlText w:val="%4."/>
      <w:lvlJc w:val="left"/>
      <w:pPr>
        <w:ind w:left="2454" w:hanging="360"/>
      </w:pPr>
    </w:lvl>
    <w:lvl w:ilvl="4" w:tplc="A35C6A3E">
      <w:start w:val="1"/>
      <w:numFmt w:val="lowerLetter"/>
      <w:lvlText w:val="%5."/>
      <w:lvlJc w:val="left"/>
      <w:pPr>
        <w:ind w:left="3174" w:hanging="360"/>
      </w:pPr>
    </w:lvl>
    <w:lvl w:ilvl="5" w:tplc="38C07E86">
      <w:start w:val="1"/>
      <w:numFmt w:val="lowerRoman"/>
      <w:lvlText w:val="%6."/>
      <w:lvlJc w:val="right"/>
      <w:pPr>
        <w:ind w:left="3894" w:hanging="180"/>
      </w:pPr>
    </w:lvl>
    <w:lvl w:ilvl="6" w:tplc="50A2C98E">
      <w:start w:val="1"/>
      <w:numFmt w:val="decimal"/>
      <w:lvlText w:val="%7."/>
      <w:lvlJc w:val="left"/>
      <w:pPr>
        <w:ind w:left="4614" w:hanging="360"/>
      </w:pPr>
    </w:lvl>
    <w:lvl w:ilvl="7" w:tplc="E78C92BC">
      <w:start w:val="1"/>
      <w:numFmt w:val="lowerLetter"/>
      <w:lvlText w:val="%8."/>
      <w:lvlJc w:val="left"/>
      <w:pPr>
        <w:ind w:left="5334" w:hanging="360"/>
      </w:pPr>
    </w:lvl>
    <w:lvl w:ilvl="8" w:tplc="A35A623E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1">
    <w:name w:val="heading 1"/>
    <w:basedOn w:val="a0"/>
    <w:link w:val="10"/>
    <w:pPr>
      <w:widowControl w:val="off"/>
      <w:outlineLvl w:val="0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2">
    <w:name w:val="heading 2"/>
    <w:basedOn w:val="a0"/>
    <w:link w:val="20"/>
    <w:pPr>
      <w:widowControl w:val="off"/>
      <w:outlineLvl w:val="1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3">
    <w:name w:val="heading 3"/>
    <w:basedOn w:val="a0"/>
    <w:link w:val="30"/>
    <w:pPr>
      <w:widowControl w:val="off"/>
      <w:outlineLvl w:val="2"/>
    </w:pPr>
    <w:rPr>
      <w:rFonts w:ascii="Calibri" w:hAnsi="Calibri" w:eastAsia="Calibri" w:cs="Times New Roman"/>
      <w:sz w:val="22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88" w:lineRule="auto"/>
      <w:jc w:val="center"/>
      <w:outlineLvl w:val="5"/>
    </w:pPr>
    <w:rPr>
      <w:rFonts w:ascii="Arial" w:hAnsi="Arial" w:eastAsia="Times New Roman" w:cs="Times New Roman"/>
      <w:b/>
      <w:spacing w:val="4"/>
      <w:szCs w:val="20"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10" w:customStyle="1">
    <w:name w:val="Заголовок 1 Знак"/>
    <w:basedOn w:val="a1"/>
    <w:link w:val="1"/>
    <w:uiPriority w:val="9"/>
    <w:rPr>
      <w:rFonts w:ascii="Arial" w:hAnsi="Arial" w:eastAsia="Arial" w:cs="Arial"/>
      <w:sz w:val="40"/>
      <w:szCs w:val="40"/>
    </w:rPr>
  </w:style>
  <w:style w:type="character" w:styleId="20" w:customStyle="1">
    <w:name w:val="Заголовок 2 Знак"/>
    <w:basedOn w:val="a1"/>
    <w:link w:val="2"/>
    <w:uiPriority w:val="9"/>
    <w:rPr>
      <w:rFonts w:ascii="Arial" w:hAnsi="Arial" w:eastAsia="Arial" w:cs="Arial"/>
      <w:sz w:val="34"/>
    </w:rPr>
  </w:style>
  <w:style w:type="character" w:styleId="30" w:customStyle="1">
    <w:name w:val="Заголовок 3 Знак"/>
    <w:basedOn w:val="a1"/>
    <w:link w:val="3"/>
    <w:uiPriority w:val="9"/>
    <w:rPr>
      <w:rFonts w:ascii="Arial" w:hAnsi="Arial" w:eastAsia="Arial" w:cs="Arial"/>
      <w:sz w:val="30"/>
      <w:szCs w:val="30"/>
    </w:rPr>
  </w:style>
  <w:style w:type="character" w:styleId="40" w:customStyle="1">
    <w:name w:val="Заголовок 4 Знак"/>
    <w:basedOn w:val="a1"/>
    <w:link w:val="4"/>
    <w:uiPriority w:val="9"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basedOn w:val="a1"/>
    <w:link w:val="5"/>
    <w:uiPriority w:val="9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a1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basedOn w:val="a1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basedOn w:val="a1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basedOn w:val="a1"/>
    <w:link w:val="9"/>
    <w:uiPriority w:val="9"/>
    <w:rPr>
      <w:rFonts w:ascii="Arial" w:hAnsi="Arial" w:eastAsia="Arial" w:cs="Arial"/>
      <w:i/>
      <w:iCs/>
      <w:sz w:val="21"/>
      <w:szCs w:val="21"/>
    </w:rPr>
  </w:style>
  <w:style w:type="character" w:styleId="a4" w:customStyle="1">
    <w:name w:val="Название Знак"/>
    <w:basedOn w:val="a1"/>
    <w:link w:val="a5"/>
    <w:uiPriority w:val="10"/>
    <w:rPr>
      <w:sz w:val="48"/>
      <w:szCs w:val="48"/>
    </w:rPr>
  </w:style>
  <w:style w:type="character" w:styleId="a6" w:customStyle="1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9" w:customStyle="1">
    <w:name w:val="Выделенная цитата Знак"/>
    <w:link w:val="a8"/>
    <w:uiPriority w:val="30"/>
    <w:rPr>
      <w:i/>
    </w:rPr>
  </w:style>
  <w:style w:type="character" w:styleId="11" w:customStyle="1">
    <w:name w:val="Верхний колонтитул Знак1"/>
    <w:basedOn w:val="a1"/>
    <w:link w:val="aa"/>
    <w:uiPriority w:val="99"/>
  </w:style>
  <w:style w:type="character" w:styleId="12" w:customStyle="1">
    <w:name w:val="Нижний колонтитул Знак1"/>
    <w:basedOn w:val="a1"/>
    <w:link w:val="ab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ad" w:customStyle="1">
    <w:name w:val="Название объекта Знак"/>
    <w:basedOn w:val="a1"/>
    <w:link w:val="ac"/>
    <w:uiPriority w:val="35"/>
    <w:rPr>
      <w:b/>
      <w:bCs/>
      <w:color w:val="4f81bd" w:themeColor="accent1"/>
      <w:sz w:val="18"/>
      <w:szCs w:val="18"/>
    </w:rPr>
  </w:style>
  <w:style w:type="table" w:styleId="TableGridLight" w:customStyle="1">
    <w:name w:val="Table Grid Light"/>
    <w:basedOn w:val="a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">
    <w:name w:val="Plain Table 1"/>
    <w:basedOn w:val="a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2-Accent2" w:customStyle="1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2-Accent3" w:customStyle="1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2-Accent4" w:customStyle="1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2-Accent5" w:customStyle="1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2-Accent6" w:customStyle="1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3-Accent2" w:customStyle="1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3-Accent3" w:customStyle="1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3-Accent4" w:customStyle="1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3-Accent5" w:customStyle="1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3-Accent6" w:customStyle="1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styleId="GridTable4-Accent2" w:customStyle="1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4-Accent3" w:customStyle="1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4-Accent4" w:customStyle="1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4-Accent5" w:customStyle="1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4-Accent6" w:customStyle="1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band1Horz">
      <w:tcPr>
        <w:shd w:val="clear" w:color="aec4e0" w:themeColor="accent1" w:themeTint="75" w:fill="aec4e0" w:themeFill="accent1" w:themeFillTint="75"/>
      </w:tcPr>
    </w:tblStylePr>
  </w:style>
  <w:style w:type="table" w:styleId="GridTable5Dark-Accent2" w:customStyle="1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styleId="GridTable5Dark-Accent3" w:customStyle="1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band1Horz">
      <w:tcPr>
        <w:shd w:val="clear" w:color="d0dfb2" w:themeColor="accent3" w:themeTint="75" w:fill="d0dfb2" w:themeFill="accent3" w:themeFillTint="75"/>
      </w:tcPr>
    </w:tblStylePr>
  </w:style>
  <w:style w:type="table" w:styleId="GridTable5Dark-Accent4" w:customStyle="1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styleId="GridTable5Dark-Accent5" w:customStyle="1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styleId="GridTable5Dark-Accent6" w:customStyle="1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styleId="ListTable1Light-Accent2" w:customStyle="1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tcPr>
        <w:shd w:val="clear" w:color="efd2d2" w:themeColor="accent2" w:themeTint="40" w:fill="efd2d2" w:themeFill="accent2" w:themeFillTint="40"/>
      </w:tcPr>
    </w:tblStylePr>
  </w:style>
  <w:style w:type="table" w:styleId="ListTable1Light-Accent3" w:customStyle="1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tcPr>
        <w:shd w:val="clear" w:color="e5eed5" w:themeColor="accent3" w:themeTint="40" w:fill="e5eed5" w:themeFill="accent3" w:themeFillTint="40"/>
      </w:tcPr>
    </w:tblStylePr>
  </w:style>
  <w:style w:type="table" w:styleId="ListTable1Light-Accent4" w:customStyle="1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styleId="ListTable1Light-Accent5" w:customStyle="1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styleId="ListTable1Light-Accent6" w:customStyle="1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2-Accent2" w:customStyle="1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2-Accent3" w:customStyle="1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2-Accent4" w:customStyle="1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2-Accent5" w:customStyle="1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2-Accent6" w:customStyle="1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" w:customStyle="1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4-Accent2" w:customStyle="1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4-Accent3" w:customStyle="1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4-Accent4" w:customStyle="1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4-Accent5" w:customStyle="1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4-Accent6" w:customStyle="1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ListTable5Dark-Accent2" w:customStyle="1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 w:customStyle="1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 w:customStyle="1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 w:customStyle="1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 w:customStyle="1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Lined-Accent2" w:customStyle="1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Lined-Accent3" w:customStyle="1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Lined-Accent4" w:customStyle="1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Lined-Accent5" w:customStyle="1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Lined-Accent6" w:customStyle="1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Lined-Accent" w:customStyle="1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BorderedLined-Accent2" w:customStyle="1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BorderedLined-Accent3" w:customStyle="1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BorderedLined-Accent4" w:customStyle="1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BorderedLined-Accent5" w:customStyle="1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BorderedLined-Accent6" w:customStyle="1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" w:customStyle="1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styleId="af0" w:customStyle="1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1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styleId="af3" w:customStyle="1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1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-" w:customStyle="1">
    <w:name w:val="Интернет-ссылка"/>
    <w:basedOn w:val="a1"/>
    <w:uiPriority w:val="99"/>
    <w:unhideWhenUsed/>
    <w:rPr>
      <w:color w:val="0000ff" w:themeColor="hyperlink"/>
      <w:u w:val="single"/>
    </w:rPr>
  </w:style>
  <w:style w:type="character" w:styleId="af7">
    <w:name w:val="FollowedHyperlink"/>
    <w:uiPriority w:val="99"/>
    <w:qFormat/>
    <w:rPr>
      <w:color w:val="800080"/>
      <w:u w:val="single"/>
    </w:rPr>
  </w:style>
  <w:style w:type="character" w:styleId="af8" w:customStyle="1">
    <w:name w:val="Текст выноски Знак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styleId="apple-converted-space" w:customStyle="1">
    <w:name w:val="apple-converted-space"/>
    <w:basedOn w:val="a1"/>
    <w:uiPriority w:val="99"/>
    <w:qFormat/>
  </w:style>
  <w:style w:type="character" w:styleId="js-phone-number" w:customStyle="1">
    <w:name w:val="js-phone-number"/>
    <w:basedOn w:val="a1"/>
    <w:uiPriority w:val="99"/>
    <w:qFormat/>
  </w:style>
  <w:style w:type="character" w:styleId="60" w:customStyle="1">
    <w:name w:val="Заголовок 6 Знак"/>
    <w:basedOn w:val="a1"/>
    <w:link w:val="6"/>
    <w:qFormat/>
    <w:rPr>
      <w:rFonts w:ascii="Arial" w:hAnsi="Arial" w:eastAsia="Times New Roman"/>
      <w:b/>
      <w:spacing w:val="4"/>
      <w:sz w:val="22"/>
      <w:lang w:eastAsia="ar-SA"/>
    </w:rPr>
  </w:style>
  <w:style w:type="character" w:styleId="ListLabel1" w:customStyle="1">
    <w:name w:val="ListLabel 1"/>
    <w:qFormat/>
    <w:rPr>
      <w:rFonts w:cs="Times New Roman"/>
      <w:b w:val="0"/>
      <w:i w:val="0"/>
      <w:color w:val="00000a"/>
    </w:rPr>
  </w:style>
  <w:style w:type="character" w:styleId="af9" w:customStyle="1">
    <w:name w:val="Символ нумерации"/>
    <w:qFormat/>
  </w:style>
  <w:style w:type="character" w:styleId="afa" w:customStyle="1">
    <w:name w:val="Верхний колонтитул Знак"/>
    <w:basedOn w:val="a1"/>
    <w:uiPriority w:val="99"/>
    <w:qFormat/>
    <w:rPr>
      <w:rFonts w:cs="Calibri"/>
      <w:color w:val="00000a"/>
      <w:sz w:val="22"/>
      <w:szCs w:val="22"/>
      <w:lang w:eastAsia="en-US"/>
    </w:rPr>
  </w:style>
  <w:style w:type="character" w:styleId="afb" w:customStyle="1">
    <w:name w:val="Нижний колонтитул Знак"/>
    <w:basedOn w:val="a1"/>
    <w:uiPriority w:val="99"/>
    <w:qFormat/>
    <w:rPr>
      <w:rFonts w:cs="Calibri"/>
      <w:color w:val="00000a"/>
      <w:sz w:val="22"/>
      <w:szCs w:val="22"/>
      <w:lang w:eastAsia="en-US"/>
    </w:rPr>
  </w:style>
  <w:style w:type="paragraph" w:styleId="afc" w:customStyle="1">
    <w:name w:val="Заголовок"/>
    <w:basedOn w:val="a"/>
    <w:next w:val="afd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afd">
    <w:name w:val="Body Text"/>
    <w:basedOn w:val="a"/>
    <w:pPr>
      <w:spacing w:after="140" w:line="288" w:lineRule="auto"/>
    </w:pPr>
  </w:style>
  <w:style w:type="paragraph" w:styleId="afe">
    <w:name w:val="List"/>
    <w:basedOn w:val="afd"/>
    <w:rPr>
      <w:rFonts w:cs="Mangal"/>
    </w:rPr>
  </w:style>
  <w:style w:type="paragraph" w:styleId="a5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cs="Mangal"/>
    </w:rPr>
  </w:style>
  <w:style w:type="paragraph" w:styleId="a0" w:customStyle="1">
    <w:name w:val="Заглавие"/>
    <w:basedOn w:val="15"/>
  </w:style>
  <w:style w:type="paragraph" w:styleId="16" w:customStyle="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5" w:customStyle="1">
    <w:name w:val="Заголовок1"/>
    <w:basedOn w:val="a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210" w:customStyle="1">
    <w:name w:val="Основной текст 21"/>
    <w:basedOn w:val="a"/>
    <w:uiPriority w:val="99"/>
    <w:qFormat/>
    <w:pPr>
      <w:widowControl w:val="off"/>
      <w:spacing w:after="0" w:line="240" w:lineRule="auto"/>
      <w:jc w:val="both"/>
    </w:pPr>
    <w:rPr>
      <w:rFonts w:ascii="Arial" w:hAnsi="Arial" w:eastAsia="Times New Roman" w:cs="Arial"/>
      <w:sz w:val="18"/>
      <w:szCs w:val="18"/>
      <w:lang w:eastAsia="ru-RU"/>
    </w:rPr>
  </w:style>
  <w:style w:type="paragraph" w:styleId="aff0">
    <w:name w:val="Balloon Text"/>
    <w:basedOn w:val="a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1">
    <w:name w:val="Normal (Web)"/>
    <w:basedOn w:val="a"/>
    <w:uiPriority w:val="99"/>
    <w:qFormat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styleId="aff2">
    <w:name w:val="List Paragraph"/>
    <w:basedOn w:val="a"/>
    <w:uiPriority w:val="34"/>
    <w:qFormat/>
    <w:pPr>
      <w:ind w:left="720"/>
      <w:contextualSpacing/>
    </w:pPr>
    <w:rPr>
      <w:rFonts w:cs="Times New Roman"/>
    </w:rPr>
  </w:style>
  <w:style w:type="paragraph" w:styleId="aff3" w:customStyle="1">
    <w:name w:val="Блочная цитата"/>
    <w:basedOn w:val="a"/>
    <w:qFormat/>
  </w:style>
  <w:style w:type="paragraph" w:styleId="a7">
    <w:name w:val="Subtitle"/>
    <w:basedOn w:val="15"/>
    <w:link w:val="a6"/>
  </w:style>
  <w:style w:type="paragraph" w:styleId="aff4" w:customStyle="1">
    <w:name w:val="Содержимое таблицы"/>
    <w:basedOn w:val="a"/>
    <w:qFormat/>
  </w:style>
  <w:style w:type="paragraph" w:styleId="aff5" w:customStyle="1">
    <w:name w:val="Заголовок таблицы"/>
    <w:basedOn w:val="aff4"/>
    <w:qFormat/>
  </w:style>
  <w:style w:type="paragraph" w:styleId="aff6">
    <w:name w:val="No Spacing"/>
    <w:uiPriority w:val="1"/>
    <w:qFormat/>
    <w:rPr>
      <w:rFonts w:asciiTheme="minorHAnsi" w:hAnsiTheme="minorHAnsi" w:eastAsiaTheme="minorHAnsi" w:cstheme="minorBidi"/>
      <w:color w:val="00000a"/>
      <w:sz w:val="22"/>
      <w:szCs w:val="22"/>
      <w:lang w:eastAsia="en-US"/>
    </w:rPr>
  </w:style>
  <w:style w:type="paragraph" w:styleId="aa">
    <w:name w:val="header"/>
    <w:basedOn w:val="a"/>
    <w:link w:val="1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f7">
    <w:name w:val="Table Grid"/>
    <w:basedOn w:val="a2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TableStyle0" w:customStyle="1">
    <w:name w:val="TableStyle0"/>
    <w:rPr>
      <w:rFonts w:cs="Calibri"/>
      <w:sz w:val="16"/>
      <w:szCs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TableStyle01" w:customStyle="1">
    <w:name w:val="TableStyle01"/>
    <w:rPr>
      <w:rFonts w:cs="Calibri"/>
      <w:sz w:val="16"/>
      <w:szCs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7" w:customStyle="1">
    <w:name w:val="Сетка таблицы1"/>
    <w:basedOn w:val="a2"/>
    <w:next w:val="aff7"/>
    <w:uiPriority w:val="59"/>
    <w:rPr>
      <w:rFonts w:ascii="Times New Roman" w:hAnsi="Times New Roman"/>
      <w:sz w:val="24"/>
      <w:szCs w:val="24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Standard" w:customStyle="1">
    <w:name w:val="Standard"/>
    <w:rPr>
      <w:rFonts w:eastAsia="Times New Roman" w:cs="Calib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pkos@kmvh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B9FCD-C50E-4221-8BC7-1B17252C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35269</Characters>
  <CharactersWithSpaces>41374</CharactersWithSpaces>
  <Company>GAS</Company>
  <DocSecurity>0</DocSecurity>
  <HyperlinksChanged>false</HyperlinksChanged>
  <Lines>293</Lines>
  <LinksUpToDate>false</LinksUpToDate>
  <Pages>14</Pages>
  <Paragraphs>82</Paragraphs>
  <ScaleCrop>false</ScaleCrop>
  <SharedDoc>false</SharedDoc>
  <Template>Normal.dotm</Template>
  <TotalTime>89</TotalTime>
  <Words>6187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Артем</dc:creator>
  <dc:language>ru-RU</dc:language>
  <cp:lastModifiedBy>u434</cp:lastModifiedBy>
  <cp:revision>48</cp:revision>
  <dcterms:created xsi:type="dcterms:W3CDTF">2024-04-02T07:35:00Z</dcterms:created>
  <dcterms:modified xsi:type="dcterms:W3CDTF">2026-08-17T11:22:00Z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